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6D8C" w:rsidRDefault="00C1729C">
      <w:pPr>
        <w:widowControl/>
        <w:spacing w:line="360" w:lineRule="auto"/>
        <w:jc w:val="center"/>
        <w:rPr>
          <w:rStyle w:val="af0"/>
          <w:rFonts w:ascii="宋体" w:hAnsi="宋体"/>
          <w:sz w:val="30"/>
          <w:szCs w:val="30"/>
        </w:rPr>
      </w:pPr>
      <w:r>
        <w:rPr>
          <w:rFonts w:ascii="宋体" w:hAnsi="宋体" w:hint="eastAsia"/>
          <w:b/>
          <w:sz w:val="30"/>
          <w:szCs w:val="30"/>
        </w:rPr>
        <w:t>理财非存款、产品有风险、投资须谨慎！</w:t>
      </w:r>
    </w:p>
    <w:p w:rsidR="004A6D8C" w:rsidRDefault="004A6D8C">
      <w:pPr>
        <w:adjustRightInd w:val="0"/>
        <w:spacing w:line="360" w:lineRule="auto"/>
        <w:jc w:val="center"/>
        <w:rPr>
          <w:rStyle w:val="af0"/>
          <w:rFonts w:ascii="宋体" w:hAnsi="宋体"/>
          <w:sz w:val="32"/>
          <w:szCs w:val="32"/>
        </w:rPr>
      </w:pPr>
    </w:p>
    <w:p w:rsidR="004A6D8C" w:rsidRDefault="004A6D8C">
      <w:pPr>
        <w:adjustRightInd w:val="0"/>
        <w:spacing w:line="360" w:lineRule="auto"/>
        <w:jc w:val="center"/>
        <w:rPr>
          <w:rStyle w:val="af0"/>
          <w:rFonts w:ascii="宋体" w:hAnsi="宋体"/>
          <w:sz w:val="32"/>
          <w:szCs w:val="32"/>
        </w:rPr>
      </w:pPr>
    </w:p>
    <w:p w:rsidR="004A6D8C" w:rsidRDefault="00C1729C">
      <w:pPr>
        <w:adjustRightInd w:val="0"/>
        <w:spacing w:line="360" w:lineRule="auto"/>
        <w:jc w:val="center"/>
        <w:rPr>
          <w:rStyle w:val="af0"/>
          <w:rFonts w:ascii="宋体" w:hAnsi="宋体"/>
          <w:sz w:val="32"/>
          <w:szCs w:val="32"/>
        </w:rPr>
      </w:pPr>
      <w:r>
        <w:rPr>
          <w:rFonts w:ascii="黑体" w:eastAsia="黑体" w:hAnsi="黑体"/>
          <w:b/>
          <w:noProof/>
          <w:sz w:val="28"/>
          <w:szCs w:val="28"/>
        </w:rPr>
        <w:drawing>
          <wp:inline distT="0" distB="0" distL="0" distR="0">
            <wp:extent cx="3619500" cy="1257300"/>
            <wp:effectExtent l="0" t="0" r="0" b="0"/>
            <wp:docPr id="6" name="图片 6"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Desktop\子公司理财产品说明书\标(定）-0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rsidR="004A6D8C" w:rsidRDefault="004A6D8C">
      <w:pPr>
        <w:adjustRightInd w:val="0"/>
        <w:spacing w:line="360" w:lineRule="auto"/>
        <w:jc w:val="center"/>
        <w:rPr>
          <w:rStyle w:val="af0"/>
          <w:rFonts w:ascii="宋体" w:hAnsi="宋体"/>
          <w:sz w:val="32"/>
          <w:szCs w:val="32"/>
        </w:rPr>
      </w:pPr>
    </w:p>
    <w:p w:rsidR="004A6D8C" w:rsidRDefault="00C1729C">
      <w:pPr>
        <w:adjustRightInd w:val="0"/>
        <w:spacing w:line="360" w:lineRule="auto"/>
        <w:jc w:val="center"/>
        <w:rPr>
          <w:rStyle w:val="af0"/>
          <w:rFonts w:ascii="黑体" w:eastAsia="黑体" w:hAnsi="黑体"/>
          <w:sz w:val="44"/>
          <w:szCs w:val="44"/>
        </w:rPr>
      </w:pPr>
      <w:r>
        <w:rPr>
          <w:rStyle w:val="af0"/>
          <w:rFonts w:ascii="黑体" w:eastAsia="黑体" w:hAnsi="黑体" w:hint="eastAsia"/>
          <w:sz w:val="44"/>
          <w:szCs w:val="44"/>
        </w:rPr>
        <w:t>兴银理财【稳利丰收封闭式固收类】</w:t>
      </w:r>
    </w:p>
    <w:p w:rsidR="004A6D8C" w:rsidRDefault="00C1729C">
      <w:pPr>
        <w:adjustRightInd w:val="0"/>
        <w:spacing w:line="360" w:lineRule="auto"/>
        <w:jc w:val="center"/>
        <w:rPr>
          <w:rStyle w:val="af0"/>
          <w:rFonts w:ascii="黑体" w:eastAsia="黑体" w:hAnsi="黑体"/>
          <w:sz w:val="44"/>
          <w:szCs w:val="44"/>
        </w:rPr>
      </w:pPr>
      <w:r>
        <w:rPr>
          <w:rStyle w:val="af0"/>
          <w:rFonts w:ascii="黑体" w:eastAsia="黑体" w:hAnsi="黑体" w:hint="eastAsia"/>
          <w:sz w:val="44"/>
          <w:szCs w:val="44"/>
        </w:rPr>
        <w:t xml:space="preserve">理财产品 </w:t>
      </w:r>
    </w:p>
    <w:p w:rsidR="004A6D8C" w:rsidRDefault="00C1729C">
      <w:pPr>
        <w:adjustRightInd w:val="0"/>
        <w:spacing w:line="360" w:lineRule="auto"/>
        <w:jc w:val="center"/>
        <w:rPr>
          <w:rStyle w:val="af0"/>
          <w:rFonts w:ascii="黑体" w:eastAsia="黑体" w:hAnsi="黑体"/>
          <w:sz w:val="44"/>
          <w:szCs w:val="44"/>
        </w:rPr>
      </w:pPr>
      <w:r>
        <w:rPr>
          <w:rStyle w:val="af0"/>
          <w:rFonts w:ascii="黑体" w:eastAsia="黑体" w:hAnsi="黑体" w:hint="eastAsia"/>
          <w:sz w:val="44"/>
          <w:szCs w:val="44"/>
        </w:rPr>
        <w:t>产品说明书</w:t>
      </w:r>
    </w:p>
    <w:p w:rsidR="004A6D8C" w:rsidRDefault="004A6D8C">
      <w:pPr>
        <w:adjustRightInd w:val="0"/>
        <w:spacing w:line="360" w:lineRule="auto"/>
        <w:jc w:val="center"/>
        <w:rPr>
          <w:rStyle w:val="af0"/>
          <w:rFonts w:ascii="宋体" w:hAnsi="宋体"/>
          <w:sz w:val="32"/>
          <w:szCs w:val="32"/>
        </w:rPr>
      </w:pPr>
    </w:p>
    <w:p w:rsidR="004A6D8C" w:rsidRDefault="004A6D8C">
      <w:pPr>
        <w:adjustRightInd w:val="0"/>
        <w:spacing w:line="360" w:lineRule="auto"/>
        <w:rPr>
          <w:rStyle w:val="af0"/>
          <w:rFonts w:ascii="黑体" w:eastAsia="黑体" w:hAnsi="黑体"/>
          <w:bCs w:val="0"/>
          <w:sz w:val="28"/>
          <w:szCs w:val="28"/>
        </w:rPr>
      </w:pPr>
    </w:p>
    <w:p w:rsidR="004A6D8C" w:rsidRDefault="004A6D8C">
      <w:pPr>
        <w:adjustRightInd w:val="0"/>
        <w:spacing w:line="360" w:lineRule="auto"/>
        <w:jc w:val="center"/>
        <w:rPr>
          <w:rStyle w:val="af0"/>
          <w:rFonts w:ascii="黑体" w:eastAsia="黑体" w:hAnsi="黑体"/>
          <w:bCs w:val="0"/>
          <w:sz w:val="28"/>
          <w:szCs w:val="28"/>
        </w:rPr>
      </w:pPr>
    </w:p>
    <w:p w:rsidR="004A6D8C" w:rsidRDefault="004A6D8C">
      <w:pPr>
        <w:adjustRightInd w:val="0"/>
        <w:spacing w:line="360" w:lineRule="auto"/>
        <w:jc w:val="center"/>
        <w:rPr>
          <w:rStyle w:val="af0"/>
          <w:rFonts w:ascii="黑体" w:eastAsia="黑体" w:hAnsi="黑体"/>
          <w:bCs w:val="0"/>
          <w:sz w:val="28"/>
          <w:szCs w:val="28"/>
        </w:rPr>
      </w:pPr>
    </w:p>
    <w:p w:rsidR="004A6D8C" w:rsidRDefault="00C1729C">
      <w:pPr>
        <w:adjustRightInd w:val="0"/>
        <w:spacing w:line="360" w:lineRule="auto"/>
        <w:jc w:val="center"/>
        <w:rPr>
          <w:rStyle w:val="af0"/>
          <w:rFonts w:ascii="宋体" w:hAnsi="宋体" w:cs="Times New Roman"/>
          <w:sz w:val="32"/>
          <w:szCs w:val="32"/>
        </w:rPr>
      </w:pPr>
      <w:r>
        <w:rPr>
          <w:rStyle w:val="af0"/>
          <w:rFonts w:ascii="宋体" w:hAnsi="宋体" w:cs="Times New Roman" w:hint="eastAsia"/>
          <w:sz w:val="32"/>
          <w:szCs w:val="32"/>
        </w:rPr>
        <w:t>理财产品管理人：兴银理财有限责任公司</w:t>
      </w:r>
    </w:p>
    <w:p w:rsidR="004A6D8C" w:rsidRDefault="004A6D8C">
      <w:pPr>
        <w:adjustRightInd w:val="0"/>
        <w:spacing w:line="360" w:lineRule="auto"/>
        <w:jc w:val="center"/>
        <w:rPr>
          <w:rStyle w:val="af0"/>
          <w:rFonts w:ascii="宋体" w:hAnsi="宋体"/>
          <w:sz w:val="32"/>
          <w:szCs w:val="32"/>
        </w:rPr>
      </w:pPr>
    </w:p>
    <w:p w:rsidR="004A6D8C" w:rsidRDefault="004A6D8C">
      <w:pPr>
        <w:adjustRightInd w:val="0"/>
        <w:spacing w:line="360" w:lineRule="auto"/>
        <w:jc w:val="center"/>
        <w:rPr>
          <w:rStyle w:val="af0"/>
          <w:rFonts w:ascii="宋体" w:hAnsi="宋体"/>
          <w:sz w:val="32"/>
          <w:szCs w:val="32"/>
        </w:rPr>
      </w:pPr>
    </w:p>
    <w:p w:rsidR="004A6D8C" w:rsidRDefault="00C1729C">
      <w:pPr>
        <w:adjustRightInd w:val="0"/>
        <w:spacing w:line="360" w:lineRule="auto"/>
        <w:jc w:val="center"/>
        <w:rPr>
          <w:rStyle w:val="af0"/>
          <w:rFonts w:ascii="宋体" w:hAnsi="宋体" w:cs="Times New Roman"/>
          <w:sz w:val="32"/>
          <w:szCs w:val="32"/>
        </w:rPr>
      </w:pPr>
      <w:r>
        <w:rPr>
          <w:rStyle w:val="af0"/>
          <w:rFonts w:ascii="宋体" w:hAnsi="宋体" w:cs="Times New Roman" w:hint="eastAsia"/>
          <w:sz w:val="32"/>
          <w:szCs w:val="32"/>
        </w:rPr>
        <w:t>日期</w:t>
      </w:r>
      <w:r>
        <w:rPr>
          <w:rStyle w:val="af0"/>
          <w:rFonts w:ascii="宋体" w:hAnsi="宋体" w:cs="Times New Roman"/>
          <w:sz w:val="32"/>
          <w:szCs w:val="32"/>
        </w:rPr>
        <w:t>：</w:t>
      </w:r>
      <w:r>
        <w:rPr>
          <w:rStyle w:val="af0"/>
          <w:rFonts w:ascii="宋体" w:hAnsi="宋体" w:cs="Times New Roman" w:hint="eastAsia"/>
          <w:sz w:val="32"/>
          <w:szCs w:val="32"/>
        </w:rPr>
        <w:t>【2</w:t>
      </w:r>
      <w:r>
        <w:rPr>
          <w:rStyle w:val="af0"/>
          <w:rFonts w:ascii="宋体" w:hAnsi="宋体" w:cs="Times New Roman"/>
          <w:sz w:val="32"/>
          <w:szCs w:val="32"/>
        </w:rPr>
        <w:t>023</w:t>
      </w:r>
      <w:r>
        <w:rPr>
          <w:rStyle w:val="af0"/>
          <w:rFonts w:ascii="宋体" w:hAnsi="宋体" w:cs="Times New Roman" w:hint="eastAsia"/>
          <w:sz w:val="32"/>
          <w:szCs w:val="32"/>
        </w:rPr>
        <w:t>】年【10】月</w:t>
      </w:r>
    </w:p>
    <w:p w:rsidR="004A6D8C" w:rsidRDefault="004A6D8C">
      <w:pPr>
        <w:adjustRightInd w:val="0"/>
        <w:spacing w:line="360" w:lineRule="auto"/>
        <w:jc w:val="center"/>
        <w:rPr>
          <w:rStyle w:val="af0"/>
          <w:rFonts w:ascii="宋体" w:hAnsi="宋体"/>
          <w:sz w:val="32"/>
          <w:szCs w:val="32"/>
        </w:rPr>
      </w:pPr>
    </w:p>
    <w:p w:rsidR="004A6D8C" w:rsidRDefault="00C1729C">
      <w:pPr>
        <w:pStyle w:val="Default"/>
        <w:spacing w:line="360" w:lineRule="auto"/>
        <w:rPr>
          <w:rFonts w:hAnsi="宋体"/>
          <w:sz w:val="28"/>
          <w:szCs w:val="28"/>
        </w:rPr>
      </w:pPr>
      <w:r>
        <w:rPr>
          <w:rFonts w:hAnsi="宋体"/>
          <w:sz w:val="28"/>
          <w:szCs w:val="28"/>
        </w:rPr>
        <w:br w:type="page"/>
      </w:r>
    </w:p>
    <w:bookmarkStart w:id="0" w:name="_Toc78276587" w:displacedByCustomXml="next"/>
    <w:sdt>
      <w:sdtPr>
        <w:rPr>
          <w:rFonts w:ascii="Calibri" w:eastAsia="宋体" w:hAnsi="Calibri" w:cs="宋体"/>
          <w:b w:val="0"/>
          <w:bCs w:val="0"/>
          <w:color w:val="auto"/>
          <w:kern w:val="2"/>
          <w:sz w:val="21"/>
          <w:szCs w:val="22"/>
          <w:lang w:val="zh-CN"/>
        </w:rPr>
        <w:id w:val="624888713"/>
        <w:docPartObj>
          <w:docPartGallery w:val="Table of Contents"/>
          <w:docPartUnique/>
        </w:docPartObj>
      </w:sdtPr>
      <w:sdtEndPr>
        <w:rPr>
          <w:lang w:val="en-US"/>
        </w:rPr>
      </w:sdtEndPr>
      <w:sdtContent>
        <w:p w:rsidR="004A6D8C" w:rsidRDefault="00C1729C">
          <w:pPr>
            <w:pStyle w:val="TOC2"/>
            <w:spacing w:line="360" w:lineRule="auto"/>
            <w:jc w:val="center"/>
          </w:pPr>
          <w:r>
            <w:rPr>
              <w:lang w:val="zh-CN"/>
            </w:rPr>
            <w:t>目录</w:t>
          </w:r>
        </w:p>
        <w:p w:rsidR="004A6D8C" w:rsidRDefault="00C1729C">
          <w:pPr>
            <w:pStyle w:val="10"/>
            <w:tabs>
              <w:tab w:val="right" w:leader="dot" w:pos="8296"/>
            </w:tabs>
            <w:spacing w:line="360" w:lineRule="auto"/>
            <w:rPr>
              <w:rFonts w:asciiTheme="minorHAnsi" w:eastAsiaTheme="minorEastAsia" w:hAnsiTheme="minorHAnsi" w:cstheme="minorBidi"/>
              <w:kern w:val="2"/>
              <w:sz w:val="21"/>
            </w:rPr>
          </w:pPr>
          <w:r>
            <w:fldChar w:fldCharType="begin"/>
          </w:r>
          <w:r>
            <w:instrText xml:space="preserve"> TOC \o "1-3" \h \z \u </w:instrText>
          </w:r>
          <w:r>
            <w:fldChar w:fldCharType="separate"/>
          </w:r>
          <w:hyperlink w:anchor="_Toc88747120" w:history="1">
            <w:r>
              <w:rPr>
                <w:rStyle w:val="af2"/>
                <w:rFonts w:ascii="Times New Roman" w:hint="eastAsia"/>
              </w:rPr>
              <w:t>第一条</w:t>
            </w:r>
            <w:r>
              <w:rPr>
                <w:rStyle w:val="af2"/>
                <w:rFonts w:ascii="Times New Roman"/>
              </w:rPr>
              <w:t xml:space="preserve">  </w:t>
            </w:r>
            <w:r>
              <w:rPr>
                <w:rStyle w:val="af2"/>
                <w:rFonts w:ascii="Times New Roman" w:hint="eastAsia"/>
              </w:rPr>
              <w:t>释义</w:t>
            </w:r>
            <w:r>
              <w:tab/>
            </w:r>
            <w:r>
              <w:fldChar w:fldCharType="begin"/>
            </w:r>
            <w:r>
              <w:instrText xml:space="preserve"> PAGEREF _Toc88747120 \h </w:instrText>
            </w:r>
            <w:r>
              <w:fldChar w:fldCharType="separate"/>
            </w:r>
            <w:r>
              <w:t>1</w:t>
            </w:r>
            <w:r>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1" w:history="1">
            <w:r w:rsidR="00C1729C">
              <w:rPr>
                <w:rStyle w:val="af2"/>
                <w:rFonts w:hAnsi="宋体" w:hint="eastAsia"/>
              </w:rPr>
              <w:t>第二条</w:t>
            </w:r>
            <w:r w:rsidR="00C1729C">
              <w:rPr>
                <w:rStyle w:val="af2"/>
                <w:rFonts w:hAnsi="宋体"/>
              </w:rPr>
              <w:t xml:space="preserve">  </w:t>
            </w:r>
            <w:r w:rsidR="00C1729C">
              <w:rPr>
                <w:rStyle w:val="af2"/>
                <w:rFonts w:hAnsi="宋体" w:hint="eastAsia"/>
              </w:rPr>
              <w:t>理财产品基本情况</w:t>
            </w:r>
            <w:r w:rsidR="00C1729C">
              <w:tab/>
            </w:r>
            <w:r w:rsidR="00C1729C">
              <w:fldChar w:fldCharType="begin"/>
            </w:r>
            <w:r w:rsidR="00C1729C">
              <w:instrText xml:space="preserve"> PAGEREF _Toc88747121 \h </w:instrText>
            </w:r>
            <w:r w:rsidR="00C1729C">
              <w:fldChar w:fldCharType="separate"/>
            </w:r>
            <w:r w:rsidR="00C1729C">
              <w:t>5</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2" w:history="1">
            <w:r w:rsidR="00C1729C">
              <w:rPr>
                <w:rStyle w:val="af2"/>
                <w:rFonts w:ascii="Times New Roman" w:hint="eastAsia"/>
              </w:rPr>
              <w:t>第三条</w:t>
            </w:r>
            <w:r w:rsidR="00C1729C">
              <w:rPr>
                <w:rStyle w:val="af2"/>
                <w:rFonts w:ascii="Times New Roman"/>
              </w:rPr>
              <w:t xml:space="preserve">  </w:t>
            </w:r>
            <w:r w:rsidR="00C1729C">
              <w:rPr>
                <w:rStyle w:val="af2"/>
                <w:rFonts w:ascii="Times New Roman" w:hint="eastAsia"/>
              </w:rPr>
              <w:t>理财产品的认购</w:t>
            </w:r>
            <w:r w:rsidR="00C1729C">
              <w:tab/>
            </w:r>
            <w:r w:rsidR="00C1729C">
              <w:fldChar w:fldCharType="begin"/>
            </w:r>
            <w:r w:rsidR="00C1729C">
              <w:instrText xml:space="preserve"> PAGEREF _Toc88747122 \h </w:instrText>
            </w:r>
            <w:r w:rsidR="00C1729C">
              <w:fldChar w:fldCharType="separate"/>
            </w:r>
            <w:r w:rsidR="00C1729C">
              <w:t>8</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3" w:history="1">
            <w:r w:rsidR="00C1729C">
              <w:rPr>
                <w:rStyle w:val="af2"/>
                <w:rFonts w:ascii="Times New Roman" w:hint="eastAsia"/>
              </w:rPr>
              <w:t>第四条</w:t>
            </w:r>
            <w:r w:rsidR="00C1729C">
              <w:rPr>
                <w:rStyle w:val="af2"/>
                <w:rFonts w:ascii="Times New Roman"/>
              </w:rPr>
              <w:t xml:space="preserve">  </w:t>
            </w:r>
            <w:r w:rsidR="00C1729C">
              <w:rPr>
                <w:rStyle w:val="af2"/>
                <w:rFonts w:ascii="Times New Roman" w:hint="eastAsia"/>
              </w:rPr>
              <w:t>理财产品的申购与赎回</w:t>
            </w:r>
            <w:r w:rsidR="00C1729C">
              <w:tab/>
            </w:r>
            <w:r w:rsidR="00C1729C">
              <w:fldChar w:fldCharType="begin"/>
            </w:r>
            <w:r w:rsidR="00C1729C">
              <w:instrText xml:space="preserve"> PAGEREF _Toc88747123 \h </w:instrText>
            </w:r>
            <w:r w:rsidR="00C1729C">
              <w:fldChar w:fldCharType="separate"/>
            </w:r>
            <w:r w:rsidR="00C1729C">
              <w:t>10</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4" w:history="1">
            <w:r w:rsidR="00C1729C">
              <w:rPr>
                <w:rStyle w:val="af2"/>
                <w:rFonts w:ascii="Times New Roman" w:hint="eastAsia"/>
              </w:rPr>
              <w:t>第五条</w:t>
            </w:r>
            <w:r w:rsidR="00C1729C">
              <w:rPr>
                <w:rStyle w:val="af2"/>
                <w:rFonts w:ascii="Times New Roman"/>
              </w:rPr>
              <w:t xml:space="preserve">  </w:t>
            </w:r>
            <w:r w:rsidR="00C1729C">
              <w:rPr>
                <w:rStyle w:val="af2"/>
                <w:rFonts w:ascii="Times New Roman" w:hint="eastAsia"/>
              </w:rPr>
              <w:t>理财产品的投资</w:t>
            </w:r>
            <w:r w:rsidR="00C1729C">
              <w:tab/>
            </w:r>
            <w:r w:rsidR="00C1729C">
              <w:fldChar w:fldCharType="begin"/>
            </w:r>
            <w:r w:rsidR="00C1729C">
              <w:instrText xml:space="preserve"> PAGEREF _Toc88747124 \h </w:instrText>
            </w:r>
            <w:r w:rsidR="00C1729C">
              <w:fldChar w:fldCharType="separate"/>
            </w:r>
            <w:r w:rsidR="00C1729C">
              <w:t>11</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5" w:history="1">
            <w:r w:rsidR="00C1729C">
              <w:rPr>
                <w:rStyle w:val="af2"/>
                <w:rFonts w:ascii="Times New Roman" w:hint="eastAsia"/>
              </w:rPr>
              <w:t>第六条</w:t>
            </w:r>
            <w:r w:rsidR="00C1729C">
              <w:rPr>
                <w:rStyle w:val="af2"/>
                <w:rFonts w:ascii="Times New Roman"/>
              </w:rPr>
              <w:t xml:space="preserve">  </w:t>
            </w:r>
            <w:r w:rsidR="00C1729C">
              <w:rPr>
                <w:rStyle w:val="af2"/>
                <w:rFonts w:ascii="Times New Roman" w:hint="eastAsia"/>
              </w:rPr>
              <w:t>理财产品的资产</w:t>
            </w:r>
            <w:r w:rsidR="00C1729C">
              <w:tab/>
            </w:r>
            <w:r w:rsidR="00C1729C">
              <w:fldChar w:fldCharType="begin"/>
            </w:r>
            <w:r w:rsidR="00C1729C">
              <w:instrText xml:space="preserve"> PAGEREF _Toc88747125 \h </w:instrText>
            </w:r>
            <w:r w:rsidR="00C1729C">
              <w:fldChar w:fldCharType="separate"/>
            </w:r>
            <w:r w:rsidR="00C1729C">
              <w:t>14</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6" w:history="1">
            <w:r w:rsidR="00C1729C">
              <w:rPr>
                <w:rStyle w:val="af2"/>
                <w:rFonts w:ascii="Times New Roman" w:hint="eastAsia"/>
              </w:rPr>
              <w:t>第七条</w:t>
            </w:r>
            <w:r w:rsidR="00C1729C">
              <w:rPr>
                <w:rStyle w:val="af2"/>
                <w:rFonts w:ascii="Times New Roman"/>
              </w:rPr>
              <w:t xml:space="preserve">  </w:t>
            </w:r>
            <w:r w:rsidR="00C1729C">
              <w:rPr>
                <w:rStyle w:val="af2"/>
                <w:rFonts w:ascii="Times New Roman" w:hint="eastAsia"/>
              </w:rPr>
              <w:t>理财产品项下资产的估值</w:t>
            </w:r>
            <w:r w:rsidR="00C1729C">
              <w:tab/>
            </w:r>
            <w:r w:rsidR="00C1729C">
              <w:fldChar w:fldCharType="begin"/>
            </w:r>
            <w:r w:rsidR="00C1729C">
              <w:instrText xml:space="preserve"> PAGEREF _Toc88747126 \h </w:instrText>
            </w:r>
            <w:r w:rsidR="00C1729C">
              <w:fldChar w:fldCharType="separate"/>
            </w:r>
            <w:r w:rsidR="00C1729C">
              <w:t>15</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7" w:history="1">
            <w:r w:rsidR="00C1729C">
              <w:rPr>
                <w:rStyle w:val="af2"/>
                <w:rFonts w:ascii="Times New Roman" w:hint="eastAsia"/>
              </w:rPr>
              <w:t>第八条</w:t>
            </w:r>
            <w:r w:rsidR="00C1729C">
              <w:rPr>
                <w:rStyle w:val="af2"/>
                <w:rFonts w:ascii="Times New Roman"/>
              </w:rPr>
              <w:t xml:space="preserve">  </w:t>
            </w:r>
            <w:r w:rsidR="00C1729C">
              <w:rPr>
                <w:rStyle w:val="af2"/>
                <w:rFonts w:ascii="Times New Roman" w:hint="eastAsia"/>
              </w:rPr>
              <w:t>理财产品的利益分配</w:t>
            </w:r>
            <w:r w:rsidR="00C1729C">
              <w:tab/>
            </w:r>
            <w:r w:rsidR="00C1729C">
              <w:fldChar w:fldCharType="begin"/>
            </w:r>
            <w:r w:rsidR="00C1729C">
              <w:instrText xml:space="preserve"> PAGEREF _Toc88747127 \h </w:instrText>
            </w:r>
            <w:r w:rsidR="00C1729C">
              <w:fldChar w:fldCharType="separate"/>
            </w:r>
            <w:r w:rsidR="00C1729C">
              <w:t>19</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8" w:history="1">
            <w:r w:rsidR="00C1729C">
              <w:rPr>
                <w:rStyle w:val="af2"/>
                <w:rFonts w:ascii="Times New Roman" w:hint="eastAsia"/>
              </w:rPr>
              <w:t>第九条</w:t>
            </w:r>
            <w:r w:rsidR="00C1729C">
              <w:rPr>
                <w:rStyle w:val="af2"/>
                <w:rFonts w:ascii="Times New Roman"/>
              </w:rPr>
              <w:t xml:space="preserve">  </w:t>
            </w:r>
            <w:r w:rsidR="00C1729C">
              <w:rPr>
                <w:rStyle w:val="af2"/>
                <w:rFonts w:ascii="Times New Roman" w:hint="eastAsia"/>
              </w:rPr>
              <w:t>理财产品的费用与税收</w:t>
            </w:r>
            <w:r w:rsidR="00C1729C">
              <w:tab/>
            </w:r>
            <w:r w:rsidR="00C1729C">
              <w:fldChar w:fldCharType="begin"/>
            </w:r>
            <w:r w:rsidR="00C1729C">
              <w:instrText xml:space="preserve"> PAGEREF _Toc88747128 \h </w:instrText>
            </w:r>
            <w:r w:rsidR="00C1729C">
              <w:fldChar w:fldCharType="separate"/>
            </w:r>
            <w:r w:rsidR="00C1729C">
              <w:t>20</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29" w:history="1">
            <w:r w:rsidR="00C1729C">
              <w:rPr>
                <w:rStyle w:val="af2"/>
                <w:rFonts w:hint="eastAsia"/>
              </w:rPr>
              <w:t>第十条</w:t>
            </w:r>
            <w:r w:rsidR="00C1729C">
              <w:rPr>
                <w:rStyle w:val="af2"/>
              </w:rPr>
              <w:t xml:space="preserve">  </w:t>
            </w:r>
            <w:r w:rsidR="00C1729C">
              <w:rPr>
                <w:rStyle w:val="af2"/>
                <w:rFonts w:hint="eastAsia"/>
              </w:rPr>
              <w:t>理财产品的终止与清算</w:t>
            </w:r>
            <w:r w:rsidR="00C1729C">
              <w:tab/>
            </w:r>
            <w:r w:rsidR="00C1729C">
              <w:fldChar w:fldCharType="begin"/>
            </w:r>
            <w:r w:rsidR="00C1729C">
              <w:instrText xml:space="preserve"> PAGEREF _Toc88747129 \h </w:instrText>
            </w:r>
            <w:r w:rsidR="00C1729C">
              <w:fldChar w:fldCharType="separate"/>
            </w:r>
            <w:r w:rsidR="00C1729C">
              <w:t>23</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30" w:history="1">
            <w:r w:rsidR="00C1729C">
              <w:rPr>
                <w:rStyle w:val="af2"/>
                <w:rFonts w:ascii="Times New Roman" w:hint="eastAsia"/>
              </w:rPr>
              <w:t>第十一条</w:t>
            </w:r>
            <w:r w:rsidR="00C1729C">
              <w:rPr>
                <w:rStyle w:val="af2"/>
                <w:rFonts w:ascii="Times New Roman"/>
              </w:rPr>
              <w:t xml:space="preserve">  </w:t>
            </w:r>
            <w:r w:rsidR="00C1729C">
              <w:rPr>
                <w:rStyle w:val="af2"/>
                <w:rFonts w:ascii="Times New Roman" w:hint="eastAsia"/>
              </w:rPr>
              <w:t>理财产品的信息披露</w:t>
            </w:r>
            <w:r w:rsidR="00C1729C">
              <w:tab/>
            </w:r>
            <w:r w:rsidR="00C1729C">
              <w:fldChar w:fldCharType="begin"/>
            </w:r>
            <w:r w:rsidR="00C1729C">
              <w:instrText xml:space="preserve"> PAGEREF _Toc88747130 \h </w:instrText>
            </w:r>
            <w:r w:rsidR="00C1729C">
              <w:fldChar w:fldCharType="separate"/>
            </w:r>
            <w:r w:rsidR="00C1729C">
              <w:t>25</w:t>
            </w:r>
            <w:r w:rsidR="00C1729C">
              <w:fldChar w:fldCharType="end"/>
            </w:r>
          </w:hyperlink>
        </w:p>
        <w:p w:rsidR="004A6D8C" w:rsidRDefault="00152259">
          <w:pPr>
            <w:pStyle w:val="10"/>
            <w:tabs>
              <w:tab w:val="right" w:leader="dot" w:pos="8296"/>
            </w:tabs>
            <w:spacing w:line="360" w:lineRule="auto"/>
            <w:rPr>
              <w:rFonts w:asciiTheme="minorHAnsi" w:eastAsiaTheme="minorEastAsia" w:hAnsiTheme="minorHAnsi" w:cstheme="minorBidi"/>
              <w:kern w:val="2"/>
              <w:sz w:val="21"/>
            </w:rPr>
          </w:pPr>
          <w:hyperlink w:anchor="_Toc88747131" w:history="1">
            <w:r w:rsidR="00C1729C">
              <w:rPr>
                <w:rStyle w:val="af2"/>
                <w:rFonts w:ascii="Times New Roman" w:hint="eastAsia"/>
              </w:rPr>
              <w:t>第十二条</w:t>
            </w:r>
            <w:r w:rsidR="00C1729C">
              <w:rPr>
                <w:rStyle w:val="af2"/>
                <w:rFonts w:ascii="Times New Roman"/>
              </w:rPr>
              <w:t xml:space="preserve">  </w:t>
            </w:r>
            <w:r w:rsidR="00C1729C">
              <w:rPr>
                <w:rStyle w:val="af2"/>
                <w:rFonts w:ascii="Times New Roman" w:hint="eastAsia"/>
              </w:rPr>
              <w:t>理财产品的风险揭示</w:t>
            </w:r>
            <w:r w:rsidR="00C1729C">
              <w:tab/>
            </w:r>
            <w:r w:rsidR="00C1729C">
              <w:fldChar w:fldCharType="begin"/>
            </w:r>
            <w:r w:rsidR="00C1729C">
              <w:instrText xml:space="preserve"> PAGEREF _Toc88747131 \h </w:instrText>
            </w:r>
            <w:r w:rsidR="00C1729C">
              <w:fldChar w:fldCharType="separate"/>
            </w:r>
            <w:r w:rsidR="00C1729C">
              <w:t>27</w:t>
            </w:r>
            <w:r w:rsidR="00C1729C">
              <w:fldChar w:fldCharType="end"/>
            </w:r>
          </w:hyperlink>
        </w:p>
        <w:p w:rsidR="004A6D8C" w:rsidRDefault="00C1729C">
          <w:pPr>
            <w:spacing w:line="360" w:lineRule="auto"/>
          </w:pPr>
          <w:r>
            <w:fldChar w:fldCharType="end"/>
          </w:r>
        </w:p>
      </w:sdtContent>
    </w:sdt>
    <w:p w:rsidR="004A6D8C" w:rsidRDefault="004A6D8C">
      <w:pPr>
        <w:widowControl/>
        <w:spacing w:line="360" w:lineRule="auto"/>
        <w:jc w:val="left"/>
        <w:rPr>
          <w:rFonts w:ascii="Times New Roman"/>
          <w:sz w:val="30"/>
        </w:rPr>
      </w:pPr>
    </w:p>
    <w:p w:rsidR="004A6D8C" w:rsidRDefault="004A6D8C">
      <w:pPr>
        <w:widowControl/>
        <w:spacing w:line="360" w:lineRule="auto"/>
        <w:jc w:val="left"/>
        <w:rPr>
          <w:rFonts w:ascii="Times New Roman"/>
          <w:sz w:val="30"/>
        </w:rPr>
        <w:sectPr w:rsidR="004A6D8C">
          <w:headerReference w:type="default" r:id="rId26"/>
          <w:footerReference w:type="default" r:id="rId27"/>
          <w:pgSz w:w="11906" w:h="16838"/>
          <w:pgMar w:top="1276" w:right="1800" w:bottom="1418" w:left="1800" w:header="567" w:footer="850" w:gutter="0"/>
          <w:cols w:space="425"/>
          <w:docGrid w:type="lines" w:linePitch="312"/>
        </w:sectPr>
      </w:pPr>
    </w:p>
    <w:p w:rsidR="004A6D8C" w:rsidRDefault="00C1729C">
      <w:pPr>
        <w:pStyle w:val="1"/>
        <w:spacing w:before="0" w:after="0" w:line="360" w:lineRule="auto"/>
        <w:jc w:val="center"/>
        <w:rPr>
          <w:rFonts w:ascii="Times New Roman"/>
          <w:sz w:val="30"/>
        </w:rPr>
      </w:pPr>
      <w:bookmarkStart w:id="1" w:name="_Toc88747120"/>
      <w:r>
        <w:rPr>
          <w:rFonts w:ascii="Times New Roman"/>
          <w:sz w:val="30"/>
        </w:rPr>
        <w:lastRenderedPageBreak/>
        <w:t>第</w:t>
      </w:r>
      <w:r>
        <w:rPr>
          <w:rFonts w:ascii="Times New Roman" w:hint="eastAsia"/>
          <w:sz w:val="30"/>
        </w:rPr>
        <w:t>一条</w:t>
      </w:r>
      <w:r>
        <w:rPr>
          <w:rFonts w:ascii="Times New Roman" w:hint="eastAsia"/>
          <w:sz w:val="30"/>
        </w:rPr>
        <w:t xml:space="preserve"> </w:t>
      </w:r>
      <w:r>
        <w:rPr>
          <w:rFonts w:ascii="Times New Roman"/>
          <w:sz w:val="30"/>
        </w:rPr>
        <w:t xml:space="preserve"> </w:t>
      </w:r>
      <w:r>
        <w:rPr>
          <w:rFonts w:ascii="Times New Roman"/>
          <w:sz w:val="30"/>
        </w:rPr>
        <w:t>释义</w:t>
      </w:r>
      <w:bookmarkEnd w:id="0"/>
      <w:bookmarkEnd w:id="1"/>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（一）在本产品投资协议书中，除非上下文另有明确约定，下列用词</w:t>
      </w:r>
      <w:r>
        <w:rPr>
          <w:rFonts w:asciiTheme="majorEastAsia" w:eastAsiaTheme="majorEastAsia" w:hAnsiTheme="majorEastAsia"/>
          <w:bCs/>
          <w:color w:val="auto"/>
          <w:sz w:val="18"/>
          <w:szCs w:val="18"/>
        </w:rPr>
        <w:t>或简称</w:t>
      </w:r>
      <w:r>
        <w:rPr>
          <w:rFonts w:asciiTheme="majorEastAsia" w:eastAsiaTheme="majorEastAsia" w:hAnsiTheme="majorEastAsia" w:hint="eastAsia"/>
          <w:bCs/>
          <w:color w:val="auto"/>
          <w:sz w:val="18"/>
          <w:szCs w:val="18"/>
        </w:rPr>
        <w:t>具有如下含义：</w:t>
      </w:r>
      <w:r>
        <w:rPr>
          <w:rFonts w:asciiTheme="majorEastAsia" w:eastAsiaTheme="majorEastAsia" w:hAnsiTheme="majorEastAsia"/>
          <w:bCs/>
          <w:color w:val="auto"/>
          <w:sz w:val="18"/>
          <w:szCs w:val="18"/>
        </w:rPr>
        <w:t xml:space="preserve"> </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1.</w:t>
      </w:r>
      <w:r>
        <w:rPr>
          <w:rFonts w:asciiTheme="majorEastAsia" w:eastAsiaTheme="majorEastAsia" w:hAnsiTheme="majorEastAsia" w:hint="eastAsia"/>
          <w:b/>
          <w:bCs/>
          <w:color w:val="auto"/>
          <w:sz w:val="18"/>
          <w:szCs w:val="18"/>
        </w:rPr>
        <w:t>参与主体用语</w:t>
      </w:r>
      <w:r>
        <w:rPr>
          <w:rFonts w:asciiTheme="majorEastAsia" w:eastAsiaTheme="majorEastAsia" w:hAnsiTheme="majorEastAsia"/>
          <w:b/>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黑体" w:eastAsia="黑体" w:hAnsi="黑体" w:cs="仿宋_GB2312" w:hint="eastAsia"/>
          <w:bCs/>
          <w:color w:val="auto"/>
          <w:sz w:val="18"/>
          <w:szCs w:val="18"/>
        </w:rPr>
        <w:t>★</w:t>
      </w:r>
      <w:r>
        <w:rPr>
          <w:rFonts w:ascii="黑体" w:eastAsia="黑体" w:hAnsi="黑体" w:hint="eastAsia"/>
          <w:bCs/>
          <w:color w:val="auto"/>
          <w:sz w:val="18"/>
          <w:szCs w:val="18"/>
        </w:rPr>
        <w:t>管理人</w:t>
      </w:r>
      <w:r>
        <w:rPr>
          <w:rFonts w:ascii="黑体" w:eastAsia="黑体" w:hAnsi="黑体"/>
          <w:bCs/>
          <w:color w:val="auto"/>
          <w:sz w:val="18"/>
          <w:szCs w:val="18"/>
        </w:rPr>
        <w:t>/</w:t>
      </w:r>
      <w:r>
        <w:rPr>
          <w:rFonts w:ascii="黑体" w:eastAsia="黑体" w:hAnsi="黑体" w:hint="eastAsia"/>
          <w:bCs/>
          <w:color w:val="auto"/>
          <w:sz w:val="18"/>
          <w:szCs w:val="18"/>
        </w:rPr>
        <w:t>产品管理人/理财产品</w:t>
      </w:r>
      <w:r>
        <w:rPr>
          <w:rFonts w:ascii="黑体" w:eastAsia="黑体" w:hAnsi="黑体"/>
          <w:bCs/>
          <w:color w:val="auto"/>
          <w:sz w:val="18"/>
          <w:szCs w:val="18"/>
        </w:rPr>
        <w:t>管理人</w:t>
      </w:r>
      <w:r>
        <w:rPr>
          <w:rFonts w:ascii="黑体" w:eastAsia="黑体" w:hAnsi="黑体" w:hint="eastAsia"/>
          <w:bCs/>
          <w:color w:val="auto"/>
          <w:sz w:val="18"/>
          <w:szCs w:val="18"/>
        </w:rPr>
        <w:t>：</w:t>
      </w:r>
      <w:proofErr w:type="gramStart"/>
      <w:r>
        <w:rPr>
          <w:rFonts w:ascii="黑体" w:eastAsia="黑体" w:hAnsi="黑体" w:hint="eastAsia"/>
          <w:bCs/>
          <w:color w:val="auto"/>
          <w:sz w:val="18"/>
          <w:szCs w:val="18"/>
        </w:rPr>
        <w:t>指兴银</w:t>
      </w:r>
      <w:proofErr w:type="gramEnd"/>
      <w:r>
        <w:rPr>
          <w:rFonts w:ascii="黑体" w:eastAsia="黑体" w:hAnsi="黑体" w:hint="eastAsia"/>
          <w:bCs/>
          <w:color w:val="auto"/>
          <w:sz w:val="18"/>
          <w:szCs w:val="18"/>
        </w:rPr>
        <w:t>理财有限责任公司（以下简称</w:t>
      </w:r>
      <w:r>
        <w:rPr>
          <w:rFonts w:ascii="黑体" w:eastAsia="黑体" w:hAnsi="黑体"/>
          <w:bCs/>
          <w:color w:val="auto"/>
          <w:sz w:val="18"/>
          <w:szCs w:val="18"/>
        </w:rPr>
        <w:t>“</w:t>
      </w:r>
      <w:r>
        <w:rPr>
          <w:rFonts w:ascii="黑体" w:eastAsia="黑体" w:hAnsi="黑体" w:hint="eastAsia"/>
          <w:bCs/>
          <w:color w:val="auto"/>
          <w:sz w:val="18"/>
          <w:szCs w:val="18"/>
        </w:rPr>
        <w:t>兴银理财</w:t>
      </w:r>
      <w:r>
        <w:rPr>
          <w:rFonts w:ascii="黑体" w:eastAsia="黑体" w:hAnsi="黑体"/>
          <w:bCs/>
          <w:color w:val="auto"/>
          <w:sz w:val="18"/>
          <w:szCs w:val="18"/>
        </w:rPr>
        <w:t>”</w:t>
      </w:r>
      <w:r>
        <w:rPr>
          <w:rFonts w:ascii="黑体" w:eastAsia="黑体" w:hAnsi="黑体" w:hint="eastAsia"/>
          <w:bCs/>
          <w:color w:val="auto"/>
          <w:sz w:val="18"/>
          <w:szCs w:val="18"/>
        </w:rPr>
        <w:t>）。</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2）</w:t>
      </w:r>
      <w:r>
        <w:rPr>
          <w:rFonts w:asciiTheme="majorEastAsia" w:eastAsiaTheme="majorEastAsia" w:hAnsiTheme="majorEastAsia" w:hint="eastAsia"/>
          <w:bCs/>
          <w:color w:val="auto"/>
          <w:sz w:val="18"/>
          <w:szCs w:val="18"/>
        </w:rPr>
        <w:t>托管人</w:t>
      </w:r>
      <w:r>
        <w:rPr>
          <w:rFonts w:asciiTheme="majorEastAsia" w:eastAsiaTheme="majorEastAsia" w:hAnsiTheme="majorEastAsia"/>
          <w:bCs/>
          <w:color w:val="auto"/>
          <w:sz w:val="18"/>
          <w:szCs w:val="18"/>
        </w:rPr>
        <w:t>/产品</w:t>
      </w:r>
      <w:r>
        <w:rPr>
          <w:rFonts w:asciiTheme="majorEastAsia" w:eastAsiaTheme="majorEastAsia" w:hAnsiTheme="majorEastAsia" w:hint="eastAsia"/>
          <w:bCs/>
          <w:color w:val="auto"/>
          <w:sz w:val="18"/>
          <w:szCs w:val="18"/>
        </w:rPr>
        <w:t>托管人/理财产品</w:t>
      </w:r>
      <w:r>
        <w:rPr>
          <w:rFonts w:asciiTheme="majorEastAsia" w:eastAsiaTheme="majorEastAsia" w:hAnsiTheme="majorEastAsia"/>
          <w:bCs/>
          <w:color w:val="auto"/>
          <w:sz w:val="18"/>
          <w:szCs w:val="18"/>
        </w:rPr>
        <w:t>托管人</w:t>
      </w:r>
      <w:r>
        <w:rPr>
          <w:rFonts w:asciiTheme="majorEastAsia" w:eastAsiaTheme="majorEastAsia" w:hAnsiTheme="majorEastAsia" w:hint="eastAsia"/>
          <w:bCs/>
          <w:color w:val="auto"/>
          <w:sz w:val="18"/>
          <w:szCs w:val="18"/>
        </w:rPr>
        <w:t>：指兴业银行股份有限公司（以下简称</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兴业银行</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）。兴业银行成立于</w:t>
      </w:r>
      <w:r>
        <w:rPr>
          <w:rFonts w:asciiTheme="majorEastAsia" w:eastAsiaTheme="majorEastAsia" w:hAnsiTheme="majorEastAsia"/>
          <w:bCs/>
          <w:color w:val="auto"/>
          <w:sz w:val="18"/>
          <w:szCs w:val="18"/>
        </w:rPr>
        <w:t>1988年，于2005年开展资产托管业务，具备理财产品托管资格。</w:t>
      </w:r>
      <w:r>
        <w:rPr>
          <w:rFonts w:asciiTheme="majorEastAsia" w:eastAsiaTheme="majorEastAsia" w:hAnsiTheme="majorEastAsia" w:hint="eastAsia"/>
          <w:bCs/>
          <w:color w:val="auto"/>
          <w:sz w:val="18"/>
          <w:szCs w:val="18"/>
        </w:rPr>
        <w:t>托管人负责履行安全保管理财产品资金及其所投资的资产，办理清算、交割事宜，与管理人对账，监督理财产品投资运作等职责。</w:t>
      </w:r>
      <w:r>
        <w:rPr>
          <w:rFonts w:asciiTheme="majorEastAsia" w:eastAsiaTheme="majorEastAsia" w:hAnsiTheme="majorEastAsia"/>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（3）</w:t>
      </w:r>
      <w:r>
        <w:rPr>
          <w:rFonts w:ascii="黑体" w:eastAsia="黑体" w:hAnsi="黑体" w:hint="eastAsia"/>
          <w:bCs/>
          <w:color w:val="auto"/>
          <w:sz w:val="18"/>
          <w:szCs w:val="18"/>
        </w:rPr>
        <w:t>★销售机构：</w:t>
      </w:r>
      <w:r>
        <w:rPr>
          <w:rFonts w:asciiTheme="majorEastAsia" w:eastAsiaTheme="majorEastAsia" w:hAnsiTheme="majorEastAsia" w:hint="eastAsia"/>
          <w:bCs/>
          <w:sz w:val="18"/>
          <w:szCs w:val="18"/>
        </w:rPr>
        <w:t>指具备理财产品</w:t>
      </w:r>
      <w:r>
        <w:rPr>
          <w:rFonts w:asciiTheme="majorEastAsia" w:eastAsiaTheme="majorEastAsia" w:hAnsiTheme="majorEastAsia"/>
          <w:bCs/>
          <w:sz w:val="18"/>
          <w:szCs w:val="18"/>
        </w:rPr>
        <w:t>销售</w:t>
      </w:r>
      <w:r>
        <w:rPr>
          <w:rFonts w:asciiTheme="majorEastAsia" w:eastAsiaTheme="majorEastAsia" w:hAnsiTheme="majorEastAsia" w:hint="eastAsia"/>
          <w:bCs/>
          <w:sz w:val="18"/>
          <w:szCs w:val="18"/>
        </w:rPr>
        <w:t>资格</w:t>
      </w:r>
      <w:r>
        <w:rPr>
          <w:rFonts w:asciiTheme="majorEastAsia" w:eastAsiaTheme="majorEastAsia" w:hAnsiTheme="majorEastAsia"/>
          <w:bCs/>
          <w:sz w:val="18"/>
          <w:szCs w:val="18"/>
        </w:rPr>
        <w:t>的</w:t>
      </w:r>
      <w:r>
        <w:rPr>
          <w:rFonts w:asciiTheme="majorEastAsia" w:eastAsiaTheme="majorEastAsia" w:hAnsiTheme="majorEastAsia" w:hint="eastAsia"/>
          <w:bCs/>
          <w:sz w:val="18"/>
          <w:szCs w:val="18"/>
        </w:rPr>
        <w:t>机构。按是否销售本公司发行的理财产品，销售机构可分为</w:t>
      </w:r>
      <w:r>
        <w:rPr>
          <w:rFonts w:asciiTheme="majorEastAsia" w:eastAsiaTheme="majorEastAsia" w:hAnsiTheme="majorEastAsia" w:hint="eastAsia"/>
          <w:bCs/>
          <w:color w:val="auto"/>
          <w:sz w:val="18"/>
          <w:szCs w:val="18"/>
        </w:rPr>
        <w:t>直销机构和代销机构，其中：直销机构指销售本公司发行理财产品的理财公司，代销机构指接受理财公司委托销售发行理财产品的代理销售机构。销售机构在其渠道开展向投资者宣传推介、销售产品管理人依法发行的资产管理产品的活动。</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“销售”是指面向投资者开展的以下部分或全部业务活动：</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）以展示、介绍、比较单只或多只理财产品部分或全部特征信息并直接或间接提供认购、申购、赎回服务等方式宣传推介理财产品；</w:t>
      </w:r>
      <w:r>
        <w:rPr>
          <w:rFonts w:asciiTheme="majorEastAsia" w:eastAsiaTheme="majorEastAsia" w:hAnsiTheme="majorEastAsia"/>
          <w:bCs/>
          <w:color w:val="auto"/>
          <w:sz w:val="18"/>
          <w:szCs w:val="18"/>
        </w:rPr>
        <w:t>2）提供单只或多只理财产品投资建议；3）为投资者办理理财产品认购、申购和赎回；4）银保监会认定的其他业务活动。各</w:t>
      </w:r>
      <w:r>
        <w:rPr>
          <w:rFonts w:asciiTheme="majorEastAsia" w:eastAsiaTheme="majorEastAsia" w:hAnsiTheme="majorEastAsia" w:hint="eastAsia"/>
          <w:bCs/>
          <w:color w:val="auto"/>
          <w:sz w:val="18"/>
          <w:szCs w:val="18"/>
        </w:rPr>
        <w:t>销售机构的具体名单</w:t>
      </w:r>
      <w:proofErr w:type="gramStart"/>
      <w:r>
        <w:rPr>
          <w:rFonts w:asciiTheme="majorEastAsia" w:eastAsiaTheme="majorEastAsia" w:hAnsiTheme="majorEastAsia" w:hint="eastAsia"/>
          <w:bCs/>
          <w:color w:val="auto"/>
          <w:sz w:val="18"/>
          <w:szCs w:val="18"/>
        </w:rPr>
        <w:t>见产品</w:t>
      </w:r>
      <w:proofErr w:type="gramEnd"/>
      <w:r>
        <w:rPr>
          <w:rFonts w:asciiTheme="majorEastAsia" w:eastAsiaTheme="majorEastAsia" w:hAnsiTheme="majorEastAsia" w:hint="eastAsia"/>
          <w:bCs/>
          <w:color w:val="auto"/>
          <w:sz w:val="18"/>
          <w:szCs w:val="18"/>
        </w:rPr>
        <w:t>管理人届时发布的相关公告及相关《（代理）销售协议书》中的约定。</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投资者：指符合相关法律法规、监管规定要求的，可以购买理财产品份额的自然人和法人。</w:t>
      </w:r>
      <w:r>
        <w:rPr>
          <w:rFonts w:asciiTheme="majorEastAsia" w:eastAsiaTheme="majorEastAsia" w:hAnsiTheme="majorEastAsia"/>
          <w:bCs/>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（5）合格投资者：合格投资者是指具备相应风险识别能力和风险承受能力，投资于单只理财产品不低于一定金额且符合下列条件的自然人、法人或者依法成立的其他组织：</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w:t>
      </w:r>
      <w:r>
        <w:rPr>
          <w:rFonts w:asciiTheme="majorEastAsia" w:eastAsiaTheme="majorEastAsia" w:hAnsiTheme="majorEastAsia" w:hint="eastAsia"/>
          <w:bCs/>
          <w:sz w:val="18"/>
          <w:szCs w:val="18"/>
        </w:rPr>
        <w:t>具有</w:t>
      </w:r>
      <w:r>
        <w:rPr>
          <w:rFonts w:asciiTheme="majorEastAsia" w:eastAsiaTheme="majorEastAsia" w:hAnsiTheme="majorEastAsia"/>
          <w:bCs/>
          <w:sz w:val="18"/>
          <w:szCs w:val="18"/>
        </w:rPr>
        <w:t>2年以上投资经历，且满足家庭金融净资产不低于300万元人民币，或者家庭金融资产不低于500万元人民币，或者近3年本人年均收入不低于40万元人民币；</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2）最近</w:t>
      </w:r>
      <w:r>
        <w:rPr>
          <w:rFonts w:asciiTheme="majorEastAsia" w:eastAsiaTheme="majorEastAsia" w:hAnsiTheme="majorEastAsia"/>
          <w:bCs/>
          <w:sz w:val="18"/>
          <w:szCs w:val="18"/>
        </w:rPr>
        <w:t>1年末净资产不低于1000万元人民币的法人或者依法成立的其他组织；</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3）国务院银行业监督管理机构规定的其他情形。</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（6）全国银行业理财信息登记系统：指供商业银行及商业银行理财公司进行理财产品</w:t>
      </w:r>
      <w:proofErr w:type="gramStart"/>
      <w:r>
        <w:rPr>
          <w:rFonts w:asciiTheme="majorEastAsia" w:eastAsiaTheme="majorEastAsia" w:hAnsiTheme="majorEastAsia" w:hint="eastAsia"/>
          <w:bCs/>
          <w:color w:val="auto"/>
          <w:sz w:val="18"/>
          <w:szCs w:val="18"/>
        </w:rPr>
        <w:t>电子化报告</w:t>
      </w:r>
      <w:proofErr w:type="gramEnd"/>
      <w:r>
        <w:rPr>
          <w:rFonts w:asciiTheme="majorEastAsia" w:eastAsiaTheme="majorEastAsia" w:hAnsiTheme="majorEastAsia" w:hint="eastAsia"/>
          <w:bCs/>
          <w:color w:val="auto"/>
          <w:sz w:val="18"/>
          <w:szCs w:val="18"/>
        </w:rPr>
        <w:t>和信息登记的电子信息系统。</w:t>
      </w:r>
    </w:p>
    <w:p w:rsidR="004A6D8C" w:rsidRDefault="00C1729C">
      <w:pPr>
        <w:pStyle w:val="Default"/>
        <w:spacing w:line="360" w:lineRule="auto"/>
        <w:ind w:firstLineChars="200" w:firstLine="361"/>
        <w:rPr>
          <w:rFonts w:asciiTheme="majorEastAsia" w:eastAsiaTheme="majorEastAsia" w:hAnsiTheme="majorEastAsia"/>
          <w:bCs/>
          <w:color w:val="auto"/>
          <w:sz w:val="18"/>
          <w:szCs w:val="18"/>
        </w:rPr>
      </w:pPr>
      <w:r>
        <w:rPr>
          <w:rFonts w:asciiTheme="majorEastAsia" w:eastAsiaTheme="majorEastAsia" w:hAnsiTheme="majorEastAsia"/>
          <w:b/>
          <w:bCs/>
          <w:color w:val="auto"/>
          <w:sz w:val="18"/>
          <w:szCs w:val="18"/>
        </w:rPr>
        <w:t xml:space="preserve">2. </w:t>
      </w:r>
      <w:r>
        <w:rPr>
          <w:rFonts w:asciiTheme="majorEastAsia" w:eastAsiaTheme="majorEastAsia" w:hAnsiTheme="majorEastAsia" w:hint="eastAsia"/>
          <w:b/>
          <w:bCs/>
          <w:color w:val="auto"/>
          <w:sz w:val="18"/>
          <w:szCs w:val="18"/>
        </w:rPr>
        <w:t>法律文件用语</w:t>
      </w:r>
      <w:r>
        <w:rPr>
          <w:rFonts w:asciiTheme="majorEastAsia" w:eastAsiaTheme="majorEastAsia" w:hAnsiTheme="majorEastAsia"/>
          <w:b/>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理财产品销售文件</w:t>
      </w:r>
      <w:r>
        <w:rPr>
          <w:rFonts w:asciiTheme="majorEastAsia" w:eastAsiaTheme="majorEastAsia" w:hAnsiTheme="majorEastAsia"/>
          <w:bCs/>
          <w:sz w:val="18"/>
          <w:szCs w:val="18"/>
        </w:rPr>
        <w:t xml:space="preserve"> </w:t>
      </w:r>
      <w:r>
        <w:rPr>
          <w:rFonts w:asciiTheme="majorEastAsia" w:eastAsiaTheme="majorEastAsia" w:hAnsiTheme="majorEastAsia" w:hint="eastAsia"/>
          <w:bCs/>
          <w:sz w:val="18"/>
          <w:szCs w:val="18"/>
        </w:rPr>
        <w:t>：指产品管理人向投资者提供的，用于描述产品特征，约定权利义务的文件。具体指《兴银理财【稳利丰收封闭式固收类】理财产品 销售文件》，包括《投资协议书》、《产品</w:t>
      </w:r>
      <w:r>
        <w:rPr>
          <w:rFonts w:asciiTheme="majorEastAsia" w:eastAsiaTheme="majorEastAsia" w:hAnsiTheme="majorEastAsia" w:hint="eastAsia"/>
          <w:bCs/>
          <w:sz w:val="18"/>
          <w:szCs w:val="18"/>
        </w:rPr>
        <w:lastRenderedPageBreak/>
        <w:t>说明书》、《（代理）销售</w:t>
      </w:r>
      <w:r>
        <w:rPr>
          <w:rFonts w:asciiTheme="majorEastAsia" w:eastAsiaTheme="majorEastAsia" w:hAnsiTheme="majorEastAsia"/>
          <w:bCs/>
          <w:sz w:val="18"/>
          <w:szCs w:val="18"/>
        </w:rPr>
        <w:t>协议书</w:t>
      </w:r>
      <w:r>
        <w:rPr>
          <w:rFonts w:asciiTheme="majorEastAsia" w:eastAsiaTheme="majorEastAsia" w:hAnsiTheme="majorEastAsia" w:hint="eastAsia"/>
          <w:bCs/>
          <w:sz w:val="18"/>
          <w:szCs w:val="18"/>
        </w:rPr>
        <w:t>》、《风险揭示书》、《投资者权益须知》以及对该文件的有效修改或补充。上述文件共同构成一份完整且不可分割的理财产品销售文件。经</w:t>
      </w:r>
      <w:r>
        <w:rPr>
          <w:rFonts w:asciiTheme="majorEastAsia" w:eastAsiaTheme="majorEastAsia" w:hAnsiTheme="majorEastAsia"/>
          <w:bCs/>
          <w:sz w:val="18"/>
          <w:szCs w:val="18"/>
        </w:rPr>
        <w:t>产品</w:t>
      </w:r>
      <w:r>
        <w:rPr>
          <w:rFonts w:asciiTheme="majorEastAsia" w:eastAsiaTheme="majorEastAsia" w:hAnsiTheme="majorEastAsia" w:hint="eastAsia"/>
          <w:bCs/>
          <w:sz w:val="18"/>
          <w:szCs w:val="18"/>
        </w:rPr>
        <w:t>管理人</w:t>
      </w:r>
      <w:r>
        <w:rPr>
          <w:rFonts w:asciiTheme="majorEastAsia" w:eastAsiaTheme="majorEastAsia" w:hAnsiTheme="majorEastAsia"/>
          <w:bCs/>
          <w:sz w:val="18"/>
          <w:szCs w:val="18"/>
        </w:rPr>
        <w:t>委托，代理销售机构可以编制</w:t>
      </w:r>
      <w:r>
        <w:rPr>
          <w:rFonts w:asciiTheme="majorEastAsia" w:eastAsiaTheme="majorEastAsia" w:hAnsiTheme="majorEastAsia" w:hint="eastAsia"/>
          <w:bCs/>
          <w:sz w:val="18"/>
          <w:szCs w:val="18"/>
        </w:rPr>
        <w:t>《（代理）销售</w:t>
      </w:r>
      <w:r>
        <w:rPr>
          <w:rFonts w:asciiTheme="majorEastAsia" w:eastAsiaTheme="majorEastAsia" w:hAnsiTheme="majorEastAsia"/>
          <w:bCs/>
          <w:sz w:val="18"/>
          <w:szCs w:val="18"/>
        </w:rPr>
        <w:t>协议书</w:t>
      </w:r>
      <w:r>
        <w:rPr>
          <w:rFonts w:asciiTheme="majorEastAsia" w:eastAsiaTheme="majorEastAsia" w:hAnsiTheme="majorEastAsia" w:hint="eastAsia"/>
          <w:bCs/>
          <w:sz w:val="18"/>
          <w:szCs w:val="18"/>
        </w:rPr>
        <w:t>》、《风险揭示书》、《投资者权益须知》。</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《投资协议书》：指管理人统一编制的《兴银理财【稳利丰收封闭式固收类】理财产品 投资协议书》，以及对该文件的有效修改或补充。</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）《产品说明书》：指管理人统一编制的《兴银理财【稳利丰收封闭式固收类】理财产品 产品说明书》，以及对该文件的有效修改或补充。</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（4）《（代理）销售协议书》：指管理人统一编制的《兴银理财【稳利丰收封闭式固收类】理财产品 （代理）销售协议书》或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w:t>
      </w:r>
      <w:r>
        <w:rPr>
          <w:rFonts w:asciiTheme="majorEastAsia" w:eastAsiaTheme="majorEastAsia" w:hAnsiTheme="majorEastAsia"/>
          <w:bCs/>
          <w:sz w:val="18"/>
          <w:szCs w:val="18"/>
        </w:rPr>
        <w:t>编制</w:t>
      </w:r>
      <w:r>
        <w:rPr>
          <w:rFonts w:asciiTheme="majorEastAsia" w:eastAsiaTheme="majorEastAsia" w:hAnsiTheme="majorEastAsia" w:hint="eastAsia"/>
          <w:bCs/>
          <w:sz w:val="18"/>
          <w:szCs w:val="18"/>
        </w:rPr>
        <w:t>的《兴银理财【稳利丰收封闭式固收类】理财产品 （代理）销售协议书》（文件名称以代理销售机构实际编制为准），以及对该文件的有效修改或补充。</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）《风险揭示书》：指管理人统一编制的《兴银理财【稳利丰收封闭式固收类】理财产品 风险揭示书》或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w:t>
      </w:r>
      <w:r>
        <w:rPr>
          <w:rFonts w:asciiTheme="majorEastAsia" w:eastAsiaTheme="majorEastAsia" w:hAnsiTheme="majorEastAsia"/>
          <w:bCs/>
          <w:sz w:val="18"/>
          <w:szCs w:val="18"/>
        </w:rPr>
        <w:t>编制</w:t>
      </w:r>
      <w:r>
        <w:rPr>
          <w:rFonts w:asciiTheme="majorEastAsia" w:eastAsiaTheme="majorEastAsia" w:hAnsiTheme="majorEastAsia" w:hint="eastAsia"/>
          <w:bCs/>
          <w:sz w:val="18"/>
          <w:szCs w:val="18"/>
        </w:rPr>
        <w:t>的《兴银理财【稳利丰收封闭式固收类】理财产品 风险揭示书》（文件名称以代理销售机构实际编制为准），以及对该文件的有效修改或补充。</w:t>
      </w:r>
    </w:p>
    <w:p w:rsidR="004A6D8C" w:rsidRDefault="00C1729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6</w:t>
      </w:r>
      <w:r>
        <w:rPr>
          <w:rFonts w:asciiTheme="majorEastAsia" w:eastAsiaTheme="majorEastAsia" w:hAnsiTheme="majorEastAsia" w:hint="eastAsia"/>
          <w:bCs/>
          <w:sz w:val="18"/>
          <w:szCs w:val="18"/>
        </w:rPr>
        <w:t>）《投资者权益须知》：指管理人统一编制的《兴银理财【稳利丰收封闭式固收类】理财产品 投资者权益须知》或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自行编制</w:t>
      </w:r>
      <w:r>
        <w:rPr>
          <w:rFonts w:asciiTheme="majorEastAsia" w:eastAsiaTheme="majorEastAsia" w:hAnsiTheme="majorEastAsia"/>
          <w:bCs/>
          <w:sz w:val="18"/>
          <w:szCs w:val="18"/>
        </w:rPr>
        <w:t>的</w:t>
      </w:r>
      <w:r>
        <w:rPr>
          <w:rFonts w:asciiTheme="majorEastAsia" w:eastAsiaTheme="majorEastAsia" w:hAnsiTheme="majorEastAsia" w:hint="eastAsia"/>
          <w:bCs/>
          <w:sz w:val="18"/>
          <w:szCs w:val="18"/>
        </w:rPr>
        <w:t>《兴银理财【稳利丰收封闭式固收类】理财产品 投资者权益须知》（文件名称以代理销售机构实际编制为准），以及对该文件的有效修改或补充。</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3. </w:t>
      </w:r>
      <w:r>
        <w:rPr>
          <w:rFonts w:asciiTheme="majorEastAsia" w:eastAsiaTheme="majorEastAsia" w:hAnsiTheme="majorEastAsia" w:hint="eastAsia"/>
          <w:b/>
          <w:bCs/>
          <w:color w:val="auto"/>
          <w:sz w:val="18"/>
          <w:szCs w:val="18"/>
        </w:rPr>
        <w:t>理财产品用语</w:t>
      </w:r>
      <w:r>
        <w:rPr>
          <w:rFonts w:asciiTheme="majorEastAsia" w:eastAsiaTheme="majorEastAsia" w:hAnsiTheme="majorEastAsia"/>
          <w:b/>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1）理财产品登记编码：指本款理财产品</w:t>
      </w:r>
      <w:r>
        <w:rPr>
          <w:rFonts w:asciiTheme="majorEastAsia" w:eastAsiaTheme="majorEastAsia" w:hAnsiTheme="majorEastAsia" w:hint="eastAsia"/>
          <w:bCs/>
          <w:color w:val="auto"/>
          <w:sz w:val="18"/>
          <w:szCs w:val="18"/>
        </w:rPr>
        <w:t>在全国银行业理财信息登记系统</w:t>
      </w:r>
      <w:r>
        <w:rPr>
          <w:rFonts w:asciiTheme="majorEastAsia" w:eastAsiaTheme="majorEastAsia" w:hAnsiTheme="majorEastAsia"/>
          <w:bCs/>
          <w:color w:val="auto"/>
          <w:sz w:val="18"/>
          <w:szCs w:val="18"/>
        </w:rPr>
        <w:t>对理财产品进行信息登记后</w:t>
      </w:r>
      <w:r>
        <w:rPr>
          <w:rFonts w:asciiTheme="majorEastAsia" w:eastAsiaTheme="majorEastAsia" w:hAnsiTheme="majorEastAsia" w:hint="eastAsia"/>
          <w:bCs/>
          <w:color w:val="auto"/>
          <w:sz w:val="18"/>
          <w:szCs w:val="18"/>
        </w:rPr>
        <w:t>，由全国银行业理财信息登记系统发放的唯一性的理财产品编码。投资者可依据登记编码在中国理财网（w</w:t>
      </w:r>
      <w:r>
        <w:rPr>
          <w:rFonts w:asciiTheme="majorEastAsia" w:eastAsiaTheme="majorEastAsia" w:hAnsiTheme="majorEastAsia"/>
          <w:bCs/>
          <w:color w:val="auto"/>
          <w:sz w:val="18"/>
          <w:szCs w:val="18"/>
        </w:rPr>
        <w:t>ww.chinawealth.com.cn</w:t>
      </w:r>
      <w:r>
        <w:rPr>
          <w:rFonts w:asciiTheme="majorEastAsia" w:eastAsiaTheme="majorEastAsia" w:hAnsiTheme="majorEastAsia" w:hint="eastAsia"/>
          <w:bCs/>
          <w:color w:val="auto"/>
          <w:sz w:val="18"/>
          <w:szCs w:val="18"/>
        </w:rPr>
        <w:t>）查询产品信息。</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2）理财</w:t>
      </w:r>
      <w:r>
        <w:rPr>
          <w:rFonts w:asciiTheme="majorEastAsia" w:eastAsiaTheme="majorEastAsia" w:hAnsiTheme="majorEastAsia" w:hint="eastAsia"/>
          <w:bCs/>
          <w:color w:val="auto"/>
          <w:sz w:val="18"/>
          <w:szCs w:val="18"/>
        </w:rPr>
        <w:t>产品代码</w:t>
      </w:r>
      <w:r>
        <w:rPr>
          <w:rFonts w:asciiTheme="majorEastAsia" w:eastAsiaTheme="majorEastAsia" w:hAnsiTheme="majorEastAsia"/>
          <w:bCs/>
          <w:color w:val="auto"/>
          <w:sz w:val="18"/>
          <w:szCs w:val="18"/>
        </w:rPr>
        <w:t>/产品代码</w:t>
      </w:r>
      <w:r>
        <w:rPr>
          <w:rFonts w:asciiTheme="majorEastAsia" w:eastAsiaTheme="majorEastAsia" w:hAnsiTheme="majorEastAsia" w:hint="eastAsia"/>
          <w:bCs/>
          <w:color w:val="auto"/>
          <w:sz w:val="18"/>
          <w:szCs w:val="18"/>
        </w:rPr>
        <w:t>：指产品管理人在全国银行业理财信息登记系统中为理财产品设置的内部识别码。</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（3）理财产品销售代码/销售代码</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指本款理财产品若设置不同</w:t>
      </w:r>
      <w:r>
        <w:rPr>
          <w:rFonts w:asciiTheme="majorEastAsia" w:eastAsiaTheme="majorEastAsia" w:hAnsiTheme="majorEastAsia"/>
          <w:bCs/>
          <w:color w:val="auto"/>
          <w:sz w:val="18"/>
          <w:szCs w:val="18"/>
        </w:rPr>
        <w:t>产品份额类别</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为</w:t>
      </w:r>
      <w:r>
        <w:rPr>
          <w:rFonts w:asciiTheme="majorEastAsia" w:eastAsiaTheme="majorEastAsia" w:hAnsiTheme="majorEastAsia" w:hint="eastAsia"/>
          <w:bCs/>
          <w:color w:val="auto"/>
          <w:sz w:val="18"/>
          <w:szCs w:val="18"/>
        </w:rPr>
        <w:t>在理财产品销售管理</w:t>
      </w:r>
      <w:r>
        <w:rPr>
          <w:rFonts w:asciiTheme="majorEastAsia" w:eastAsiaTheme="majorEastAsia" w:hAnsiTheme="majorEastAsia"/>
          <w:bCs/>
          <w:color w:val="auto"/>
          <w:sz w:val="18"/>
          <w:szCs w:val="18"/>
        </w:rPr>
        <w:t>过程中</w:t>
      </w:r>
      <w:r>
        <w:rPr>
          <w:rFonts w:asciiTheme="majorEastAsia" w:eastAsiaTheme="majorEastAsia" w:hAnsiTheme="majorEastAsia" w:hint="eastAsia"/>
          <w:bCs/>
          <w:color w:val="auto"/>
          <w:sz w:val="18"/>
          <w:szCs w:val="18"/>
        </w:rPr>
        <w:t>区分不同产品份额类别，管理人</w:t>
      </w:r>
      <w:r>
        <w:rPr>
          <w:rFonts w:asciiTheme="majorEastAsia" w:eastAsiaTheme="majorEastAsia" w:hAnsiTheme="majorEastAsia"/>
          <w:bCs/>
          <w:color w:val="auto"/>
          <w:sz w:val="18"/>
          <w:szCs w:val="18"/>
        </w:rPr>
        <w:t>在同一</w:t>
      </w:r>
      <w:r>
        <w:rPr>
          <w:rFonts w:asciiTheme="majorEastAsia" w:eastAsiaTheme="majorEastAsia" w:hAnsiTheme="majorEastAsia" w:hint="eastAsia"/>
          <w:bCs/>
          <w:color w:val="auto"/>
          <w:sz w:val="18"/>
          <w:szCs w:val="18"/>
        </w:rPr>
        <w:t>理财</w:t>
      </w:r>
      <w:r>
        <w:rPr>
          <w:rFonts w:asciiTheme="majorEastAsia" w:eastAsiaTheme="majorEastAsia" w:hAnsiTheme="majorEastAsia"/>
          <w:bCs/>
          <w:color w:val="auto"/>
          <w:sz w:val="18"/>
          <w:szCs w:val="18"/>
        </w:rPr>
        <w:t>产品代码项下</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为每类份额类别设置的唯一性</w:t>
      </w:r>
      <w:r>
        <w:rPr>
          <w:rFonts w:asciiTheme="majorEastAsia" w:eastAsiaTheme="majorEastAsia" w:hAnsiTheme="majorEastAsia" w:hint="eastAsia"/>
          <w:bCs/>
          <w:color w:val="auto"/>
          <w:sz w:val="18"/>
          <w:szCs w:val="18"/>
        </w:rPr>
        <w:t>内部识别码。</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（4）理财产品风险等级：理财产品风险等级为产品管理人和销售机构经过审慎评估后确定的产品风险等级。</w:t>
      </w:r>
      <w:r>
        <w:rPr>
          <w:rFonts w:asciiTheme="majorEastAsia" w:eastAsiaTheme="majorEastAsia" w:hAnsiTheme="majorEastAsia" w:hint="eastAsia"/>
          <w:bCs/>
          <w:sz w:val="18"/>
          <w:szCs w:val="18"/>
        </w:rPr>
        <w:t>若本产品通过代理销售机构销售的，理财产品评级以代理销售机构最终披露的评级结果为准。产品管理人和代理销售机构对理财产品的风险等级评估结果不一致时，代理销售机构应采用对应较高风险的</w:t>
      </w:r>
      <w:r>
        <w:rPr>
          <w:rFonts w:asciiTheme="majorEastAsia" w:eastAsiaTheme="majorEastAsia" w:hAnsiTheme="majorEastAsia" w:hint="eastAsia"/>
          <w:bCs/>
          <w:sz w:val="18"/>
          <w:szCs w:val="18"/>
        </w:rPr>
        <w:lastRenderedPageBreak/>
        <w:t>评级结果。</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（5）投资者风险承受能力评估：指销售机构对理财投资者的风险承受能力进行评价的过程。</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6</w:t>
      </w:r>
      <w:r>
        <w:rPr>
          <w:rFonts w:asciiTheme="majorEastAsia" w:eastAsiaTheme="majorEastAsia" w:hAnsiTheme="majorEastAsia" w:hint="eastAsia"/>
          <w:bCs/>
          <w:color w:val="auto"/>
          <w:sz w:val="18"/>
          <w:szCs w:val="18"/>
        </w:rPr>
        <w:t>）适合投资者：指适合购买本产品的投资者类型。</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7</w:t>
      </w:r>
      <w:r>
        <w:rPr>
          <w:rFonts w:asciiTheme="majorEastAsia" w:eastAsiaTheme="majorEastAsia" w:hAnsiTheme="majorEastAsia" w:hint="eastAsia"/>
          <w:bCs/>
          <w:color w:val="auto"/>
          <w:sz w:val="18"/>
          <w:szCs w:val="18"/>
        </w:rPr>
        <w:t>）理财产品份额：指投资者持有本理财产品的单位数额。投资者基于其所持有的理财产品单位数额享有理财产品利益、承担理财产品风险。理财</w:t>
      </w:r>
      <w:r>
        <w:rPr>
          <w:rFonts w:asciiTheme="majorEastAsia" w:eastAsiaTheme="majorEastAsia" w:hAnsiTheme="majorEastAsia"/>
          <w:bCs/>
          <w:color w:val="auto"/>
          <w:sz w:val="18"/>
          <w:szCs w:val="18"/>
        </w:rPr>
        <w:t>产品份额四舍五入保留2位小数</w:t>
      </w:r>
      <w:r>
        <w:rPr>
          <w:rFonts w:asciiTheme="majorEastAsia" w:eastAsiaTheme="majorEastAsia" w:hAnsiTheme="majorEastAsia" w:hint="eastAsia"/>
          <w:bCs/>
          <w:color w:val="auto"/>
          <w:sz w:val="18"/>
          <w:szCs w:val="18"/>
        </w:rPr>
        <w:t>。</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8</w:t>
      </w:r>
      <w:r>
        <w:rPr>
          <w:rFonts w:asciiTheme="majorEastAsia" w:eastAsiaTheme="majorEastAsia" w:hAnsiTheme="majorEastAsia" w:hint="eastAsia"/>
          <w:bCs/>
          <w:color w:val="auto"/>
          <w:sz w:val="18"/>
          <w:szCs w:val="18"/>
        </w:rPr>
        <w:t>）</w:t>
      </w:r>
      <w:r>
        <w:rPr>
          <w:rFonts w:hAnsi="宋体" w:hint="eastAsia"/>
          <w:color w:val="auto"/>
          <w:sz w:val="18"/>
          <w:szCs w:val="18"/>
        </w:rPr>
        <w:t>理财产品资产净值/理财资产净值/产品资产净值</w:t>
      </w:r>
      <w:r>
        <w:rPr>
          <w:rFonts w:asciiTheme="majorEastAsia" w:eastAsiaTheme="majorEastAsia" w:hAnsiTheme="majorEastAsia" w:hint="eastAsia"/>
          <w:bCs/>
          <w:color w:val="auto"/>
          <w:sz w:val="18"/>
          <w:szCs w:val="18"/>
        </w:rPr>
        <w:t>：理财产品资产净值</w:t>
      </w:r>
      <w:r>
        <w:rPr>
          <w:rFonts w:asciiTheme="majorEastAsia" w:eastAsiaTheme="majorEastAsia" w:hAnsiTheme="majorEastAsia"/>
          <w:bCs/>
          <w:color w:val="auto"/>
          <w:sz w:val="18"/>
          <w:szCs w:val="18"/>
        </w:rPr>
        <w:t>=理财</w:t>
      </w:r>
      <w:r>
        <w:rPr>
          <w:rFonts w:asciiTheme="majorEastAsia" w:eastAsiaTheme="majorEastAsia" w:hAnsiTheme="majorEastAsia" w:hint="eastAsia"/>
          <w:bCs/>
          <w:color w:val="auto"/>
          <w:sz w:val="18"/>
          <w:szCs w:val="18"/>
        </w:rPr>
        <w:t>产品资产总值</w:t>
      </w:r>
      <w:r>
        <w:rPr>
          <w:rFonts w:asciiTheme="majorEastAsia" w:eastAsiaTheme="majorEastAsia" w:hAnsiTheme="majorEastAsia"/>
          <w:bCs/>
          <w:color w:val="auto"/>
          <w:sz w:val="18"/>
          <w:szCs w:val="18"/>
        </w:rPr>
        <w:t>-理财</w:t>
      </w:r>
      <w:r>
        <w:rPr>
          <w:rFonts w:asciiTheme="majorEastAsia" w:eastAsiaTheme="majorEastAsia" w:hAnsiTheme="majorEastAsia" w:hint="eastAsia"/>
          <w:bCs/>
          <w:color w:val="auto"/>
          <w:sz w:val="18"/>
          <w:szCs w:val="18"/>
        </w:rPr>
        <w:t>产品负债总值。</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理财产品资产总值是指理财产品拥有的各类有价证券、银行存款、应收款项及其他资产的价值总和。</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理财产品负债总值是指理财产品运作及融资时形成的负债价值总和，包括融资资金本息、应付各项费用（包括托管费、认购费、固定管理费、业绩报酬、其他费用等）、应付税金及其他应付款项等。</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9</w:t>
      </w:r>
      <w:r>
        <w:rPr>
          <w:rFonts w:asciiTheme="majorEastAsia" w:eastAsiaTheme="majorEastAsia" w:hAnsiTheme="majorEastAsia" w:hint="eastAsia"/>
          <w:bCs/>
          <w:color w:val="auto"/>
          <w:sz w:val="18"/>
          <w:szCs w:val="18"/>
        </w:rPr>
        <w:t>）理财产品份额净值/理财份额净值/产品份额净值：指理财产品份额的单位净值，即每</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份理财产品份额以人民币计价的价格。理财产品份额净值</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理财资产净值</w:t>
      </w:r>
      <w:r>
        <w:rPr>
          <w:rFonts w:asciiTheme="majorEastAsia" w:eastAsiaTheme="majorEastAsia" w:hAnsiTheme="majorEastAsia"/>
          <w:bCs/>
          <w:color w:val="auto"/>
          <w:sz w:val="18"/>
          <w:szCs w:val="18"/>
        </w:rPr>
        <w:t>/产品</w:t>
      </w:r>
      <w:r>
        <w:rPr>
          <w:rFonts w:asciiTheme="majorEastAsia" w:eastAsiaTheme="majorEastAsia" w:hAnsiTheme="majorEastAsia" w:hint="eastAsia"/>
          <w:bCs/>
          <w:color w:val="auto"/>
          <w:sz w:val="18"/>
          <w:szCs w:val="18"/>
        </w:rPr>
        <w:t>总</w:t>
      </w:r>
      <w:r>
        <w:rPr>
          <w:rFonts w:asciiTheme="majorEastAsia" w:eastAsiaTheme="majorEastAsia" w:hAnsiTheme="majorEastAsia"/>
          <w:bCs/>
          <w:color w:val="auto"/>
          <w:sz w:val="18"/>
          <w:szCs w:val="18"/>
        </w:rPr>
        <w:t>份额</w:t>
      </w:r>
      <w:r>
        <w:rPr>
          <w:rFonts w:asciiTheme="majorEastAsia" w:eastAsiaTheme="majorEastAsia" w:hAnsiTheme="majorEastAsia" w:hint="eastAsia"/>
          <w:bCs/>
          <w:color w:val="auto"/>
          <w:sz w:val="18"/>
          <w:szCs w:val="18"/>
        </w:rPr>
        <w:t>。投资者按该份额净值进行理财产品申购、赎回和终止时分配。理财</w:t>
      </w:r>
      <w:r>
        <w:rPr>
          <w:rFonts w:asciiTheme="majorEastAsia" w:eastAsiaTheme="majorEastAsia" w:hAnsiTheme="majorEastAsia"/>
          <w:bCs/>
          <w:color w:val="auto"/>
          <w:sz w:val="18"/>
          <w:szCs w:val="18"/>
        </w:rPr>
        <w:t>产品份额净值四舍五入保留5位小数。</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理财产品份额净值指当前理财产品份额净值</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即产品目前的净值</w:t>
      </w:r>
      <w:r>
        <w:rPr>
          <w:rFonts w:asciiTheme="majorEastAsia" w:eastAsiaTheme="majorEastAsia" w:hAnsiTheme="majorEastAsia" w:hint="eastAsia"/>
          <w:bCs/>
          <w:color w:val="auto"/>
          <w:sz w:val="18"/>
          <w:szCs w:val="18"/>
        </w:rPr>
        <w:t>。</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（1</w:t>
      </w:r>
      <w:r>
        <w:rPr>
          <w:rFonts w:asciiTheme="majorEastAsia" w:eastAsiaTheme="majorEastAsia" w:hAnsiTheme="majorEastAsia"/>
          <w:bCs/>
          <w:color w:val="auto"/>
          <w:sz w:val="18"/>
          <w:szCs w:val="18"/>
        </w:rPr>
        <w:t>0</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累计理财产品份额净值</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指产品当前份额净值及产品成立到现在理财产品分红之</w:t>
      </w:r>
      <w:proofErr w:type="gramStart"/>
      <w:r>
        <w:rPr>
          <w:rFonts w:asciiTheme="majorEastAsia" w:eastAsiaTheme="majorEastAsia" w:hAnsiTheme="majorEastAsia"/>
          <w:bCs/>
          <w:color w:val="auto"/>
          <w:sz w:val="18"/>
          <w:szCs w:val="18"/>
        </w:rPr>
        <w:t>和</w:t>
      </w:r>
      <w:proofErr w:type="gramEnd"/>
      <w:r>
        <w:rPr>
          <w:rFonts w:asciiTheme="majorEastAsia" w:eastAsiaTheme="majorEastAsia" w:hAnsiTheme="majorEastAsia" w:hint="eastAsia"/>
          <w:bCs/>
          <w:color w:val="auto"/>
          <w:sz w:val="18"/>
          <w:szCs w:val="18"/>
        </w:rPr>
        <w:t>。</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11</w:t>
      </w:r>
      <w:r>
        <w:rPr>
          <w:rFonts w:asciiTheme="majorEastAsia" w:eastAsiaTheme="majorEastAsia" w:hAnsiTheme="majorEastAsia" w:hint="eastAsia"/>
          <w:bCs/>
          <w:color w:val="auto"/>
          <w:sz w:val="18"/>
          <w:szCs w:val="18"/>
        </w:rPr>
        <w:t>）理财产品估值：指计算评估理财产品资产和理财产品负债的价值，以确定理财产品份额净值的过程。</w:t>
      </w:r>
    </w:p>
    <w:p w:rsidR="004A6D8C" w:rsidRDefault="00C1729C">
      <w:pPr>
        <w:pStyle w:val="Default"/>
        <w:spacing w:line="360" w:lineRule="auto"/>
        <w:ind w:firstLineChars="200" w:firstLine="360"/>
        <w:rPr>
          <w:rFonts w:ascii="黑体" w:eastAsia="黑体" w:hAnsi="黑体"/>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12</w:t>
      </w:r>
      <w:r>
        <w:rPr>
          <w:rFonts w:asciiTheme="majorEastAsia" w:eastAsiaTheme="majorEastAsia" w:hAnsiTheme="majorEastAsia" w:hint="eastAsia"/>
          <w:bCs/>
          <w:color w:val="auto"/>
          <w:sz w:val="18"/>
          <w:szCs w:val="18"/>
        </w:rPr>
        <w:t>）</w:t>
      </w:r>
      <w:r>
        <w:rPr>
          <w:rFonts w:ascii="黑体" w:eastAsia="黑体" w:hAnsi="黑体" w:hint="eastAsia"/>
          <w:bCs/>
          <w:color w:val="auto"/>
          <w:sz w:val="18"/>
          <w:szCs w:val="18"/>
        </w:rPr>
        <w:t>★业绩比较基准：</w:t>
      </w:r>
      <w:r>
        <w:rPr>
          <w:rFonts w:asciiTheme="majorEastAsia" w:eastAsiaTheme="majorEastAsia" w:hAnsiTheme="majorEastAsia" w:hint="eastAsia"/>
          <w:bCs/>
          <w:color w:val="auto"/>
          <w:sz w:val="18"/>
          <w:szCs w:val="18"/>
        </w:rPr>
        <w:t>指管理人基于过往投资经验及对产品存续期投资市场波动的预判而对本产品所设定的投资目标。</w:t>
      </w:r>
      <w:r>
        <w:rPr>
          <w:rFonts w:ascii="黑体" w:eastAsia="黑体" w:hAnsi="黑体" w:hint="eastAsia"/>
          <w:bCs/>
          <w:color w:val="auto"/>
          <w:sz w:val="18"/>
          <w:szCs w:val="18"/>
        </w:rPr>
        <w:t>业绩比较基准不代表理财产品未来表现，不等于理财产品实际收益，不作为产品收益的业绩保证，投资须谨慎。</w:t>
      </w:r>
    </w:p>
    <w:p w:rsidR="004A6D8C" w:rsidRDefault="00C1729C">
      <w:pPr>
        <w:pStyle w:val="Default"/>
        <w:spacing w:line="360" w:lineRule="auto"/>
        <w:ind w:firstLineChars="200" w:firstLine="360"/>
        <w:rPr>
          <w:rFonts w:ascii="黑体" w:eastAsia="黑体" w:hAnsi="黑体"/>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13</w:t>
      </w:r>
      <w:r>
        <w:rPr>
          <w:rFonts w:asciiTheme="majorEastAsia" w:eastAsiaTheme="majorEastAsia" w:hAnsiTheme="majorEastAsia" w:hint="eastAsia"/>
          <w:bCs/>
          <w:color w:val="auto"/>
          <w:sz w:val="18"/>
          <w:szCs w:val="18"/>
        </w:rPr>
        <w:t>）</w:t>
      </w:r>
      <w:r>
        <w:rPr>
          <w:rFonts w:ascii="黑体" w:eastAsia="黑体" w:hAnsi="黑体" w:hint="eastAsia"/>
          <w:bCs/>
          <w:color w:val="auto"/>
          <w:sz w:val="18"/>
          <w:szCs w:val="18"/>
        </w:rPr>
        <w:t>★业绩报酬计提</w:t>
      </w:r>
      <w:r>
        <w:rPr>
          <w:rFonts w:ascii="黑体" w:eastAsia="黑体" w:hAnsi="黑体"/>
          <w:bCs/>
          <w:color w:val="auto"/>
          <w:sz w:val="18"/>
          <w:szCs w:val="18"/>
        </w:rPr>
        <w:t>基准</w:t>
      </w:r>
      <w:r>
        <w:rPr>
          <w:rFonts w:ascii="黑体" w:eastAsia="黑体" w:hAnsi="黑体" w:hint="eastAsia"/>
          <w:bCs/>
          <w:color w:val="auto"/>
          <w:sz w:val="18"/>
          <w:szCs w:val="18"/>
        </w:rPr>
        <w:t>：</w:t>
      </w:r>
      <w:r>
        <w:rPr>
          <w:rFonts w:asciiTheme="majorEastAsia" w:eastAsiaTheme="majorEastAsia" w:hAnsiTheme="majorEastAsia" w:hint="eastAsia"/>
          <w:bCs/>
          <w:color w:val="auto"/>
          <w:sz w:val="18"/>
          <w:szCs w:val="18"/>
        </w:rPr>
        <w:t>指管理人收取超额业绩报酬的参照相关</w:t>
      </w:r>
      <w:r>
        <w:rPr>
          <w:rFonts w:asciiTheme="majorEastAsia" w:eastAsiaTheme="majorEastAsia" w:hAnsiTheme="majorEastAsia"/>
          <w:bCs/>
          <w:color w:val="auto"/>
          <w:sz w:val="18"/>
          <w:szCs w:val="18"/>
        </w:rPr>
        <w:t>数值标准</w:t>
      </w:r>
      <w:r>
        <w:rPr>
          <w:rFonts w:asciiTheme="majorEastAsia" w:eastAsiaTheme="majorEastAsia" w:hAnsiTheme="majorEastAsia" w:hint="eastAsia"/>
          <w:bCs/>
          <w:color w:val="auto"/>
          <w:sz w:val="18"/>
          <w:szCs w:val="18"/>
        </w:rPr>
        <w:t>。</w:t>
      </w:r>
      <w:r>
        <w:rPr>
          <w:rFonts w:ascii="黑体" w:eastAsia="黑体" w:hAnsi="黑体" w:hint="eastAsia"/>
          <w:bCs/>
          <w:color w:val="auto"/>
          <w:sz w:val="18"/>
          <w:szCs w:val="18"/>
        </w:rPr>
        <w:t>业绩报酬</w:t>
      </w:r>
      <w:r>
        <w:rPr>
          <w:rFonts w:ascii="黑体" w:eastAsia="黑体" w:hAnsi="黑体"/>
          <w:bCs/>
          <w:color w:val="auto"/>
          <w:sz w:val="18"/>
          <w:szCs w:val="18"/>
        </w:rPr>
        <w:t>计提基准</w:t>
      </w:r>
      <w:r>
        <w:rPr>
          <w:rFonts w:ascii="黑体" w:eastAsia="黑体" w:hAnsi="黑体" w:hint="eastAsia"/>
          <w:bCs/>
          <w:color w:val="auto"/>
          <w:sz w:val="18"/>
          <w:szCs w:val="18"/>
        </w:rPr>
        <w:t>不代表理财产品未来表现，不等于理财产品实际收益，不作为产品收益的业绩保证，投资须谨慎。</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14</w:t>
      </w:r>
      <w:r>
        <w:rPr>
          <w:rFonts w:asciiTheme="majorEastAsia" w:eastAsiaTheme="majorEastAsia" w:hAnsiTheme="majorEastAsia" w:hint="eastAsia"/>
          <w:bCs/>
          <w:color w:val="auto"/>
          <w:sz w:val="18"/>
          <w:szCs w:val="18"/>
        </w:rPr>
        <w:t>）</w:t>
      </w:r>
      <w:r>
        <w:rPr>
          <w:rFonts w:ascii="黑体" w:eastAsia="黑体" w:hAnsi="黑体" w:cs="仿宋_GB2312" w:hint="eastAsia"/>
          <w:bCs/>
          <w:color w:val="auto"/>
          <w:sz w:val="18"/>
          <w:szCs w:val="18"/>
        </w:rPr>
        <w:t>★</w:t>
      </w:r>
      <w:r>
        <w:rPr>
          <w:rFonts w:asciiTheme="majorEastAsia" w:eastAsiaTheme="majorEastAsia" w:hAnsiTheme="majorEastAsia" w:hint="eastAsia"/>
          <w:bCs/>
          <w:color w:val="auto"/>
          <w:sz w:val="18"/>
          <w:szCs w:val="18"/>
        </w:rPr>
        <w:t>理财产品利益/理财利益：指投资者因持有理财产品份额，按照销售文件约定取得或有权取得的理财产品管理人分配的理财产品资产。</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 xml:space="preserve">15）利益分配：指产品管理人向投资者进行理财产品利益分配。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 xml:space="preserve">16）期间分配：指在理财产品终止日（不含当日）前的理财产品利益分配。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17）终止分配：指在理财产品终止日当日及之后的理财产品利益分配。</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18</w:t>
      </w:r>
      <w:r>
        <w:rPr>
          <w:rFonts w:asciiTheme="majorEastAsia" w:eastAsiaTheme="majorEastAsia" w:hAnsiTheme="majorEastAsia" w:hint="eastAsia"/>
          <w:bCs/>
          <w:color w:val="auto"/>
          <w:sz w:val="18"/>
          <w:szCs w:val="18"/>
        </w:rPr>
        <w:t>）认购：指投资者根据本协议约定在认购期</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募集期内申请购买本产品理财产品份额的行为。</w:t>
      </w:r>
      <w:r>
        <w:rPr>
          <w:rFonts w:asciiTheme="majorEastAsia" w:eastAsiaTheme="majorEastAsia" w:hAnsiTheme="majorEastAsia"/>
          <w:bCs/>
          <w:color w:val="auto"/>
          <w:sz w:val="18"/>
          <w:szCs w:val="18"/>
        </w:rPr>
        <w:t xml:space="preserve"> </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4. </w:t>
      </w:r>
      <w:r>
        <w:rPr>
          <w:rFonts w:asciiTheme="majorEastAsia" w:eastAsiaTheme="majorEastAsia" w:hAnsiTheme="majorEastAsia" w:hint="eastAsia"/>
          <w:b/>
          <w:bCs/>
          <w:color w:val="auto"/>
          <w:sz w:val="18"/>
          <w:szCs w:val="18"/>
        </w:rPr>
        <w:t>期间与日期</w:t>
      </w:r>
      <w:r>
        <w:rPr>
          <w:rFonts w:asciiTheme="majorEastAsia" w:eastAsiaTheme="majorEastAsia" w:hAnsiTheme="majorEastAsia"/>
          <w:b/>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1）日</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指自然日</w:t>
      </w:r>
      <w:r>
        <w:rPr>
          <w:rFonts w:asciiTheme="majorEastAsia" w:eastAsiaTheme="majorEastAsia" w:hAnsiTheme="majorEastAsia" w:hint="eastAsia"/>
          <w:bCs/>
          <w:color w:val="auto"/>
          <w:sz w:val="18"/>
          <w:szCs w:val="18"/>
        </w:rPr>
        <w:t>。</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lastRenderedPageBreak/>
        <w:t>（2）交易日：指银行间市场、证券交易所市场的共同正常开盘交易日。</w:t>
      </w:r>
      <w:r>
        <w:rPr>
          <w:rFonts w:asciiTheme="majorEastAsia" w:eastAsiaTheme="majorEastAsia" w:hAnsiTheme="majorEastAsia"/>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3）</w:t>
      </w:r>
      <w:r>
        <w:rPr>
          <w:rFonts w:asciiTheme="majorEastAsia" w:eastAsiaTheme="majorEastAsia" w:hAnsiTheme="majorEastAsia" w:hint="eastAsia"/>
          <w:bCs/>
          <w:color w:val="auto"/>
          <w:sz w:val="18"/>
          <w:szCs w:val="18"/>
        </w:rPr>
        <w:t>工作日：指国家法定工作日。</w:t>
      </w:r>
      <w:r>
        <w:rPr>
          <w:rFonts w:asciiTheme="majorEastAsia" w:eastAsiaTheme="majorEastAsia" w:hAnsiTheme="majorEastAsia"/>
          <w:bCs/>
          <w:color w:val="auto"/>
          <w:sz w:val="18"/>
          <w:szCs w:val="18"/>
        </w:rPr>
        <w:t xml:space="preserve"> </w:t>
      </w:r>
    </w:p>
    <w:p w:rsidR="004A6D8C" w:rsidRDefault="00C1729C">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4</w:t>
      </w:r>
      <w:r>
        <w:rPr>
          <w:rFonts w:hint="eastAsia"/>
          <w:color w:val="auto"/>
          <w:sz w:val="18"/>
          <w:szCs w:val="18"/>
        </w:rPr>
        <w:t>）成立日：指本产品开始运作的日期。</w:t>
      </w:r>
    </w:p>
    <w:p w:rsidR="004A6D8C" w:rsidRDefault="00C1729C">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5</w:t>
      </w:r>
      <w:r>
        <w:rPr>
          <w:rFonts w:hint="eastAsia"/>
          <w:color w:val="auto"/>
          <w:sz w:val="18"/>
          <w:szCs w:val="18"/>
        </w:rPr>
        <w:t>）终止日：指本产品终止的日期。</w:t>
      </w:r>
    </w:p>
    <w:p w:rsidR="004A6D8C" w:rsidRDefault="00C1729C">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6</w:t>
      </w:r>
      <w:r>
        <w:rPr>
          <w:rFonts w:hint="eastAsia"/>
          <w:color w:val="auto"/>
          <w:sz w:val="18"/>
          <w:szCs w:val="18"/>
        </w:rPr>
        <w:t>）估值日：指产品管理人对理财产品项下资产进行估值的日期。</w:t>
      </w:r>
    </w:p>
    <w:p w:rsidR="004A6D8C" w:rsidRDefault="00C1729C">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7</w:t>
      </w:r>
      <w:r>
        <w:rPr>
          <w:rFonts w:hint="eastAsia"/>
          <w:color w:val="auto"/>
          <w:sz w:val="18"/>
          <w:szCs w:val="18"/>
        </w:rPr>
        <w:t>）分配基准日：指本产品管理人以该</w:t>
      </w:r>
      <w:r>
        <w:rPr>
          <w:rFonts w:hAnsi="宋体"/>
          <w:color w:val="auto"/>
          <w:sz w:val="18"/>
          <w:szCs w:val="18"/>
        </w:rPr>
        <w:t>日</w:t>
      </w:r>
      <w:r>
        <w:rPr>
          <w:rFonts w:hAnsi="宋体" w:hint="eastAsia"/>
          <w:color w:val="auto"/>
          <w:sz w:val="18"/>
          <w:szCs w:val="18"/>
        </w:rPr>
        <w:t>日</w:t>
      </w:r>
      <w:proofErr w:type="gramStart"/>
      <w:r>
        <w:rPr>
          <w:rFonts w:hAnsi="宋体"/>
          <w:color w:val="auto"/>
          <w:sz w:val="18"/>
          <w:szCs w:val="18"/>
        </w:rPr>
        <w:t>终</w:t>
      </w:r>
      <w:r>
        <w:rPr>
          <w:rFonts w:hAnsi="宋体" w:hint="eastAsia"/>
          <w:color w:val="auto"/>
          <w:sz w:val="18"/>
          <w:szCs w:val="18"/>
        </w:rPr>
        <w:t>产品</w:t>
      </w:r>
      <w:proofErr w:type="gramEnd"/>
      <w:r>
        <w:rPr>
          <w:rFonts w:hAnsi="宋体" w:hint="eastAsia"/>
          <w:color w:val="auto"/>
          <w:sz w:val="18"/>
          <w:szCs w:val="18"/>
        </w:rPr>
        <w:t>份额净值</w:t>
      </w:r>
      <w:r>
        <w:rPr>
          <w:rFonts w:hAnsi="宋体"/>
          <w:color w:val="auto"/>
          <w:sz w:val="18"/>
          <w:szCs w:val="18"/>
        </w:rPr>
        <w:t>计算</w:t>
      </w:r>
      <w:r>
        <w:rPr>
          <w:rFonts w:hAnsi="宋体" w:hint="eastAsia"/>
          <w:color w:val="auto"/>
          <w:sz w:val="18"/>
          <w:szCs w:val="18"/>
        </w:rPr>
        <w:t>并确定可供分配的</w:t>
      </w:r>
      <w:r>
        <w:rPr>
          <w:rFonts w:hAnsi="宋体"/>
          <w:color w:val="auto"/>
          <w:sz w:val="18"/>
          <w:szCs w:val="18"/>
        </w:rPr>
        <w:t>投资</w:t>
      </w:r>
      <w:r>
        <w:rPr>
          <w:rFonts w:hAnsi="宋体" w:hint="eastAsia"/>
          <w:color w:val="auto"/>
          <w:sz w:val="18"/>
          <w:szCs w:val="18"/>
        </w:rPr>
        <w:t>期间</w:t>
      </w:r>
      <w:r>
        <w:rPr>
          <w:rFonts w:hAnsi="宋体"/>
          <w:color w:val="auto"/>
          <w:sz w:val="18"/>
          <w:szCs w:val="18"/>
        </w:rPr>
        <w:t>理财利益</w:t>
      </w:r>
      <w:r>
        <w:rPr>
          <w:rFonts w:hAnsi="宋体" w:hint="eastAsia"/>
          <w:color w:val="auto"/>
          <w:sz w:val="18"/>
          <w:szCs w:val="18"/>
        </w:rPr>
        <w:t>的日期。</w:t>
      </w:r>
    </w:p>
    <w:p w:rsidR="004A6D8C" w:rsidRDefault="00C1729C">
      <w:pPr>
        <w:pStyle w:val="Default"/>
        <w:spacing w:line="360" w:lineRule="auto"/>
        <w:ind w:firstLineChars="200" w:firstLine="360"/>
        <w:rPr>
          <w:rFonts w:hAnsi="宋体"/>
          <w:bCs/>
          <w:color w:val="auto"/>
          <w:sz w:val="18"/>
          <w:szCs w:val="18"/>
        </w:rPr>
      </w:pPr>
      <w:r>
        <w:rPr>
          <w:rFonts w:hAnsi="宋体" w:hint="eastAsia"/>
          <w:bCs/>
          <w:color w:val="auto"/>
          <w:sz w:val="18"/>
          <w:szCs w:val="18"/>
        </w:rPr>
        <w:t>（</w:t>
      </w:r>
      <w:r>
        <w:rPr>
          <w:rFonts w:hAnsi="宋体"/>
          <w:bCs/>
          <w:color w:val="auto"/>
          <w:sz w:val="18"/>
          <w:szCs w:val="18"/>
        </w:rPr>
        <w:t>8</w:t>
      </w:r>
      <w:r>
        <w:rPr>
          <w:rFonts w:hAnsi="宋体" w:hint="eastAsia"/>
          <w:bCs/>
          <w:color w:val="auto"/>
          <w:sz w:val="18"/>
          <w:szCs w:val="18"/>
        </w:rPr>
        <w:t>）分配日：指</w:t>
      </w:r>
      <w:r>
        <w:rPr>
          <w:rFonts w:asciiTheme="majorEastAsia" w:eastAsiaTheme="majorEastAsia" w:hAnsiTheme="majorEastAsia"/>
          <w:bCs/>
          <w:color w:val="auto"/>
          <w:sz w:val="18"/>
          <w:szCs w:val="18"/>
        </w:rPr>
        <w:t>产品管理人向投资者进行理财产品利益分配</w:t>
      </w:r>
      <w:r>
        <w:rPr>
          <w:rFonts w:hAnsi="宋体" w:hint="eastAsia"/>
          <w:bCs/>
          <w:color w:val="auto"/>
          <w:sz w:val="18"/>
          <w:szCs w:val="18"/>
        </w:rPr>
        <w:t>的日期。</w:t>
      </w:r>
    </w:p>
    <w:p w:rsidR="004A6D8C" w:rsidRDefault="00C1729C">
      <w:pPr>
        <w:pStyle w:val="Default"/>
        <w:spacing w:line="360" w:lineRule="auto"/>
        <w:ind w:firstLineChars="200" w:firstLine="360"/>
        <w:rPr>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9</w:t>
      </w:r>
      <w:r>
        <w:rPr>
          <w:rFonts w:asciiTheme="majorEastAsia" w:eastAsiaTheme="majorEastAsia" w:hAnsiTheme="majorEastAsia" w:hint="eastAsia"/>
          <w:bCs/>
          <w:color w:val="auto"/>
          <w:sz w:val="18"/>
          <w:szCs w:val="18"/>
        </w:rPr>
        <w:t>）募集期：指理财产品成立前，理财产品管理人接受理财产品认购的时间。</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（1</w:t>
      </w:r>
      <w:r>
        <w:rPr>
          <w:rFonts w:asciiTheme="majorEastAsia" w:eastAsiaTheme="majorEastAsia" w:hAnsiTheme="majorEastAsia"/>
          <w:bCs/>
          <w:color w:val="auto"/>
          <w:sz w:val="18"/>
          <w:szCs w:val="18"/>
        </w:rPr>
        <w:t>0</w:t>
      </w:r>
      <w:r>
        <w:rPr>
          <w:rFonts w:asciiTheme="majorEastAsia" w:eastAsiaTheme="majorEastAsia" w:hAnsiTheme="majorEastAsia" w:hint="eastAsia"/>
          <w:bCs/>
          <w:color w:val="auto"/>
          <w:sz w:val="18"/>
          <w:szCs w:val="18"/>
        </w:rPr>
        <w:t>）产品存续期：指自理财产品成立日起，至理财产品终止日的期间。</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11</w:t>
      </w:r>
      <w:r>
        <w:rPr>
          <w:rFonts w:asciiTheme="majorEastAsia" w:eastAsiaTheme="majorEastAsia" w:hAnsiTheme="majorEastAsia" w:hint="eastAsia"/>
          <w:bCs/>
          <w:color w:val="auto"/>
          <w:sz w:val="18"/>
          <w:szCs w:val="18"/>
        </w:rPr>
        <w:t>）清算期：指自本理财产品终止日至投资者理财利益到账日之间的期间。</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5. </w:t>
      </w:r>
      <w:r>
        <w:rPr>
          <w:rFonts w:asciiTheme="majorEastAsia" w:eastAsiaTheme="majorEastAsia" w:hAnsiTheme="majorEastAsia" w:hint="eastAsia"/>
          <w:b/>
          <w:bCs/>
          <w:color w:val="auto"/>
          <w:sz w:val="18"/>
          <w:szCs w:val="18"/>
        </w:rPr>
        <w:t>费用</w:t>
      </w:r>
    </w:p>
    <w:p w:rsidR="004A6D8C" w:rsidRDefault="00C1729C">
      <w:pPr>
        <w:pStyle w:val="Default"/>
        <w:spacing w:line="360" w:lineRule="auto"/>
        <w:ind w:firstLineChars="200" w:firstLine="360"/>
        <w:rPr>
          <w:rFonts w:hAnsi="宋体"/>
          <w:sz w:val="18"/>
          <w:szCs w:val="18"/>
        </w:rPr>
      </w:pPr>
      <w:r>
        <w:rPr>
          <w:rFonts w:hAnsi="宋体" w:hint="eastAsia"/>
          <w:sz w:val="18"/>
          <w:szCs w:val="18"/>
        </w:rPr>
        <w:t>（1）</w:t>
      </w:r>
      <w:r>
        <w:rPr>
          <w:rFonts w:ascii="黑体" w:eastAsia="黑体" w:hAnsi="黑体" w:cs="仿宋_GB2312" w:hint="eastAsia"/>
          <w:bCs/>
          <w:color w:val="auto"/>
          <w:sz w:val="18"/>
          <w:szCs w:val="18"/>
        </w:rPr>
        <w:t>★</w:t>
      </w:r>
      <w:r>
        <w:rPr>
          <w:rFonts w:hAnsi="宋体"/>
          <w:sz w:val="18"/>
          <w:szCs w:val="18"/>
        </w:rPr>
        <w:t>认购费：</w:t>
      </w:r>
      <w:r>
        <w:rPr>
          <w:rFonts w:hAnsi="宋体" w:hint="eastAsia"/>
          <w:sz w:val="18"/>
          <w:szCs w:val="18"/>
        </w:rPr>
        <w:t>指</w:t>
      </w:r>
      <w:r>
        <w:rPr>
          <w:rFonts w:hAnsi="宋体"/>
          <w:sz w:val="18"/>
          <w:szCs w:val="18"/>
        </w:rPr>
        <w:t>投资者认购产品时</w:t>
      </w:r>
      <w:r>
        <w:rPr>
          <w:rFonts w:hAnsi="宋体" w:hint="eastAsia"/>
          <w:sz w:val="18"/>
          <w:szCs w:val="18"/>
        </w:rPr>
        <w:t>需缴纳的费用。</w:t>
      </w:r>
    </w:p>
    <w:p w:rsidR="004A6D8C" w:rsidRDefault="00C1729C">
      <w:pPr>
        <w:pStyle w:val="Default"/>
        <w:spacing w:line="360" w:lineRule="auto"/>
        <w:ind w:firstLineChars="200" w:firstLine="360"/>
        <w:rPr>
          <w:rFonts w:hAnsi="宋体"/>
          <w:sz w:val="18"/>
          <w:szCs w:val="18"/>
        </w:rPr>
      </w:pPr>
      <w:r>
        <w:rPr>
          <w:rFonts w:hAnsi="宋体" w:hint="eastAsia"/>
          <w:sz w:val="18"/>
          <w:szCs w:val="18"/>
        </w:rPr>
        <w:t>（2）</w:t>
      </w:r>
      <w:r>
        <w:rPr>
          <w:rFonts w:ascii="黑体" w:eastAsia="黑体" w:hAnsi="黑体" w:cs="仿宋_GB2312" w:hint="eastAsia"/>
          <w:bCs/>
          <w:color w:val="auto"/>
          <w:sz w:val="18"/>
          <w:szCs w:val="18"/>
        </w:rPr>
        <w:t>★</w:t>
      </w:r>
      <w:r>
        <w:rPr>
          <w:rFonts w:hAnsi="宋体" w:hint="eastAsia"/>
          <w:sz w:val="18"/>
          <w:szCs w:val="18"/>
        </w:rPr>
        <w:t>销售服务费：指因理财产品销售行为产生的费用。</w:t>
      </w:r>
    </w:p>
    <w:p w:rsidR="004A6D8C" w:rsidRDefault="00C1729C">
      <w:pPr>
        <w:pStyle w:val="Default"/>
        <w:spacing w:line="360" w:lineRule="auto"/>
        <w:ind w:firstLineChars="200" w:firstLine="360"/>
        <w:rPr>
          <w:rFonts w:hAnsi="宋体"/>
          <w:sz w:val="18"/>
          <w:szCs w:val="18"/>
        </w:rPr>
      </w:pPr>
      <w:r>
        <w:rPr>
          <w:rFonts w:hAnsi="宋体" w:hint="eastAsia"/>
          <w:sz w:val="18"/>
          <w:szCs w:val="18"/>
        </w:rPr>
        <w:t>（3）</w:t>
      </w:r>
      <w:r>
        <w:rPr>
          <w:rFonts w:ascii="黑体" w:eastAsia="黑体" w:hAnsi="黑体" w:cs="仿宋_GB2312" w:hint="eastAsia"/>
          <w:bCs/>
          <w:color w:val="auto"/>
          <w:sz w:val="18"/>
          <w:szCs w:val="18"/>
        </w:rPr>
        <w:t>★</w:t>
      </w:r>
      <w:r>
        <w:rPr>
          <w:rFonts w:hAnsi="宋体" w:hint="eastAsia"/>
          <w:sz w:val="18"/>
          <w:szCs w:val="18"/>
        </w:rPr>
        <w:t>投资管理费：指因理财产品投资管理产生的费用。</w:t>
      </w:r>
    </w:p>
    <w:p w:rsidR="004A6D8C" w:rsidRDefault="00C1729C">
      <w:pPr>
        <w:pStyle w:val="Default"/>
        <w:spacing w:line="360" w:lineRule="auto"/>
        <w:ind w:firstLineChars="200" w:firstLine="360"/>
        <w:rPr>
          <w:rFonts w:hAnsi="宋体"/>
          <w:sz w:val="18"/>
          <w:szCs w:val="18"/>
        </w:rPr>
      </w:pPr>
      <w:r>
        <w:rPr>
          <w:rFonts w:hAnsi="宋体" w:hint="eastAsia"/>
          <w:sz w:val="18"/>
          <w:szCs w:val="18"/>
        </w:rPr>
        <w:t>（4）</w:t>
      </w:r>
      <w:r>
        <w:rPr>
          <w:rFonts w:ascii="黑体" w:eastAsia="黑体" w:hAnsi="黑体" w:cs="仿宋_GB2312" w:hint="eastAsia"/>
          <w:bCs/>
          <w:color w:val="auto"/>
          <w:sz w:val="18"/>
          <w:szCs w:val="18"/>
        </w:rPr>
        <w:t>★</w:t>
      </w:r>
      <w:r>
        <w:rPr>
          <w:rFonts w:hAnsi="宋体" w:hint="eastAsia"/>
          <w:sz w:val="18"/>
          <w:szCs w:val="18"/>
        </w:rPr>
        <w:t>产品托管费：指因理财产品进行托管产生的费用。</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hAnsi="宋体" w:hint="eastAsia"/>
          <w:sz w:val="18"/>
          <w:szCs w:val="18"/>
        </w:rPr>
        <w:t>（5）</w:t>
      </w:r>
      <w:r>
        <w:rPr>
          <w:rFonts w:ascii="黑体" w:eastAsia="黑体" w:hAnsi="黑体" w:cs="仿宋_GB2312" w:hint="eastAsia"/>
          <w:bCs/>
          <w:color w:val="auto"/>
          <w:sz w:val="18"/>
          <w:szCs w:val="18"/>
        </w:rPr>
        <w:t>★</w:t>
      </w:r>
      <w:r>
        <w:rPr>
          <w:rFonts w:hAnsi="宋体" w:hint="eastAsia"/>
          <w:sz w:val="18"/>
          <w:szCs w:val="18"/>
        </w:rPr>
        <w:t>超额业绩报酬：指产品管理人依照理财产品销售</w:t>
      </w:r>
      <w:r>
        <w:rPr>
          <w:rFonts w:hAnsi="宋体"/>
          <w:sz w:val="18"/>
          <w:szCs w:val="18"/>
        </w:rPr>
        <w:t>文件</w:t>
      </w:r>
      <w:r>
        <w:rPr>
          <w:rFonts w:hAnsi="宋体" w:hint="eastAsia"/>
          <w:sz w:val="18"/>
          <w:szCs w:val="18"/>
        </w:rPr>
        <w:t>约定规则收取的浮动性质的管理费用。</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6. </w:t>
      </w:r>
      <w:r>
        <w:rPr>
          <w:rFonts w:asciiTheme="majorEastAsia" w:eastAsiaTheme="majorEastAsia" w:hAnsiTheme="majorEastAsia" w:hint="eastAsia"/>
          <w:b/>
          <w:bCs/>
          <w:color w:val="auto"/>
          <w:sz w:val="18"/>
          <w:szCs w:val="18"/>
        </w:rPr>
        <w:t>其他</w:t>
      </w:r>
      <w:r>
        <w:rPr>
          <w:rFonts w:asciiTheme="majorEastAsia" w:eastAsiaTheme="majorEastAsia" w:hAnsiTheme="majorEastAsia"/>
          <w:b/>
          <w:bCs/>
          <w:color w:val="auto"/>
          <w:sz w:val="18"/>
          <w:szCs w:val="18"/>
        </w:rPr>
        <w:t xml:space="preserve"> </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元：指人民币元。</w:t>
      </w:r>
      <w:r>
        <w:rPr>
          <w:rFonts w:asciiTheme="majorEastAsia" w:eastAsiaTheme="majorEastAsia" w:hAnsiTheme="majorEastAsia"/>
          <w:bCs/>
          <w:color w:val="auto"/>
          <w:sz w:val="18"/>
          <w:szCs w:val="18"/>
        </w:rPr>
        <w:t xml:space="preserve"> </w:t>
      </w:r>
    </w:p>
    <w:p w:rsidR="004A6D8C" w:rsidRDefault="00C1729C">
      <w:pPr>
        <w:spacing w:line="360" w:lineRule="auto"/>
        <w:ind w:firstLineChars="200" w:firstLine="360"/>
        <w:rPr>
          <w:rFonts w:ascii="宋体" w:hAnsi="宋体"/>
          <w:color w:val="000000"/>
          <w:kern w:val="0"/>
          <w:sz w:val="28"/>
          <w:szCs w:val="2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）适用法律：指在理财销售文件签署日和履行过程中，适用中华人民共和国法律（为本协议之目的，在此不包括香港、澳门特别行政区和台湾地区的法律），包括中国任何立法机构、政府部门、银行业</w:t>
      </w:r>
      <w:r>
        <w:rPr>
          <w:rFonts w:asciiTheme="majorEastAsia" w:eastAsiaTheme="majorEastAsia" w:hAnsiTheme="majorEastAsia"/>
          <w:bCs/>
          <w:sz w:val="18"/>
          <w:szCs w:val="18"/>
        </w:rPr>
        <w:t>理财登记托管中心、</w:t>
      </w:r>
      <w:r>
        <w:rPr>
          <w:rFonts w:asciiTheme="majorEastAsia" w:eastAsiaTheme="majorEastAsia" w:hAnsiTheme="majorEastAsia" w:hint="eastAsia"/>
          <w:bCs/>
          <w:sz w:val="18"/>
          <w:szCs w:val="18"/>
        </w:rPr>
        <w:t>银行间交易商协会、证券交易所、证券登记结算机构、相关</w:t>
      </w:r>
      <w:r>
        <w:rPr>
          <w:rFonts w:asciiTheme="majorEastAsia" w:eastAsiaTheme="majorEastAsia" w:hAnsiTheme="majorEastAsia"/>
          <w:bCs/>
          <w:sz w:val="18"/>
          <w:szCs w:val="18"/>
        </w:rPr>
        <w:t>行</w:t>
      </w:r>
      <w:r>
        <w:rPr>
          <w:rFonts w:asciiTheme="majorEastAsia" w:eastAsiaTheme="majorEastAsia" w:hAnsiTheme="majorEastAsia" w:hint="eastAsia"/>
          <w:bCs/>
          <w:sz w:val="18"/>
          <w:szCs w:val="18"/>
        </w:rPr>
        <w:t>业协会依法颁布的，适用于本理财产品相关事宜的法律、行政法规、地方法规、部委规章、地方政府规章、规范性文件、规则、通知、须知、业务指南、指引或操作规程，及其有效的修改、更新或补充。</w:t>
      </w:r>
      <w:r>
        <w:rPr>
          <w:rFonts w:hAnsi="宋体"/>
          <w:sz w:val="28"/>
          <w:szCs w:val="28"/>
        </w:rPr>
        <w:br w:type="page"/>
      </w:r>
    </w:p>
    <w:p w:rsidR="004A6D8C" w:rsidRDefault="00C1729C">
      <w:pPr>
        <w:pStyle w:val="1"/>
        <w:spacing w:before="0" w:after="0" w:line="360" w:lineRule="auto"/>
        <w:jc w:val="center"/>
        <w:rPr>
          <w:rFonts w:hAnsi="宋体"/>
          <w:sz w:val="28"/>
          <w:szCs w:val="28"/>
        </w:rPr>
      </w:pPr>
      <w:bookmarkStart w:id="2" w:name="_Toc79154665"/>
      <w:bookmarkStart w:id="3" w:name="_Toc88747121"/>
      <w:r>
        <w:rPr>
          <w:rFonts w:hAnsi="宋体" w:hint="eastAsia"/>
          <w:sz w:val="28"/>
          <w:szCs w:val="28"/>
        </w:rPr>
        <w:lastRenderedPageBreak/>
        <w:t>第二条</w:t>
      </w:r>
      <w:r>
        <w:rPr>
          <w:rFonts w:hAnsi="宋体" w:hint="eastAsia"/>
          <w:sz w:val="28"/>
          <w:szCs w:val="28"/>
        </w:rPr>
        <w:t xml:space="preserve">  </w:t>
      </w:r>
      <w:r>
        <w:rPr>
          <w:rFonts w:hAnsi="宋体" w:hint="eastAsia"/>
          <w:sz w:val="28"/>
          <w:szCs w:val="28"/>
        </w:rPr>
        <w:t>理财产品基本情况</w:t>
      </w:r>
      <w:bookmarkEnd w:id="2"/>
      <w:bookmarkEnd w:id="3"/>
      <w:r>
        <w:rPr>
          <w:rFonts w:hAnsi="宋体" w:hint="eastAsia"/>
          <w:sz w:val="28"/>
          <w:szCs w:val="28"/>
        </w:rPr>
        <w:t xml:space="preserve"> </w:t>
      </w:r>
    </w:p>
    <w:tbl>
      <w:tblPr>
        <w:tblW w:w="9644"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1828"/>
        <w:gridCol w:w="7816"/>
      </w:tblGrid>
      <w:tr w:rsidR="004A6D8C">
        <w:trPr>
          <w:trHeight w:val="401"/>
          <w:jc w:val="center"/>
        </w:trPr>
        <w:tc>
          <w:tcPr>
            <w:tcW w:w="1828" w:type="dxa"/>
            <w:shd w:val="solid" w:color="FFFFFF" w:fill="FFFFFF"/>
          </w:tcPr>
          <w:p w:rsidR="004A6D8C" w:rsidRDefault="00C1729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理财产品名称</w:t>
            </w:r>
          </w:p>
        </w:tc>
        <w:tc>
          <w:tcPr>
            <w:tcW w:w="7816" w:type="dxa"/>
            <w:shd w:val="solid" w:color="FFFFFF" w:fill="FFFFFF"/>
          </w:tcPr>
          <w:p w:rsidR="004A6D8C" w:rsidRDefault="0075022E">
            <w:pPr>
              <w:spacing w:line="360" w:lineRule="auto"/>
              <w:jc w:val="left"/>
              <w:rPr>
                <w:rFonts w:asciiTheme="minorEastAsia" w:hAnsiTheme="minorEastAsia"/>
                <w:sz w:val="18"/>
                <w:szCs w:val="18"/>
              </w:rPr>
            </w:pPr>
            <w:r w:rsidRPr="0075022E">
              <w:rPr>
                <w:rFonts w:asciiTheme="minorEastAsia" w:hAnsiTheme="minorEastAsia" w:hint="eastAsia"/>
                <w:sz w:val="18"/>
                <w:szCs w:val="18"/>
              </w:rPr>
              <w:t>兴银</w:t>
            </w:r>
            <w:proofErr w:type="gramStart"/>
            <w:r w:rsidRPr="0075022E">
              <w:rPr>
                <w:rFonts w:asciiTheme="minorEastAsia" w:hAnsiTheme="minorEastAsia" w:hint="eastAsia"/>
                <w:sz w:val="18"/>
                <w:szCs w:val="18"/>
              </w:rPr>
              <w:t>理财稳利丰收</w:t>
            </w:r>
            <w:proofErr w:type="gramEnd"/>
            <w:r w:rsidRPr="0075022E">
              <w:rPr>
                <w:rFonts w:asciiTheme="minorEastAsia" w:hAnsiTheme="minorEastAsia" w:hint="eastAsia"/>
                <w:sz w:val="18"/>
                <w:szCs w:val="18"/>
              </w:rPr>
              <w:t>封闭式3007号</w:t>
            </w:r>
            <w:proofErr w:type="gramStart"/>
            <w:r w:rsidRPr="0075022E">
              <w:rPr>
                <w:rFonts w:asciiTheme="minorEastAsia" w:hAnsiTheme="minorEastAsia" w:hint="eastAsia"/>
                <w:sz w:val="18"/>
                <w:szCs w:val="18"/>
              </w:rPr>
              <w:t>固收类理财</w:t>
            </w:r>
            <w:proofErr w:type="gramEnd"/>
            <w:r w:rsidRPr="0075022E">
              <w:rPr>
                <w:rFonts w:asciiTheme="minorEastAsia" w:hAnsiTheme="minorEastAsia" w:hint="eastAsia"/>
                <w:sz w:val="18"/>
                <w:szCs w:val="18"/>
              </w:rPr>
              <w:t>产品</w:t>
            </w:r>
          </w:p>
        </w:tc>
      </w:tr>
      <w:tr w:rsidR="004A6D8C">
        <w:trPr>
          <w:trHeight w:val="383"/>
          <w:jc w:val="center"/>
        </w:trPr>
        <w:tc>
          <w:tcPr>
            <w:tcW w:w="1828" w:type="dxa"/>
            <w:shd w:val="solid" w:color="FFFFFF" w:fill="FFFFFF"/>
          </w:tcPr>
          <w:p w:rsidR="004A6D8C" w:rsidRDefault="00C1729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产品销售名称</w:t>
            </w:r>
          </w:p>
        </w:tc>
        <w:tc>
          <w:tcPr>
            <w:tcW w:w="7816" w:type="dxa"/>
            <w:shd w:val="solid" w:color="FFFFFF" w:fill="FFFFFF"/>
          </w:tcPr>
          <w:p w:rsidR="004A6D8C" w:rsidRDefault="00C1729C">
            <w:pPr>
              <w:widowControl/>
              <w:spacing w:line="360" w:lineRule="auto"/>
              <w:jc w:val="left"/>
              <w:rPr>
                <w:rFonts w:asciiTheme="minorEastAsia" w:hAnsiTheme="minorEastAsia"/>
                <w:sz w:val="18"/>
                <w:szCs w:val="18"/>
              </w:rPr>
            </w:pPr>
            <w:r>
              <w:rPr>
                <w:rFonts w:asciiTheme="minorEastAsia" w:hAnsiTheme="minorEastAsia"/>
                <w:sz w:val="18"/>
                <w:szCs w:val="18"/>
              </w:rPr>
              <w:t>【</w:t>
            </w:r>
            <w:r w:rsidR="0075022E" w:rsidRPr="0075022E">
              <w:rPr>
                <w:rFonts w:asciiTheme="minorEastAsia" w:hAnsiTheme="minorEastAsia" w:hint="eastAsia"/>
                <w:sz w:val="18"/>
                <w:szCs w:val="18"/>
              </w:rPr>
              <w:t>稳利丰收封闭式3007号A</w:t>
            </w:r>
            <w:r>
              <w:rPr>
                <w:rFonts w:asciiTheme="minorEastAsia" w:hAnsiTheme="minorEastAsia"/>
                <w:sz w:val="18"/>
                <w:szCs w:val="18"/>
              </w:rPr>
              <w:t>】</w:t>
            </w:r>
            <w:r>
              <w:rPr>
                <w:rFonts w:asciiTheme="minorEastAsia" w:hAnsiTheme="minorEastAsia" w:hint="eastAsia"/>
                <w:sz w:val="18"/>
                <w:szCs w:val="18"/>
              </w:rPr>
              <w:t>（适用【A】类份额）</w:t>
            </w:r>
          </w:p>
        </w:tc>
      </w:tr>
      <w:tr w:rsidR="004A6D8C">
        <w:trPr>
          <w:trHeight w:val="251"/>
          <w:jc w:val="center"/>
        </w:trPr>
        <w:tc>
          <w:tcPr>
            <w:tcW w:w="1828" w:type="dxa"/>
            <w:shd w:val="solid" w:color="FFFFFF" w:fill="FFFFFF"/>
          </w:tcPr>
          <w:p w:rsidR="004A6D8C" w:rsidRDefault="00C1729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产品登记编码</w:t>
            </w:r>
          </w:p>
        </w:tc>
        <w:tc>
          <w:tcPr>
            <w:tcW w:w="7816" w:type="dxa"/>
            <w:shd w:val="solid" w:color="FFFFFF" w:fill="FFFFFF"/>
          </w:tcPr>
          <w:p w:rsidR="004A6D8C" w:rsidRDefault="00C1729C">
            <w:pPr>
              <w:spacing w:line="360" w:lineRule="auto"/>
              <w:jc w:val="left"/>
              <w:rPr>
                <w:rFonts w:asciiTheme="minorEastAsia" w:hAnsiTheme="minorEastAsia"/>
                <w:sz w:val="18"/>
                <w:szCs w:val="18"/>
              </w:rPr>
            </w:pPr>
            <w:r>
              <w:rPr>
                <w:rFonts w:asciiTheme="minorEastAsia" w:hAnsiTheme="minorEastAsia" w:hint="eastAsia"/>
                <w:sz w:val="18"/>
                <w:szCs w:val="18"/>
              </w:rPr>
              <w:t>【</w:t>
            </w:r>
            <w:r w:rsidR="0075022E" w:rsidRPr="0075022E">
              <w:rPr>
                <w:rFonts w:asciiTheme="minorEastAsia" w:hAnsiTheme="minorEastAsia"/>
                <w:sz w:val="18"/>
                <w:szCs w:val="18"/>
              </w:rPr>
              <w:t>Z7002023000978</w:t>
            </w:r>
            <w:r>
              <w:rPr>
                <w:rFonts w:asciiTheme="minorEastAsia" w:hAnsiTheme="minorEastAsia" w:hint="eastAsia"/>
                <w:sz w:val="18"/>
                <w:szCs w:val="18"/>
              </w:rPr>
              <w:t>】投资者可依据理财产品登记编码在中国</w:t>
            </w:r>
            <w:proofErr w:type="gramStart"/>
            <w:r>
              <w:rPr>
                <w:rFonts w:asciiTheme="minorEastAsia" w:hAnsiTheme="minorEastAsia" w:hint="eastAsia"/>
                <w:sz w:val="18"/>
                <w:szCs w:val="18"/>
              </w:rPr>
              <w:t>理财网</w:t>
            </w:r>
            <w:proofErr w:type="gramEnd"/>
            <w:r>
              <w:rPr>
                <w:rFonts w:asciiTheme="minorEastAsia" w:hAnsiTheme="minorEastAsia"/>
                <w:sz w:val="18"/>
                <w:szCs w:val="18"/>
              </w:rPr>
              <w:t>(</w:t>
            </w:r>
            <w:hyperlink r:id="rId28" w:history="1">
              <w:r>
                <w:rPr>
                  <w:rFonts w:asciiTheme="minorEastAsia" w:hAnsiTheme="minorEastAsia"/>
                  <w:sz w:val="18"/>
                  <w:szCs w:val="18"/>
                </w:rPr>
                <w:t>www.chinawealth.com.cn</w:t>
              </w:r>
            </w:hyperlink>
            <w:r>
              <w:rPr>
                <w:rFonts w:asciiTheme="minorEastAsia" w:hAnsiTheme="minorEastAsia"/>
                <w:sz w:val="18"/>
                <w:szCs w:val="18"/>
              </w:rPr>
              <w:t>）</w:t>
            </w:r>
            <w:r>
              <w:rPr>
                <w:rFonts w:asciiTheme="minorEastAsia" w:hAnsiTheme="minorEastAsia" w:hint="eastAsia"/>
                <w:sz w:val="18"/>
                <w:szCs w:val="18"/>
              </w:rPr>
              <w:t>查询产品信息。</w:t>
            </w:r>
          </w:p>
        </w:tc>
      </w:tr>
      <w:tr w:rsidR="004A6D8C">
        <w:trPr>
          <w:trHeight w:val="251"/>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产品代码</w:t>
            </w:r>
          </w:p>
        </w:tc>
        <w:tc>
          <w:tcPr>
            <w:tcW w:w="7816" w:type="dxa"/>
            <w:shd w:val="solid" w:color="FFFFFF" w:fill="FFFFFF"/>
            <w:vAlign w:val="center"/>
          </w:tcPr>
          <w:p w:rsidR="004A6D8C" w:rsidRDefault="00C1729C">
            <w:pPr>
              <w:spacing w:line="360" w:lineRule="auto"/>
              <w:jc w:val="left"/>
              <w:rPr>
                <w:rFonts w:asciiTheme="minorEastAsia" w:hAnsiTheme="minorEastAsia"/>
                <w:sz w:val="18"/>
                <w:szCs w:val="18"/>
              </w:rPr>
            </w:pPr>
            <w:r>
              <w:rPr>
                <w:rFonts w:asciiTheme="minorEastAsia" w:hAnsiTheme="minorEastAsia"/>
                <w:sz w:val="18"/>
                <w:szCs w:val="18"/>
              </w:rPr>
              <w:t>【</w:t>
            </w:r>
            <w:r w:rsidR="0075022E" w:rsidRPr="0075022E">
              <w:rPr>
                <w:rFonts w:asciiTheme="minorEastAsia" w:hAnsiTheme="minorEastAsia"/>
                <w:sz w:val="18"/>
                <w:szCs w:val="18"/>
              </w:rPr>
              <w:t>9C333070</w:t>
            </w:r>
            <w:r>
              <w:rPr>
                <w:rFonts w:asciiTheme="minorEastAsia" w:hAnsiTheme="minorEastAsia" w:hint="eastAsia"/>
                <w:sz w:val="18"/>
                <w:szCs w:val="18"/>
              </w:rPr>
              <w:t>】</w:t>
            </w:r>
          </w:p>
        </w:tc>
      </w:tr>
      <w:tr w:rsidR="004A6D8C">
        <w:trPr>
          <w:trHeight w:val="50"/>
          <w:jc w:val="center"/>
        </w:trPr>
        <w:tc>
          <w:tcPr>
            <w:tcW w:w="1828" w:type="dxa"/>
            <w:shd w:val="solid" w:color="FFFFFF" w:fill="FFFFFF"/>
          </w:tcPr>
          <w:p w:rsidR="004A6D8C" w:rsidRDefault="00C1729C">
            <w:pPr>
              <w:spacing w:line="360" w:lineRule="auto"/>
              <w:jc w:val="left"/>
              <w:rPr>
                <w:rFonts w:hAnsi="宋体"/>
                <w:b/>
                <w:sz w:val="18"/>
                <w:szCs w:val="18"/>
              </w:rPr>
            </w:pPr>
            <w:r>
              <w:rPr>
                <w:rFonts w:hAnsi="宋体" w:hint="eastAsia"/>
                <w:b/>
                <w:sz w:val="18"/>
                <w:szCs w:val="18"/>
              </w:rPr>
              <w:t>★销售代码</w:t>
            </w:r>
          </w:p>
        </w:tc>
        <w:tc>
          <w:tcPr>
            <w:tcW w:w="7816" w:type="dxa"/>
            <w:shd w:val="solid" w:color="FFFFFF" w:fill="FFFFFF"/>
            <w:vAlign w:val="center"/>
          </w:tcPr>
          <w:p w:rsidR="004A6D8C" w:rsidRDefault="00C1729C" w:rsidP="00197259">
            <w:pPr>
              <w:spacing w:line="360" w:lineRule="auto"/>
              <w:jc w:val="left"/>
              <w:rPr>
                <w:rFonts w:asciiTheme="minorEastAsia" w:hAnsiTheme="minorEastAsia"/>
                <w:sz w:val="18"/>
                <w:szCs w:val="18"/>
              </w:rPr>
            </w:pPr>
            <w:r>
              <w:rPr>
                <w:rFonts w:asciiTheme="minorEastAsia" w:hAnsiTheme="minorEastAsia"/>
                <w:sz w:val="18"/>
                <w:szCs w:val="18"/>
              </w:rPr>
              <w:t>【</w:t>
            </w:r>
            <w:r w:rsidR="0075022E" w:rsidRPr="0075022E">
              <w:rPr>
                <w:rFonts w:asciiTheme="minorEastAsia" w:hAnsiTheme="minorEastAsia"/>
                <w:sz w:val="18"/>
                <w:szCs w:val="18"/>
              </w:rPr>
              <w:t>9C33307A</w:t>
            </w:r>
            <w:r>
              <w:rPr>
                <w:rFonts w:asciiTheme="minorEastAsia" w:hAnsiTheme="minorEastAsia"/>
                <w:sz w:val="18"/>
                <w:szCs w:val="18"/>
              </w:rPr>
              <w:t>】</w:t>
            </w:r>
            <w:r>
              <w:rPr>
                <w:rFonts w:asciiTheme="minorEastAsia" w:hAnsiTheme="minorEastAsia" w:hint="eastAsia"/>
                <w:sz w:val="18"/>
                <w:szCs w:val="18"/>
              </w:rPr>
              <w:t>（适用【A】类份额）</w:t>
            </w:r>
          </w:p>
        </w:tc>
      </w:tr>
      <w:tr w:rsidR="004A6D8C">
        <w:trPr>
          <w:trHeight w:val="251"/>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hAnsi="宋体" w:hint="eastAsia"/>
                <w:sz w:val="18"/>
                <w:szCs w:val="18"/>
              </w:rPr>
              <w:t>★</w:t>
            </w:r>
            <w:r>
              <w:rPr>
                <w:rFonts w:hAnsi="宋体" w:hint="eastAsia"/>
                <w:b/>
                <w:sz w:val="18"/>
                <w:szCs w:val="18"/>
              </w:rPr>
              <w:t>产品</w:t>
            </w:r>
            <w:r>
              <w:rPr>
                <w:rFonts w:hAnsi="宋体"/>
                <w:b/>
                <w:sz w:val="18"/>
                <w:szCs w:val="18"/>
              </w:rPr>
              <w:t>份额类别</w:t>
            </w:r>
          </w:p>
        </w:tc>
        <w:tc>
          <w:tcPr>
            <w:tcW w:w="7816" w:type="dxa"/>
            <w:shd w:val="solid" w:color="FFFFFF" w:fill="FFFFFF"/>
            <w:vAlign w:val="center"/>
          </w:tcPr>
          <w:p w:rsidR="004A6D8C" w:rsidRDefault="00C1729C">
            <w:pPr>
              <w:spacing w:line="360" w:lineRule="auto"/>
              <w:rPr>
                <w:rFonts w:ascii="宋体" w:hAnsi="宋体"/>
                <w:bCs/>
                <w:sz w:val="18"/>
                <w:szCs w:val="18"/>
              </w:rPr>
            </w:pPr>
            <w:r>
              <w:rPr>
                <w:rFonts w:ascii="宋体" w:hAnsi="宋体"/>
                <w:bCs/>
                <w:sz w:val="18"/>
                <w:szCs w:val="18"/>
              </w:rPr>
              <w:t>1</w:t>
            </w:r>
            <w:r>
              <w:rPr>
                <w:rFonts w:ascii="宋体" w:hAnsi="宋体" w:hint="eastAsia"/>
                <w:bCs/>
                <w:sz w:val="18"/>
                <w:szCs w:val="18"/>
              </w:rPr>
              <w:t>.本产品根据投资者购买理财产品的金额、</w:t>
            </w:r>
            <w:r>
              <w:rPr>
                <w:rFonts w:ascii="宋体" w:hAnsi="宋体"/>
                <w:bCs/>
                <w:sz w:val="18"/>
                <w:szCs w:val="18"/>
              </w:rPr>
              <w:t>投资者</w:t>
            </w:r>
            <w:r>
              <w:rPr>
                <w:rFonts w:ascii="宋体" w:hAnsi="宋体" w:hint="eastAsia"/>
                <w:bCs/>
                <w:sz w:val="18"/>
                <w:szCs w:val="18"/>
              </w:rPr>
              <w:t>类型、</w:t>
            </w:r>
            <w:r>
              <w:rPr>
                <w:rFonts w:ascii="宋体" w:hAnsi="宋体"/>
                <w:bCs/>
                <w:sz w:val="18"/>
                <w:szCs w:val="18"/>
              </w:rPr>
              <w:t>销售渠道</w:t>
            </w:r>
            <w:r>
              <w:rPr>
                <w:rFonts w:ascii="宋体" w:hAnsi="宋体" w:hint="eastAsia"/>
                <w:bCs/>
                <w:sz w:val="18"/>
                <w:szCs w:val="18"/>
              </w:rPr>
              <w:t>等因素，对投资者所持有的理财产品份额设置不同的理财产品份额类别。</w:t>
            </w:r>
          </w:p>
          <w:p w:rsidR="004A6D8C" w:rsidRDefault="00C1729C">
            <w:pPr>
              <w:spacing w:line="360" w:lineRule="auto"/>
              <w:rPr>
                <w:rFonts w:ascii="宋体" w:hAnsi="宋体"/>
                <w:bCs/>
                <w:sz w:val="18"/>
                <w:szCs w:val="18"/>
              </w:rPr>
            </w:pPr>
            <w:r>
              <w:rPr>
                <w:rFonts w:ascii="宋体" w:hAnsi="宋体"/>
                <w:bCs/>
                <w:sz w:val="18"/>
                <w:szCs w:val="18"/>
              </w:rPr>
              <w:t>2</w:t>
            </w:r>
            <w:r>
              <w:rPr>
                <w:rFonts w:ascii="宋体" w:hAnsi="宋体" w:hint="eastAsia"/>
                <w:bCs/>
                <w:sz w:val="18"/>
                <w:szCs w:val="18"/>
              </w:rPr>
              <w:t>.本产品设置不同的理财产品份额，每类理财产品份额以下内容将单独设置：</w:t>
            </w:r>
          </w:p>
          <w:p w:rsidR="004A6D8C" w:rsidRDefault="00C1729C">
            <w:pPr>
              <w:spacing w:line="360" w:lineRule="auto"/>
              <w:rPr>
                <w:rFonts w:ascii="宋体" w:hAnsi="宋体"/>
                <w:bCs/>
                <w:sz w:val="18"/>
                <w:szCs w:val="18"/>
              </w:rPr>
            </w:pPr>
            <w:r>
              <w:rPr>
                <w:rFonts w:ascii="宋体" w:hAnsi="宋体" w:hint="eastAsia"/>
                <w:bCs/>
                <w:sz w:val="18"/>
                <w:szCs w:val="18"/>
              </w:rPr>
              <w:t>（1）销售名称</w:t>
            </w:r>
          </w:p>
          <w:p w:rsidR="004A6D8C" w:rsidRDefault="00C1729C">
            <w:pPr>
              <w:spacing w:line="360" w:lineRule="auto"/>
              <w:rPr>
                <w:rFonts w:ascii="宋体" w:hAnsi="宋体"/>
                <w:bCs/>
                <w:sz w:val="18"/>
                <w:szCs w:val="18"/>
              </w:rPr>
            </w:pPr>
            <w:r>
              <w:rPr>
                <w:rFonts w:ascii="宋体" w:hAnsi="宋体" w:hint="eastAsia"/>
                <w:bCs/>
                <w:sz w:val="18"/>
                <w:szCs w:val="18"/>
              </w:rPr>
              <w:t>（2）收费方式</w:t>
            </w:r>
          </w:p>
          <w:p w:rsidR="004A6D8C" w:rsidRDefault="00C1729C">
            <w:pPr>
              <w:spacing w:line="360" w:lineRule="auto"/>
              <w:rPr>
                <w:rFonts w:ascii="宋体" w:hAnsi="宋体"/>
                <w:bCs/>
                <w:sz w:val="18"/>
                <w:szCs w:val="18"/>
              </w:rPr>
            </w:pPr>
            <w:r>
              <w:rPr>
                <w:rFonts w:ascii="宋体" w:hAnsi="宋体" w:hint="eastAsia"/>
                <w:bCs/>
                <w:sz w:val="18"/>
                <w:szCs w:val="18"/>
              </w:rPr>
              <w:t>（3）销售服务费</w:t>
            </w:r>
          </w:p>
          <w:p w:rsidR="004A6D8C" w:rsidRDefault="00C1729C">
            <w:pPr>
              <w:spacing w:line="360" w:lineRule="auto"/>
              <w:rPr>
                <w:rFonts w:ascii="宋体" w:hAnsi="宋体"/>
                <w:bCs/>
                <w:sz w:val="18"/>
                <w:szCs w:val="18"/>
              </w:rPr>
            </w:pPr>
            <w:r>
              <w:rPr>
                <w:rFonts w:ascii="宋体" w:hAnsi="宋体" w:hint="eastAsia"/>
                <w:bCs/>
                <w:sz w:val="18"/>
                <w:szCs w:val="18"/>
              </w:rPr>
              <w:t>（4）销售代码</w:t>
            </w:r>
          </w:p>
          <w:p w:rsidR="004A6D8C" w:rsidRDefault="00C1729C">
            <w:pPr>
              <w:spacing w:line="360" w:lineRule="auto"/>
              <w:rPr>
                <w:rFonts w:ascii="宋体" w:hAnsi="宋体"/>
                <w:bCs/>
                <w:sz w:val="18"/>
                <w:szCs w:val="18"/>
              </w:rPr>
            </w:pPr>
            <w:r>
              <w:rPr>
                <w:rFonts w:ascii="宋体" w:hAnsi="宋体" w:hint="eastAsia"/>
                <w:bCs/>
                <w:sz w:val="18"/>
                <w:szCs w:val="18"/>
              </w:rPr>
              <w:t>（5）销售对象</w:t>
            </w:r>
          </w:p>
          <w:p w:rsidR="004A6D8C" w:rsidRDefault="00C1729C">
            <w:pPr>
              <w:spacing w:line="360" w:lineRule="auto"/>
              <w:rPr>
                <w:rFonts w:ascii="宋体" w:hAnsi="宋体"/>
                <w:bCs/>
                <w:sz w:val="18"/>
                <w:szCs w:val="18"/>
              </w:rPr>
            </w:pPr>
            <w:r>
              <w:rPr>
                <w:rFonts w:ascii="宋体" w:hAnsi="宋体" w:hint="eastAsia"/>
                <w:bCs/>
                <w:sz w:val="18"/>
                <w:szCs w:val="18"/>
              </w:rPr>
              <w:t>（6）销售起点金额（认购、申购的起点金额）</w:t>
            </w:r>
          </w:p>
          <w:p w:rsidR="004A6D8C" w:rsidRDefault="00C1729C">
            <w:pPr>
              <w:spacing w:line="360" w:lineRule="auto"/>
              <w:rPr>
                <w:rFonts w:ascii="宋体" w:hAnsi="宋体"/>
                <w:bCs/>
                <w:sz w:val="18"/>
                <w:szCs w:val="18"/>
              </w:rPr>
            </w:pPr>
            <w:r>
              <w:rPr>
                <w:rFonts w:ascii="宋体" w:hAnsi="宋体" w:hint="eastAsia"/>
                <w:bCs/>
                <w:sz w:val="18"/>
                <w:szCs w:val="18"/>
              </w:rPr>
              <w:t>（7）投资者认购、申购和赎回的数量限制</w:t>
            </w:r>
          </w:p>
          <w:p w:rsidR="004A6D8C" w:rsidRDefault="00C1729C">
            <w:pPr>
              <w:spacing w:line="360" w:lineRule="auto"/>
              <w:rPr>
                <w:rFonts w:ascii="宋体" w:hAnsi="宋体"/>
                <w:bCs/>
                <w:sz w:val="18"/>
                <w:szCs w:val="18"/>
              </w:rPr>
            </w:pPr>
            <w:r>
              <w:rPr>
                <w:rFonts w:ascii="宋体" w:hAnsi="宋体" w:hint="eastAsia"/>
                <w:bCs/>
                <w:sz w:val="18"/>
                <w:szCs w:val="18"/>
              </w:rPr>
              <w:t>（8）投资者</w:t>
            </w:r>
            <w:r>
              <w:rPr>
                <w:rFonts w:asciiTheme="minorEastAsia" w:hAnsiTheme="minorEastAsia" w:hint="eastAsia"/>
                <w:bCs/>
                <w:sz w:val="18"/>
                <w:szCs w:val="18"/>
              </w:rPr>
              <w:t>持有本产品的最高限额、最低限额</w:t>
            </w:r>
          </w:p>
          <w:p w:rsidR="004A6D8C" w:rsidRDefault="00C1729C">
            <w:pPr>
              <w:spacing w:line="360" w:lineRule="auto"/>
              <w:rPr>
                <w:rFonts w:ascii="宋体" w:hAnsi="宋体"/>
                <w:bCs/>
                <w:sz w:val="18"/>
                <w:szCs w:val="18"/>
              </w:rPr>
            </w:pPr>
            <w:r>
              <w:rPr>
                <w:rFonts w:ascii="宋体" w:hAnsi="宋体" w:hint="eastAsia"/>
                <w:bCs/>
                <w:sz w:val="18"/>
                <w:szCs w:val="18"/>
              </w:rPr>
              <w:t>（9）分别计算和公告产品份额净值</w:t>
            </w:r>
          </w:p>
          <w:p w:rsidR="004A6D8C" w:rsidRDefault="00C1729C">
            <w:pPr>
              <w:spacing w:line="360" w:lineRule="auto"/>
              <w:rPr>
                <w:rFonts w:ascii="宋体" w:hAnsi="宋体"/>
                <w:bCs/>
                <w:sz w:val="18"/>
                <w:szCs w:val="18"/>
              </w:rPr>
            </w:pPr>
            <w:r>
              <w:rPr>
                <w:rFonts w:ascii="宋体" w:hAnsi="宋体"/>
                <w:bCs/>
                <w:sz w:val="18"/>
                <w:szCs w:val="18"/>
              </w:rPr>
              <w:t>3</w:t>
            </w:r>
            <w:r>
              <w:rPr>
                <w:rFonts w:ascii="宋体" w:hAnsi="宋体" w:hint="eastAsia"/>
                <w:bCs/>
                <w:sz w:val="18"/>
                <w:szCs w:val="18"/>
              </w:rPr>
              <w:t>.投资者可根据实际情况自行选择认购的产品份额类别。</w:t>
            </w:r>
          </w:p>
          <w:p w:rsidR="004A6D8C" w:rsidRDefault="00C1729C">
            <w:pPr>
              <w:spacing w:line="360" w:lineRule="auto"/>
              <w:rPr>
                <w:rFonts w:ascii="宋体" w:hAnsi="宋体"/>
                <w:bCs/>
                <w:sz w:val="18"/>
                <w:szCs w:val="18"/>
              </w:rPr>
            </w:pPr>
            <w:r>
              <w:rPr>
                <w:rFonts w:ascii="黑体" w:eastAsia="黑体" w:hAnsi="黑体" w:hint="eastAsia"/>
                <w:bCs/>
                <w:sz w:val="18"/>
                <w:szCs w:val="18"/>
              </w:rPr>
              <w:t>注：本产品说明书所列示产品份额类别仅为本产品项下某一类产品份额。其他类别的产品份额情况以产品管理人披露为准。</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sz w:val="18"/>
                <w:szCs w:val="18"/>
              </w:rPr>
              <w:t>产品基本类型</w:t>
            </w:r>
          </w:p>
        </w:tc>
        <w:tc>
          <w:tcPr>
            <w:tcW w:w="7816" w:type="dxa"/>
            <w:shd w:val="solid" w:color="FFFFFF" w:fill="FFFFFF"/>
            <w:vAlign w:val="center"/>
          </w:tcPr>
          <w:p w:rsidR="004A6D8C" w:rsidRDefault="00C1729C">
            <w:pPr>
              <w:spacing w:line="360" w:lineRule="auto"/>
              <w:rPr>
                <w:rFonts w:ascii="宋体" w:hAnsi="宋体"/>
                <w:bCs/>
                <w:sz w:val="18"/>
                <w:szCs w:val="18"/>
              </w:rPr>
            </w:pPr>
            <w:r>
              <w:rPr>
                <w:rFonts w:asciiTheme="majorEastAsia" w:eastAsiaTheme="majorEastAsia" w:hAnsiTheme="majorEastAsia" w:hint="eastAsia"/>
                <w:sz w:val="18"/>
                <w:szCs w:val="18"/>
              </w:rPr>
              <w:t>公募</w:t>
            </w:r>
            <w:r>
              <w:rPr>
                <w:rFonts w:ascii="宋体" w:hAnsi="宋体" w:hint="eastAsia"/>
                <w:bCs/>
                <w:sz w:val="18"/>
                <w:szCs w:val="18"/>
              </w:rPr>
              <w:t>、封闭式、固定</w:t>
            </w:r>
            <w:r>
              <w:rPr>
                <w:rFonts w:ascii="宋体" w:hAnsi="宋体"/>
                <w:bCs/>
                <w:sz w:val="18"/>
                <w:szCs w:val="18"/>
              </w:rPr>
              <w:t>收益</w:t>
            </w:r>
            <w:r>
              <w:rPr>
                <w:rFonts w:ascii="宋体" w:hAnsi="宋体" w:hint="eastAsia"/>
                <w:bCs/>
                <w:sz w:val="18"/>
                <w:szCs w:val="18"/>
              </w:rPr>
              <w:t>类、非保本浮动</w:t>
            </w:r>
            <w:r>
              <w:rPr>
                <w:rFonts w:ascii="宋体" w:hAnsi="宋体"/>
                <w:bCs/>
                <w:sz w:val="18"/>
                <w:szCs w:val="18"/>
              </w:rPr>
              <w:t>收益</w:t>
            </w:r>
            <w:r>
              <w:rPr>
                <w:rFonts w:ascii="宋体" w:hAnsi="宋体" w:hint="eastAsia"/>
                <w:bCs/>
                <w:sz w:val="18"/>
                <w:szCs w:val="18"/>
              </w:rPr>
              <w:t>、净值型</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产品募集方式</w:t>
            </w:r>
          </w:p>
        </w:tc>
        <w:tc>
          <w:tcPr>
            <w:tcW w:w="7816" w:type="dxa"/>
            <w:shd w:val="solid" w:color="FFFFFF" w:fill="FFFFFF"/>
            <w:vAlign w:val="center"/>
          </w:tcPr>
          <w:p w:rsidR="004A6D8C" w:rsidRDefault="00C1729C">
            <w:pPr>
              <w:spacing w:line="360" w:lineRule="auto"/>
              <w:rPr>
                <w:rFonts w:ascii="宋体" w:hAnsi="宋体"/>
                <w:bCs/>
                <w:sz w:val="18"/>
                <w:szCs w:val="18"/>
              </w:rPr>
            </w:pPr>
            <w:r>
              <w:rPr>
                <w:rFonts w:asciiTheme="majorEastAsia" w:eastAsiaTheme="majorEastAsia" w:hAnsiTheme="majorEastAsia" w:hint="eastAsia"/>
                <w:sz w:val="18"/>
                <w:szCs w:val="18"/>
              </w:rPr>
              <w:t>公募</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产品运作方式</w:t>
            </w:r>
          </w:p>
        </w:tc>
        <w:tc>
          <w:tcPr>
            <w:tcW w:w="7816" w:type="dxa"/>
            <w:shd w:val="solid" w:color="FFFFFF" w:fill="FFFFFF"/>
            <w:vAlign w:val="center"/>
          </w:tcPr>
          <w:p w:rsidR="004A6D8C" w:rsidRDefault="00C1729C">
            <w:pPr>
              <w:spacing w:line="360" w:lineRule="auto"/>
              <w:rPr>
                <w:rFonts w:ascii="宋体" w:hAnsi="宋体"/>
                <w:bCs/>
                <w:sz w:val="18"/>
                <w:szCs w:val="18"/>
              </w:rPr>
            </w:pPr>
            <w:r>
              <w:rPr>
                <w:rFonts w:ascii="宋体" w:hAnsi="宋体" w:hint="eastAsia"/>
                <w:bCs/>
                <w:sz w:val="18"/>
                <w:szCs w:val="18"/>
              </w:rPr>
              <w:t>封闭式</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产品投资性质</w:t>
            </w:r>
          </w:p>
        </w:tc>
        <w:tc>
          <w:tcPr>
            <w:tcW w:w="7816" w:type="dxa"/>
            <w:shd w:val="solid" w:color="FFFFFF" w:fill="FFFFFF"/>
            <w:vAlign w:val="center"/>
          </w:tcPr>
          <w:p w:rsidR="004A6D8C" w:rsidRDefault="00C1729C">
            <w:pPr>
              <w:adjustRightInd w:val="0"/>
              <w:snapToGrid w:val="0"/>
              <w:spacing w:line="360" w:lineRule="auto"/>
              <w:rPr>
                <w:rFonts w:asciiTheme="majorEastAsia" w:eastAsiaTheme="majorEastAsia" w:hAnsiTheme="majorEastAsia"/>
                <w:b/>
                <w:color w:val="000000" w:themeColor="text1"/>
                <w:sz w:val="18"/>
                <w:szCs w:val="18"/>
              </w:rPr>
            </w:pPr>
            <w:r>
              <w:rPr>
                <w:rFonts w:asciiTheme="majorEastAsia" w:eastAsiaTheme="majorEastAsia" w:hAnsiTheme="majorEastAsia" w:hint="eastAsia"/>
                <w:b/>
                <w:color w:val="000000" w:themeColor="text1"/>
                <w:sz w:val="18"/>
                <w:szCs w:val="18"/>
              </w:rPr>
              <w:t>固定收益类</w:t>
            </w:r>
          </w:p>
          <w:p w:rsidR="004A6D8C" w:rsidRDefault="00C1729C">
            <w:pPr>
              <w:adjustRightInd w:val="0"/>
              <w:snapToGrid w:val="0"/>
              <w:spacing w:line="360" w:lineRule="auto"/>
              <w:rPr>
                <w:rFonts w:ascii="宋体" w:hAnsi="宋体"/>
                <w:bCs/>
                <w:sz w:val="18"/>
                <w:szCs w:val="18"/>
              </w:rPr>
            </w:pPr>
            <w:r>
              <w:rPr>
                <w:rFonts w:asciiTheme="majorEastAsia" w:eastAsiaTheme="majorEastAsia" w:hAnsiTheme="majorEastAsia" w:hint="eastAsia"/>
                <w:sz w:val="18"/>
                <w:szCs w:val="18"/>
              </w:rPr>
              <w:t>固定</w:t>
            </w:r>
            <w:r>
              <w:rPr>
                <w:rFonts w:asciiTheme="majorEastAsia" w:eastAsiaTheme="majorEastAsia" w:hAnsiTheme="majorEastAsia"/>
                <w:sz w:val="18"/>
                <w:szCs w:val="18"/>
              </w:rPr>
              <w:t>收益</w:t>
            </w:r>
            <w:r>
              <w:rPr>
                <w:rFonts w:asciiTheme="majorEastAsia" w:eastAsiaTheme="majorEastAsia" w:hAnsiTheme="majorEastAsia" w:hint="eastAsia"/>
                <w:sz w:val="18"/>
                <w:szCs w:val="18"/>
              </w:rPr>
              <w:t>类</w:t>
            </w:r>
            <w:r>
              <w:rPr>
                <w:rFonts w:asciiTheme="majorEastAsia" w:eastAsiaTheme="majorEastAsia" w:hAnsiTheme="majorEastAsia"/>
                <w:sz w:val="18"/>
                <w:szCs w:val="18"/>
              </w:rPr>
              <w:t>产品是指根据监管</w:t>
            </w:r>
            <w:r>
              <w:rPr>
                <w:rFonts w:asciiTheme="majorEastAsia" w:eastAsiaTheme="majorEastAsia" w:hAnsiTheme="majorEastAsia" w:hint="eastAsia"/>
                <w:sz w:val="18"/>
                <w:szCs w:val="18"/>
              </w:rPr>
              <w:t>相关规定</w:t>
            </w:r>
            <w:r>
              <w:rPr>
                <w:rFonts w:asciiTheme="majorEastAsia" w:eastAsiaTheme="majorEastAsia" w:hAnsiTheme="majorEastAsia"/>
                <w:sz w:val="18"/>
                <w:szCs w:val="18"/>
              </w:rPr>
              <w:t>，投资于</w:t>
            </w:r>
            <w:r>
              <w:rPr>
                <w:rFonts w:asciiTheme="majorEastAsia" w:eastAsiaTheme="majorEastAsia" w:hAnsiTheme="majorEastAsia" w:hint="eastAsia"/>
                <w:sz w:val="18"/>
                <w:szCs w:val="18"/>
              </w:rPr>
              <w:t>存款</w:t>
            </w:r>
            <w:r>
              <w:rPr>
                <w:rFonts w:asciiTheme="majorEastAsia" w:eastAsiaTheme="majorEastAsia" w:hAnsiTheme="majorEastAsia"/>
                <w:sz w:val="18"/>
                <w:szCs w:val="18"/>
              </w:rPr>
              <w:t>、债券等债权类资产的</w:t>
            </w:r>
            <w:r>
              <w:rPr>
                <w:rFonts w:asciiTheme="majorEastAsia" w:eastAsiaTheme="majorEastAsia" w:hAnsiTheme="majorEastAsia" w:hint="eastAsia"/>
                <w:sz w:val="18"/>
                <w:szCs w:val="18"/>
              </w:rPr>
              <w:t>比例</w:t>
            </w:r>
            <w:r>
              <w:rPr>
                <w:rFonts w:asciiTheme="majorEastAsia" w:eastAsiaTheme="majorEastAsia" w:hAnsiTheme="majorEastAsia"/>
                <w:sz w:val="18"/>
                <w:szCs w:val="18"/>
              </w:rPr>
              <w:t>不低于80%的产品</w:t>
            </w:r>
            <w:r>
              <w:rPr>
                <w:rFonts w:ascii="宋体" w:hAnsi="宋体" w:hint="eastAsia"/>
                <w:bCs/>
                <w:sz w:val="18"/>
                <w:szCs w:val="18"/>
              </w:rPr>
              <w:t>。</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产品</w:t>
            </w:r>
            <w:r>
              <w:rPr>
                <w:rFonts w:asciiTheme="majorEastAsia" w:eastAsiaTheme="majorEastAsia" w:hAnsiTheme="majorEastAsia"/>
                <w:b/>
                <w:sz w:val="18"/>
                <w:szCs w:val="18"/>
              </w:rPr>
              <w:t>收益特征</w:t>
            </w:r>
          </w:p>
        </w:tc>
        <w:tc>
          <w:tcPr>
            <w:tcW w:w="7816" w:type="dxa"/>
            <w:shd w:val="solid" w:color="FFFFFF" w:fill="FFFFFF"/>
            <w:vAlign w:val="center"/>
          </w:tcPr>
          <w:p w:rsidR="004A6D8C" w:rsidRDefault="00C1729C">
            <w:pPr>
              <w:adjustRightInd w:val="0"/>
              <w:snapToGrid w:val="0"/>
              <w:spacing w:line="360" w:lineRule="auto"/>
              <w:rPr>
                <w:rFonts w:asciiTheme="majorEastAsia" w:eastAsiaTheme="majorEastAsia" w:hAnsiTheme="majorEastAsia"/>
                <w:b/>
                <w:sz w:val="18"/>
                <w:szCs w:val="18"/>
              </w:rPr>
            </w:pPr>
            <w:r>
              <w:rPr>
                <w:rFonts w:asciiTheme="majorEastAsia" w:eastAsiaTheme="majorEastAsia" w:hAnsiTheme="majorEastAsia" w:hint="eastAsia"/>
                <w:b/>
                <w:sz w:val="18"/>
                <w:szCs w:val="18"/>
              </w:rPr>
              <w:t>非保本浮动收益</w:t>
            </w:r>
          </w:p>
          <w:p w:rsidR="004A6D8C" w:rsidRDefault="00C1729C">
            <w:pPr>
              <w:adjustRightInd w:val="0"/>
              <w:snapToGrid w:val="0"/>
              <w:spacing w:line="360" w:lineRule="auto"/>
              <w:rPr>
                <w:rFonts w:asciiTheme="majorEastAsia" w:eastAsiaTheme="majorEastAsia" w:hAnsiTheme="majorEastAsia"/>
                <w:sz w:val="18"/>
                <w:szCs w:val="18"/>
              </w:rPr>
            </w:pPr>
            <w:r>
              <w:rPr>
                <w:rFonts w:asciiTheme="majorEastAsia" w:eastAsiaTheme="majorEastAsia" w:hAnsiTheme="majorEastAsia" w:hint="eastAsia"/>
                <w:sz w:val="18"/>
                <w:szCs w:val="18"/>
              </w:rPr>
              <w:t>本产品不保证本金且不保证收益。本产品的收益随投资收益浮动，投资者可能会因市场变动而蒙</w:t>
            </w:r>
            <w:r>
              <w:rPr>
                <w:rFonts w:asciiTheme="majorEastAsia" w:eastAsiaTheme="majorEastAsia" w:hAnsiTheme="majorEastAsia" w:hint="eastAsia"/>
                <w:sz w:val="18"/>
                <w:szCs w:val="18"/>
              </w:rPr>
              <w:lastRenderedPageBreak/>
              <w:t>受损失。</w:t>
            </w:r>
          </w:p>
          <w:p w:rsidR="004A6D8C" w:rsidRDefault="00C1729C">
            <w:pPr>
              <w:adjustRightInd w:val="0"/>
              <w:snapToGrid w:val="0"/>
              <w:spacing w:line="360" w:lineRule="auto"/>
              <w:rPr>
                <w:rFonts w:asciiTheme="majorEastAsia" w:eastAsiaTheme="majorEastAsia" w:hAnsiTheme="majorEastAsia"/>
                <w:b/>
                <w:color w:val="000000" w:themeColor="text1"/>
                <w:sz w:val="18"/>
                <w:szCs w:val="18"/>
              </w:rPr>
            </w:pPr>
            <w:r>
              <w:rPr>
                <w:rFonts w:ascii="宋体" w:hAnsi="宋体" w:hint="eastAsia"/>
                <w:bCs/>
                <w:sz w:val="18"/>
                <w:szCs w:val="18"/>
              </w:rPr>
              <w:t>产品管理人对本产品的本金并不提供保证，也不承诺任何固定收益。</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asciiTheme="majorEastAsia" w:eastAsiaTheme="majorEastAsia" w:hAnsiTheme="majorEastAsia" w:hint="eastAsia"/>
                <w:b/>
                <w:sz w:val="18"/>
                <w:szCs w:val="18"/>
              </w:rPr>
              <w:lastRenderedPageBreak/>
              <w:t>理财币种</w:t>
            </w:r>
          </w:p>
        </w:tc>
        <w:tc>
          <w:tcPr>
            <w:tcW w:w="7816" w:type="dxa"/>
            <w:shd w:val="solid" w:color="FFFFFF" w:fill="FFFFFF"/>
            <w:vAlign w:val="center"/>
          </w:tcPr>
          <w:p w:rsidR="004A6D8C" w:rsidRDefault="00C1729C">
            <w:pPr>
              <w:spacing w:line="360" w:lineRule="auto"/>
              <w:rPr>
                <w:rFonts w:ascii="宋体" w:hAnsi="宋体"/>
                <w:bCs/>
                <w:sz w:val="18"/>
                <w:szCs w:val="18"/>
              </w:rPr>
            </w:pPr>
            <w:r>
              <w:rPr>
                <w:rFonts w:asciiTheme="majorEastAsia" w:eastAsiaTheme="majorEastAsia" w:hAnsiTheme="majorEastAsia" w:hint="eastAsia"/>
                <w:sz w:val="18"/>
                <w:szCs w:val="18"/>
              </w:rPr>
              <w:t>人民币</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hAnsi="宋体" w:hint="eastAsia"/>
                <w:sz w:val="18"/>
                <w:szCs w:val="18"/>
              </w:rPr>
              <w:t>★</w:t>
            </w:r>
            <w:r>
              <w:rPr>
                <w:rFonts w:asciiTheme="majorEastAsia" w:eastAsiaTheme="majorEastAsia" w:hAnsiTheme="majorEastAsia" w:hint="eastAsia"/>
                <w:b/>
                <w:bCs/>
                <w:sz w:val="18"/>
                <w:szCs w:val="18"/>
              </w:rPr>
              <w:t>产品风险评级</w:t>
            </w:r>
          </w:p>
        </w:tc>
        <w:tc>
          <w:tcPr>
            <w:tcW w:w="7816" w:type="dxa"/>
            <w:shd w:val="solid" w:color="FFFFFF" w:fill="FFFFFF"/>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 xml:space="preserve">本产品属于【□ </w:t>
            </w:r>
            <w:r>
              <w:rPr>
                <w:rFonts w:asciiTheme="majorEastAsia" w:eastAsiaTheme="majorEastAsia" w:hAnsiTheme="majorEastAsia"/>
                <w:bCs/>
                <w:sz w:val="18"/>
                <w:szCs w:val="18"/>
              </w:rPr>
              <w:t>R1、</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R2、</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R4、</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R5】理财产品</w:t>
            </w:r>
            <w:r>
              <w:rPr>
                <w:rFonts w:asciiTheme="majorEastAsia" w:eastAsiaTheme="majorEastAsia" w:hAnsiTheme="majorEastAsia" w:hint="eastAsia"/>
                <w:bCs/>
                <w:sz w:val="18"/>
                <w:szCs w:val="18"/>
              </w:rPr>
              <w:t>。</w:t>
            </w:r>
          </w:p>
          <w:p w:rsidR="004A6D8C" w:rsidRDefault="00C1729C">
            <w:pPr>
              <w:spacing w:line="360" w:lineRule="auto"/>
              <w:rPr>
                <w:rFonts w:ascii="黑体" w:eastAsia="黑体" w:hAnsi="黑体"/>
                <w:sz w:val="18"/>
                <w:szCs w:val="18"/>
              </w:rPr>
            </w:pPr>
            <w:r>
              <w:rPr>
                <w:rFonts w:ascii="黑体" w:eastAsia="黑体" w:hAnsi="黑体" w:hint="eastAsia"/>
                <w:sz w:val="18"/>
                <w:szCs w:val="18"/>
              </w:rPr>
              <w:t>本评级为理财产品管理人内部评级，仅供参考。</w:t>
            </w:r>
          </w:p>
          <w:p w:rsidR="004A6D8C" w:rsidRDefault="00C1729C">
            <w:pPr>
              <w:spacing w:line="360" w:lineRule="auto"/>
              <w:rPr>
                <w:rFonts w:ascii="宋体" w:hAnsi="宋体"/>
                <w:bCs/>
                <w:sz w:val="18"/>
                <w:szCs w:val="18"/>
              </w:rPr>
            </w:pPr>
            <w:r>
              <w:rPr>
                <w:rFonts w:ascii="黑体" w:eastAsia="黑体" w:hAnsi="黑体" w:hint="eastAsia"/>
                <w:sz w:val="18"/>
                <w:szCs w:val="18"/>
              </w:rPr>
              <w:t>注</w:t>
            </w:r>
            <w:r>
              <w:rPr>
                <w:rFonts w:ascii="黑体" w:eastAsia="黑体" w:hAnsi="黑体"/>
                <w:sz w:val="18"/>
                <w:szCs w:val="18"/>
              </w:rPr>
              <w:t>：</w:t>
            </w:r>
            <w:r>
              <w:rPr>
                <w:rFonts w:ascii="黑体" w:eastAsia="黑体" w:hAnsi="黑体" w:hint="eastAsia"/>
                <w:sz w:val="18"/>
                <w:szCs w:val="18"/>
              </w:rPr>
              <w:t>若本</w:t>
            </w:r>
            <w:r>
              <w:rPr>
                <w:rFonts w:ascii="黑体" w:eastAsia="黑体" w:hAnsi="黑体"/>
                <w:sz w:val="18"/>
                <w:szCs w:val="18"/>
              </w:rPr>
              <w:t>产品通过代理销售机构销售的，</w:t>
            </w:r>
            <w:r>
              <w:rPr>
                <w:rFonts w:ascii="黑体" w:eastAsia="黑体" w:hAnsi="黑体" w:hint="eastAsia"/>
                <w:sz w:val="18"/>
                <w:szCs w:val="18"/>
              </w:rPr>
              <w:t>理财产品</w:t>
            </w:r>
            <w:r>
              <w:rPr>
                <w:rFonts w:ascii="黑体" w:eastAsia="黑体" w:hAnsi="黑体"/>
                <w:sz w:val="18"/>
                <w:szCs w:val="18"/>
              </w:rPr>
              <w:t>评级</w:t>
            </w:r>
            <w:r>
              <w:rPr>
                <w:rFonts w:ascii="黑体" w:eastAsia="黑体" w:hAnsi="黑体" w:hint="eastAsia"/>
                <w:sz w:val="18"/>
                <w:szCs w:val="18"/>
              </w:rPr>
              <w:t>以</w:t>
            </w:r>
            <w:r>
              <w:rPr>
                <w:rFonts w:ascii="黑体" w:eastAsia="黑体" w:hAnsi="黑体"/>
                <w:sz w:val="18"/>
                <w:szCs w:val="18"/>
              </w:rPr>
              <w:t>代理销售机构最终披露的评级结果为准。</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bCs/>
                <w:sz w:val="18"/>
                <w:szCs w:val="18"/>
              </w:rPr>
              <w:t>销售对象</w:t>
            </w:r>
          </w:p>
        </w:tc>
        <w:tc>
          <w:tcPr>
            <w:tcW w:w="7816" w:type="dxa"/>
            <w:shd w:val="solid" w:color="FFFFFF" w:fill="FFFFFF"/>
            <w:vAlign w:val="bottom"/>
          </w:tcPr>
          <w:p w:rsidR="004A6D8C" w:rsidRDefault="00C1729C">
            <w:pPr>
              <w:spacing w:line="360" w:lineRule="auto"/>
              <w:rPr>
                <w:rFonts w:asciiTheme="majorEastAsia" w:eastAsiaTheme="majorEastAsia" w:hAnsiTheme="majorEastAsia"/>
                <w:bCs/>
                <w:color w:val="000000" w:themeColor="text1"/>
                <w:sz w:val="18"/>
                <w:szCs w:val="18"/>
              </w:rPr>
            </w:pPr>
            <w:r>
              <w:rPr>
                <w:rFonts w:asciiTheme="majorEastAsia" w:eastAsiaTheme="majorEastAsia" w:hAnsiTheme="majorEastAsia"/>
                <w:bCs/>
                <w:color w:val="000000" w:themeColor="text1"/>
                <w:sz w:val="18"/>
                <w:szCs w:val="18"/>
              </w:rPr>
              <w:t>本产品适合以下类型投资者：</w:t>
            </w:r>
          </w:p>
          <w:p w:rsidR="004A6D8C" w:rsidRDefault="00C1729C">
            <w:pPr>
              <w:spacing w:line="360" w:lineRule="auto"/>
              <w:rPr>
                <w:rFonts w:asciiTheme="majorEastAsia" w:eastAsiaTheme="majorEastAsia" w:hAnsiTheme="majorEastAsia"/>
                <w:bCs/>
                <w:color w:val="000000" w:themeColor="text1"/>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个人投资者</w:t>
            </w:r>
          </w:p>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000000" w:themeColor="text1"/>
                <w:sz w:val="18"/>
                <w:szCs w:val="18"/>
              </w:rPr>
              <w:t>□机构投资者：□一般</w:t>
            </w:r>
            <w:r>
              <w:rPr>
                <w:rFonts w:asciiTheme="majorEastAsia" w:eastAsiaTheme="majorEastAsia" w:hAnsiTheme="majorEastAsia"/>
                <w:bCs/>
                <w:color w:val="000000" w:themeColor="text1"/>
                <w:sz w:val="18"/>
                <w:szCs w:val="18"/>
              </w:rPr>
              <w:t>机构</w:t>
            </w:r>
            <w:r>
              <w:rPr>
                <w:rFonts w:asciiTheme="majorEastAsia" w:eastAsiaTheme="majorEastAsia" w:hAnsiTheme="majorEastAsia" w:hint="eastAsia"/>
                <w:bCs/>
                <w:color w:val="000000" w:themeColor="text1"/>
                <w:sz w:val="18"/>
                <w:szCs w:val="18"/>
              </w:rPr>
              <w:t xml:space="preserve">客户 </w:t>
            </w:r>
            <w:r>
              <w:rPr>
                <w:rFonts w:asciiTheme="majorEastAsia" w:eastAsiaTheme="majorEastAsia" w:hAnsiTheme="majorEastAsia"/>
                <w:bCs/>
                <w:color w:val="000000" w:themeColor="text1"/>
                <w:sz w:val="18"/>
                <w:szCs w:val="18"/>
              </w:rPr>
              <w:t xml:space="preserve">  </w:t>
            </w:r>
            <w:r>
              <w:rPr>
                <w:rFonts w:asciiTheme="majorEastAsia" w:eastAsiaTheme="majorEastAsia" w:hAnsiTheme="majorEastAsia" w:hint="eastAsia"/>
                <w:bCs/>
                <w:color w:val="000000" w:themeColor="text1"/>
                <w:sz w:val="18"/>
                <w:szCs w:val="18"/>
              </w:rPr>
              <w:t>□金融同业客户</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bCs/>
                <w:sz w:val="18"/>
                <w:szCs w:val="18"/>
              </w:rPr>
              <w:t>销售场景</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本产品可在销售机构线</w:t>
            </w:r>
            <w:proofErr w:type="gramStart"/>
            <w:r>
              <w:rPr>
                <w:rFonts w:asciiTheme="majorEastAsia" w:eastAsiaTheme="majorEastAsia" w:hAnsiTheme="majorEastAsia" w:hint="eastAsia"/>
                <w:bCs/>
                <w:sz w:val="18"/>
                <w:szCs w:val="18"/>
              </w:rPr>
              <w:t>上渠道</w:t>
            </w:r>
            <w:proofErr w:type="gramEnd"/>
            <w:r>
              <w:rPr>
                <w:rFonts w:asciiTheme="majorEastAsia" w:eastAsiaTheme="majorEastAsia" w:hAnsiTheme="majorEastAsia" w:hint="eastAsia"/>
                <w:bCs/>
                <w:sz w:val="18"/>
                <w:szCs w:val="18"/>
              </w:rPr>
              <w:t>和线下渠道等场景进行销售。</w:t>
            </w:r>
          </w:p>
          <w:p w:rsidR="004A6D8C" w:rsidRDefault="00C1729C">
            <w:pPr>
              <w:spacing w:line="360" w:lineRule="auto"/>
              <w:rPr>
                <w:rFonts w:asciiTheme="majorEastAsia" w:eastAsiaTheme="majorEastAsia" w:hAnsiTheme="majorEastAsia"/>
                <w:bCs/>
                <w:color w:val="000000" w:themeColor="text1"/>
                <w:sz w:val="18"/>
                <w:szCs w:val="18"/>
              </w:rPr>
            </w:pPr>
            <w:r>
              <w:rPr>
                <w:rFonts w:ascii="黑体" w:eastAsia="黑体" w:hAnsi="黑体" w:hint="eastAsia"/>
                <w:bCs/>
                <w:sz w:val="18"/>
                <w:szCs w:val="18"/>
              </w:rPr>
              <w:t>特别提示：当销售机构销售产品风险评级为</w:t>
            </w:r>
            <w:r>
              <w:rPr>
                <w:rFonts w:ascii="黑体" w:eastAsia="黑体" w:hAnsi="黑体"/>
                <w:bCs/>
                <w:sz w:val="18"/>
                <w:szCs w:val="18"/>
              </w:rPr>
              <w:t>R4</w:t>
            </w:r>
            <w:r>
              <w:rPr>
                <w:rFonts w:ascii="黑体" w:eastAsia="黑体" w:hAnsi="黑体" w:hint="eastAsia"/>
                <w:bCs/>
                <w:sz w:val="18"/>
                <w:szCs w:val="18"/>
              </w:rPr>
              <w:t>及</w:t>
            </w:r>
            <w:r>
              <w:rPr>
                <w:rFonts w:ascii="黑体" w:eastAsia="黑体" w:hAnsi="黑体"/>
                <w:bCs/>
                <w:sz w:val="18"/>
                <w:szCs w:val="18"/>
              </w:rPr>
              <w:t>以上</w:t>
            </w:r>
            <w:r>
              <w:rPr>
                <w:rFonts w:ascii="黑体" w:eastAsia="黑体" w:hAnsi="黑体" w:hint="eastAsia"/>
                <w:bCs/>
                <w:sz w:val="18"/>
                <w:szCs w:val="18"/>
              </w:rPr>
              <w:t>的理财产品时，可在销售机构的营业网点进行，也可依据销售机构的政策在营业网点之外的其他场景进行（具体政策以销售机构公布执行的为准）。</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asciiTheme="majorEastAsia" w:eastAsiaTheme="majorEastAsia" w:hAnsiTheme="majorEastAsia" w:hint="eastAsia"/>
                <w:b/>
                <w:sz w:val="18"/>
                <w:szCs w:val="18"/>
              </w:rPr>
              <w:t>销售机构</w:t>
            </w:r>
          </w:p>
        </w:tc>
        <w:tc>
          <w:tcPr>
            <w:tcW w:w="7816" w:type="dxa"/>
            <w:shd w:val="solid" w:color="FFFFFF" w:fill="FFFFFF"/>
            <w:vAlign w:val="center"/>
          </w:tcPr>
          <w:p w:rsidR="004A6D8C" w:rsidRDefault="00C1729C">
            <w:pPr>
              <w:spacing w:line="360" w:lineRule="auto"/>
              <w:jc w:val="left"/>
              <w:rPr>
                <w:rFonts w:ascii="宋体" w:hAnsi="宋体"/>
                <w:sz w:val="18"/>
                <w:szCs w:val="18"/>
              </w:rPr>
            </w:pPr>
            <w:r>
              <w:rPr>
                <w:rFonts w:ascii="宋体" w:hAnsi="宋体" w:hint="eastAsia"/>
                <w:sz w:val="18"/>
                <w:szCs w:val="18"/>
              </w:rPr>
              <w:t>□ 直销适用</w:t>
            </w:r>
          </w:p>
          <w:p w:rsidR="004A6D8C" w:rsidRDefault="00C1729C">
            <w:pPr>
              <w:spacing w:line="360" w:lineRule="auto"/>
              <w:jc w:val="left"/>
              <w:rPr>
                <w:rFonts w:ascii="宋体" w:hAnsi="宋体"/>
                <w:sz w:val="18"/>
                <w:szCs w:val="18"/>
              </w:rPr>
            </w:pPr>
            <w:r>
              <w:rPr>
                <w:rFonts w:ascii="宋体" w:hAnsi="宋体" w:hint="eastAsia"/>
                <w:sz w:val="18"/>
                <w:szCs w:val="18"/>
              </w:rPr>
              <w:t>本产品由产品管理人销售。</w:t>
            </w:r>
          </w:p>
          <w:p w:rsidR="004A6D8C" w:rsidRDefault="00C1729C">
            <w:pPr>
              <w:spacing w:line="360" w:lineRule="auto"/>
              <w:jc w:val="left"/>
              <w:rPr>
                <w:rFonts w:ascii="宋体" w:hAnsi="宋体"/>
                <w:sz w:val="18"/>
                <w:szCs w:val="18"/>
              </w:rPr>
            </w:pPr>
            <w:r>
              <w:rPr>
                <w:rFonts w:asciiTheme="majorEastAsia" w:eastAsiaTheme="majorEastAsia" w:hAnsiTheme="majorEastAsia" w:hint="eastAsia"/>
                <w:bCs/>
                <w:sz w:val="18"/>
                <w:szCs w:val="18"/>
              </w:rPr>
              <w:t>■</w:t>
            </w:r>
            <w:r>
              <w:rPr>
                <w:rFonts w:ascii="宋体" w:hAnsi="宋体" w:hint="eastAsia"/>
                <w:sz w:val="18"/>
                <w:szCs w:val="18"/>
              </w:rPr>
              <w:t xml:space="preserve"> 代销适用</w:t>
            </w:r>
          </w:p>
          <w:p w:rsidR="004A6D8C" w:rsidRDefault="00C1729C">
            <w:pPr>
              <w:spacing w:line="360" w:lineRule="auto"/>
              <w:jc w:val="left"/>
              <w:rPr>
                <w:rFonts w:ascii="宋体" w:hAnsi="宋体"/>
                <w:sz w:val="18"/>
                <w:szCs w:val="18"/>
              </w:rPr>
            </w:pPr>
            <w:r>
              <w:rPr>
                <w:rFonts w:ascii="宋体" w:hAnsi="宋体" w:hint="eastAsia"/>
                <w:sz w:val="18"/>
                <w:szCs w:val="18"/>
              </w:rPr>
              <w:t>本产品由代理销售机构</w:t>
            </w:r>
            <w:r>
              <w:rPr>
                <w:rFonts w:ascii="宋体" w:hAnsi="宋体"/>
                <w:sz w:val="18"/>
                <w:szCs w:val="18"/>
              </w:rPr>
              <w:t>销售</w:t>
            </w:r>
            <w:r>
              <w:rPr>
                <w:rFonts w:ascii="宋体" w:hAnsi="宋体" w:hint="eastAsia"/>
                <w:sz w:val="18"/>
                <w:szCs w:val="18"/>
              </w:rPr>
              <w:t>。</w:t>
            </w:r>
          </w:p>
          <w:p w:rsidR="004A6D8C" w:rsidRDefault="00C1729C">
            <w:pPr>
              <w:spacing w:line="360" w:lineRule="auto"/>
              <w:rPr>
                <w:rFonts w:asciiTheme="majorEastAsia" w:eastAsiaTheme="majorEastAsia" w:hAnsiTheme="majorEastAsia"/>
                <w:bCs/>
                <w:sz w:val="18"/>
                <w:szCs w:val="18"/>
              </w:rPr>
            </w:pPr>
            <w:r>
              <w:rPr>
                <w:rFonts w:ascii="宋体" w:hAnsi="宋体" w:hint="eastAsia"/>
                <w:sz w:val="18"/>
                <w:szCs w:val="18"/>
              </w:rPr>
              <w:t>代理销售</w:t>
            </w:r>
            <w:r>
              <w:rPr>
                <w:rFonts w:ascii="宋体" w:hAnsi="宋体"/>
                <w:sz w:val="18"/>
                <w:szCs w:val="18"/>
              </w:rPr>
              <w:t>机构</w:t>
            </w:r>
            <w:r>
              <w:rPr>
                <w:rFonts w:ascii="宋体" w:hAnsi="宋体" w:hint="eastAsia"/>
                <w:sz w:val="18"/>
                <w:szCs w:val="18"/>
              </w:rPr>
              <w:t>合作业务</w:t>
            </w:r>
            <w:r>
              <w:rPr>
                <w:rFonts w:ascii="宋体" w:hAnsi="宋体"/>
                <w:sz w:val="18"/>
                <w:szCs w:val="18"/>
              </w:rPr>
              <w:t>情况</w:t>
            </w:r>
            <w:r>
              <w:rPr>
                <w:rFonts w:ascii="宋体" w:hAnsi="宋体" w:hint="eastAsia"/>
                <w:sz w:val="18"/>
                <w:szCs w:val="18"/>
              </w:rPr>
              <w:t>以</w:t>
            </w:r>
            <w:r>
              <w:rPr>
                <w:rFonts w:ascii="宋体" w:hAnsi="宋体"/>
                <w:sz w:val="18"/>
                <w:szCs w:val="18"/>
              </w:rPr>
              <w:t>产品管理人</w:t>
            </w:r>
            <w:r>
              <w:rPr>
                <w:rFonts w:ascii="宋体" w:hAnsi="宋体" w:hint="eastAsia"/>
                <w:sz w:val="18"/>
                <w:szCs w:val="18"/>
              </w:rPr>
              <w:t>公告为准，</w:t>
            </w:r>
            <w:r>
              <w:rPr>
                <w:rFonts w:ascii="宋体" w:hAnsi="宋体"/>
                <w:sz w:val="18"/>
                <w:szCs w:val="18"/>
              </w:rPr>
              <w:t>具体代理</w:t>
            </w:r>
            <w:r>
              <w:rPr>
                <w:rFonts w:ascii="宋体" w:hAnsi="宋体" w:hint="eastAsia"/>
                <w:sz w:val="18"/>
                <w:szCs w:val="18"/>
              </w:rPr>
              <w:t>销售机构</w:t>
            </w:r>
            <w:r>
              <w:rPr>
                <w:rFonts w:ascii="宋体" w:hAnsi="宋体"/>
                <w:sz w:val="18"/>
                <w:szCs w:val="18"/>
              </w:rPr>
              <w:t>以《</w:t>
            </w:r>
            <w:r>
              <w:rPr>
                <w:rFonts w:ascii="宋体" w:hAnsi="宋体" w:hint="eastAsia"/>
                <w:sz w:val="18"/>
                <w:szCs w:val="18"/>
              </w:rPr>
              <w:t>（代理）</w:t>
            </w:r>
            <w:r>
              <w:rPr>
                <w:rFonts w:ascii="宋体" w:hAnsi="宋体"/>
                <w:sz w:val="18"/>
                <w:szCs w:val="18"/>
              </w:rPr>
              <w:t>销售协议书》</w:t>
            </w:r>
            <w:r>
              <w:rPr>
                <w:rFonts w:ascii="宋体" w:hAnsi="宋体" w:hint="eastAsia"/>
                <w:sz w:val="18"/>
                <w:szCs w:val="18"/>
              </w:rPr>
              <w:t>为准</w:t>
            </w:r>
            <w:r>
              <w:rPr>
                <w:rFonts w:ascii="宋体" w:hAnsi="宋体"/>
                <w:sz w:val="18"/>
                <w:szCs w:val="18"/>
              </w:rPr>
              <w:t>。</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asciiTheme="majorEastAsia" w:eastAsiaTheme="majorEastAsia" w:hAnsiTheme="majorEastAsia" w:hint="eastAsia"/>
                <w:b/>
                <w:bCs/>
                <w:sz w:val="18"/>
                <w:szCs w:val="18"/>
              </w:rPr>
              <w:t>理财产品</w:t>
            </w:r>
            <w:r>
              <w:rPr>
                <w:rFonts w:asciiTheme="majorEastAsia" w:eastAsiaTheme="majorEastAsia" w:hAnsiTheme="majorEastAsia"/>
                <w:b/>
                <w:bCs/>
                <w:sz w:val="18"/>
                <w:szCs w:val="18"/>
              </w:rPr>
              <w:t>管理人</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兴银理财有限责任公司</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asciiTheme="majorEastAsia" w:eastAsiaTheme="majorEastAsia" w:hAnsiTheme="majorEastAsia" w:hint="eastAsia"/>
                <w:b/>
                <w:bCs/>
                <w:sz w:val="18"/>
                <w:szCs w:val="18"/>
              </w:rPr>
              <w:t>理财产品托管人</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兴业银行股份有限公司</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产品规模</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1.本产品计划初始</w:t>
            </w:r>
            <w:r>
              <w:rPr>
                <w:rFonts w:asciiTheme="majorEastAsia" w:eastAsiaTheme="majorEastAsia" w:hAnsiTheme="majorEastAsia"/>
                <w:bCs/>
                <w:sz w:val="18"/>
                <w:szCs w:val="18"/>
              </w:rPr>
              <w:t>募集</w:t>
            </w:r>
            <w:r>
              <w:rPr>
                <w:rFonts w:asciiTheme="majorEastAsia" w:eastAsiaTheme="majorEastAsia" w:hAnsiTheme="majorEastAsia" w:hint="eastAsia"/>
                <w:bCs/>
                <w:sz w:val="18"/>
                <w:szCs w:val="18"/>
              </w:rPr>
              <w:t>规模为【1</w:t>
            </w:r>
            <w:r>
              <w:rPr>
                <w:rFonts w:asciiTheme="majorEastAsia" w:eastAsiaTheme="majorEastAsia" w:hAnsiTheme="majorEastAsia"/>
                <w:bCs/>
                <w:sz w:val="18"/>
                <w:szCs w:val="18"/>
              </w:rPr>
              <w:t>0</w:t>
            </w:r>
            <w:r>
              <w:rPr>
                <w:rFonts w:asciiTheme="majorEastAsia" w:eastAsiaTheme="majorEastAsia" w:hAnsiTheme="majorEastAsia" w:hint="eastAsia"/>
                <w:bCs/>
                <w:sz w:val="18"/>
                <w:szCs w:val="18"/>
              </w:rPr>
              <w:t>】亿元。</w:t>
            </w:r>
          </w:p>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2.产品管理人</w:t>
            </w:r>
            <w:r>
              <w:rPr>
                <w:rFonts w:asciiTheme="majorEastAsia" w:eastAsiaTheme="majorEastAsia" w:hAnsiTheme="majorEastAsia"/>
                <w:bCs/>
                <w:sz w:val="18"/>
                <w:szCs w:val="18"/>
              </w:rPr>
              <w:t>有权根据实际需要对产品规模进行调整，产品最终规模以</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实际募集/管理的</w:t>
            </w:r>
            <w:r>
              <w:rPr>
                <w:rFonts w:asciiTheme="majorEastAsia" w:eastAsiaTheme="majorEastAsia" w:hAnsiTheme="majorEastAsia" w:hint="eastAsia"/>
                <w:bCs/>
                <w:sz w:val="18"/>
                <w:szCs w:val="18"/>
              </w:rPr>
              <w:t>金</w:t>
            </w:r>
            <w:r>
              <w:rPr>
                <w:rFonts w:asciiTheme="majorEastAsia" w:eastAsiaTheme="majorEastAsia" w:hAnsiTheme="majorEastAsia"/>
                <w:bCs/>
                <w:sz w:val="18"/>
                <w:szCs w:val="18"/>
              </w:rPr>
              <w:t>额为准。</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
                <w:sz w:val="18"/>
                <w:szCs w:val="18"/>
              </w:rPr>
              <w:t>产品期限</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cs="仿宋_GB2312" w:hint="eastAsia"/>
                <w:kern w:val="0"/>
                <w:sz w:val="18"/>
                <w:szCs w:val="18"/>
              </w:rPr>
              <w:t>【</w:t>
            </w:r>
            <w:r>
              <w:rPr>
                <w:rFonts w:asciiTheme="majorEastAsia" w:eastAsiaTheme="majorEastAsia" w:hAnsiTheme="majorEastAsia" w:cs="仿宋_GB2312"/>
                <w:kern w:val="0"/>
                <w:sz w:val="18"/>
                <w:szCs w:val="18"/>
              </w:rPr>
              <w:t>3</w:t>
            </w:r>
            <w:r>
              <w:rPr>
                <w:rFonts w:asciiTheme="majorEastAsia" w:eastAsiaTheme="majorEastAsia" w:hAnsiTheme="majorEastAsia" w:cs="仿宋_GB2312" w:hint="eastAsia"/>
                <w:kern w:val="0"/>
                <w:sz w:val="18"/>
                <w:szCs w:val="18"/>
              </w:rPr>
              <w:t>】</w:t>
            </w:r>
            <w:proofErr w:type="gramStart"/>
            <w:r>
              <w:rPr>
                <w:rFonts w:asciiTheme="majorEastAsia" w:eastAsiaTheme="majorEastAsia" w:hAnsiTheme="majorEastAsia" w:cs="仿宋_GB2312" w:hint="eastAsia"/>
                <w:kern w:val="0"/>
                <w:sz w:val="18"/>
                <w:szCs w:val="18"/>
              </w:rPr>
              <w:t>个</w:t>
            </w:r>
            <w:proofErr w:type="gramEnd"/>
            <w:r>
              <w:rPr>
                <w:rFonts w:asciiTheme="majorEastAsia" w:eastAsiaTheme="majorEastAsia" w:hAnsiTheme="majorEastAsia" w:cs="仿宋_GB2312" w:hint="eastAsia"/>
                <w:kern w:val="0"/>
                <w:sz w:val="18"/>
                <w:szCs w:val="18"/>
              </w:rPr>
              <w:t>月</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bCs/>
                <w:sz w:val="18"/>
                <w:szCs w:val="18"/>
              </w:rPr>
            </w:pPr>
            <w:r>
              <w:rPr>
                <w:rFonts w:asciiTheme="minorEastAsia" w:hAnsiTheme="minorEastAsia" w:hint="eastAsia"/>
                <w:b/>
                <w:sz w:val="18"/>
                <w:szCs w:val="18"/>
              </w:rPr>
              <w:t>认购期/募集期</w:t>
            </w:r>
          </w:p>
        </w:tc>
        <w:tc>
          <w:tcPr>
            <w:tcW w:w="7816" w:type="dxa"/>
            <w:shd w:val="solid" w:color="FFFFFF" w:fill="FFFFFF"/>
            <w:vAlign w:val="center"/>
          </w:tcPr>
          <w:p w:rsidR="004A6D8C" w:rsidRDefault="00C1729C">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w:t>
            </w:r>
            <w:r>
              <w:rPr>
                <w:rFonts w:asciiTheme="minorEastAsia" w:hAnsiTheme="minorEastAsia"/>
                <w:bCs/>
                <w:sz w:val="18"/>
                <w:szCs w:val="18"/>
              </w:rPr>
              <w:t xml:space="preserve"> 本产品认购期/募集期为</w:t>
            </w:r>
            <w:r>
              <w:rPr>
                <w:rFonts w:asciiTheme="minorEastAsia" w:hAnsiTheme="minorEastAsia" w:hint="eastAsia"/>
                <w:bCs/>
                <w:sz w:val="18"/>
                <w:szCs w:val="18"/>
              </w:rPr>
              <w:t>：【202</w:t>
            </w:r>
            <w:r>
              <w:rPr>
                <w:rFonts w:asciiTheme="minorEastAsia" w:hAnsiTheme="minorEastAsia"/>
                <w:bCs/>
                <w:sz w:val="18"/>
                <w:szCs w:val="18"/>
              </w:rPr>
              <w:t>3</w:t>
            </w:r>
            <w:r>
              <w:rPr>
                <w:rFonts w:asciiTheme="minorEastAsia" w:hAnsiTheme="minorEastAsia" w:hint="eastAsia"/>
                <w:bCs/>
                <w:sz w:val="18"/>
                <w:szCs w:val="18"/>
              </w:rPr>
              <w:t>】年【10】月【</w:t>
            </w:r>
            <w:r w:rsidR="0075022E">
              <w:rPr>
                <w:rFonts w:asciiTheme="minorEastAsia" w:hAnsiTheme="minorEastAsia"/>
                <w:bCs/>
                <w:sz w:val="18"/>
                <w:szCs w:val="18"/>
              </w:rPr>
              <w:t>26</w:t>
            </w:r>
            <w:r>
              <w:rPr>
                <w:rFonts w:asciiTheme="minorEastAsia" w:hAnsiTheme="minorEastAsia" w:hint="eastAsia"/>
                <w:bCs/>
                <w:sz w:val="18"/>
                <w:szCs w:val="18"/>
              </w:rPr>
              <w:t>】日</w:t>
            </w:r>
            <w:r>
              <w:rPr>
                <w:rFonts w:asciiTheme="minorEastAsia" w:hAnsiTheme="minorEastAsia"/>
                <w:bCs/>
                <w:sz w:val="18"/>
                <w:szCs w:val="18"/>
              </w:rPr>
              <w:t>9</w:t>
            </w:r>
            <w:r>
              <w:rPr>
                <w:rFonts w:asciiTheme="minorEastAsia" w:hAnsiTheme="minorEastAsia" w:hint="eastAsia"/>
                <w:bCs/>
                <w:sz w:val="18"/>
                <w:szCs w:val="18"/>
              </w:rPr>
              <w:t>:00至【202</w:t>
            </w:r>
            <w:r>
              <w:rPr>
                <w:rFonts w:asciiTheme="minorEastAsia" w:hAnsiTheme="minorEastAsia"/>
                <w:bCs/>
                <w:sz w:val="18"/>
                <w:szCs w:val="18"/>
              </w:rPr>
              <w:t>3</w:t>
            </w:r>
            <w:r>
              <w:rPr>
                <w:rFonts w:asciiTheme="minorEastAsia" w:hAnsiTheme="minorEastAsia" w:hint="eastAsia"/>
                <w:bCs/>
                <w:sz w:val="18"/>
                <w:szCs w:val="18"/>
              </w:rPr>
              <w:t>】年【</w:t>
            </w:r>
            <w:r w:rsidR="0075022E">
              <w:rPr>
                <w:rFonts w:asciiTheme="minorEastAsia" w:hAnsiTheme="minorEastAsia" w:hint="eastAsia"/>
                <w:bCs/>
                <w:sz w:val="18"/>
                <w:szCs w:val="18"/>
              </w:rPr>
              <w:t>1</w:t>
            </w:r>
            <w:r w:rsidR="0075022E">
              <w:rPr>
                <w:rFonts w:asciiTheme="minorEastAsia" w:hAnsiTheme="minorEastAsia"/>
                <w:bCs/>
                <w:sz w:val="18"/>
                <w:szCs w:val="18"/>
              </w:rPr>
              <w:t>1</w:t>
            </w:r>
            <w:r>
              <w:rPr>
                <w:rFonts w:asciiTheme="minorEastAsia" w:hAnsiTheme="minorEastAsia" w:hint="eastAsia"/>
                <w:bCs/>
                <w:sz w:val="18"/>
                <w:szCs w:val="18"/>
              </w:rPr>
              <w:t>】月【</w:t>
            </w:r>
            <w:r w:rsidR="0075022E">
              <w:rPr>
                <w:rFonts w:asciiTheme="minorEastAsia" w:hAnsiTheme="minorEastAsia"/>
                <w:bCs/>
                <w:sz w:val="18"/>
                <w:szCs w:val="18"/>
              </w:rPr>
              <w:t>1</w:t>
            </w:r>
            <w:r>
              <w:rPr>
                <w:rFonts w:asciiTheme="minorEastAsia" w:hAnsiTheme="minorEastAsia" w:hint="eastAsia"/>
                <w:bCs/>
                <w:sz w:val="18"/>
                <w:szCs w:val="18"/>
              </w:rPr>
              <w:t>】日17:00。</w:t>
            </w:r>
          </w:p>
          <w:p w:rsidR="004A6D8C" w:rsidRDefault="00C1729C">
            <w:pPr>
              <w:spacing w:line="360" w:lineRule="auto"/>
              <w:rPr>
                <w:rFonts w:ascii="宋体" w:hAnsi="宋体"/>
                <w:bCs/>
                <w:sz w:val="18"/>
                <w:szCs w:val="18"/>
              </w:rPr>
            </w:pPr>
            <w:r>
              <w:rPr>
                <w:rFonts w:ascii="宋体" w:hAnsi="宋体"/>
                <w:bCs/>
                <w:sz w:val="18"/>
                <w:szCs w:val="18"/>
              </w:rPr>
              <w:t>2</w:t>
            </w:r>
            <w:r>
              <w:rPr>
                <w:rFonts w:asciiTheme="minorEastAsia" w:hAnsiTheme="minorEastAsia" w:hint="eastAsia"/>
                <w:bCs/>
                <w:sz w:val="18"/>
                <w:szCs w:val="18"/>
              </w:rPr>
              <w:t>.</w:t>
            </w:r>
            <w:r>
              <w:rPr>
                <w:rFonts w:ascii="宋体" w:hAnsi="宋体" w:hint="eastAsia"/>
                <w:bCs/>
                <w:sz w:val="18"/>
                <w:szCs w:val="18"/>
              </w:rPr>
              <w:t>投资者在认购期/募集</w:t>
            </w:r>
            <w:r>
              <w:rPr>
                <w:rFonts w:ascii="宋体" w:hAnsi="宋体" w:hint="eastAsia"/>
                <w:sz w:val="18"/>
              </w:rPr>
              <w:t>期内认购</w:t>
            </w:r>
            <w:r>
              <w:rPr>
                <w:rFonts w:ascii="宋体" w:hAnsi="宋体" w:hint="eastAsia"/>
                <w:bCs/>
                <w:sz w:val="18"/>
                <w:szCs w:val="18"/>
              </w:rPr>
              <w:t>本</w:t>
            </w:r>
            <w:r>
              <w:rPr>
                <w:rFonts w:ascii="宋体" w:hAnsi="宋体" w:hint="eastAsia"/>
                <w:sz w:val="18"/>
              </w:rPr>
              <w:t>理财</w:t>
            </w:r>
            <w:r>
              <w:rPr>
                <w:rFonts w:ascii="宋体" w:hAnsi="宋体" w:hint="eastAsia"/>
                <w:bCs/>
                <w:sz w:val="18"/>
                <w:szCs w:val="18"/>
              </w:rPr>
              <w:t>产品后，</w:t>
            </w:r>
            <w:r>
              <w:rPr>
                <w:rFonts w:ascii="宋体" w:hAnsi="宋体" w:hint="eastAsia"/>
                <w:sz w:val="18"/>
              </w:rPr>
              <w:t>理财</w:t>
            </w:r>
            <w:r>
              <w:rPr>
                <w:rFonts w:ascii="宋体" w:hAnsi="宋体" w:hint="eastAsia"/>
                <w:bCs/>
                <w:sz w:val="18"/>
                <w:szCs w:val="18"/>
              </w:rPr>
              <w:t>资金将在成立日开始进行投资。</w:t>
            </w:r>
          </w:p>
          <w:p w:rsidR="004A6D8C" w:rsidRDefault="00C1729C">
            <w:pPr>
              <w:spacing w:line="360" w:lineRule="auto"/>
              <w:rPr>
                <w:rFonts w:ascii="宋体" w:hAnsi="宋体"/>
                <w:sz w:val="18"/>
              </w:rPr>
            </w:pPr>
            <w:r>
              <w:rPr>
                <w:rFonts w:ascii="宋体" w:hAnsi="宋体"/>
                <w:bCs/>
                <w:sz w:val="18"/>
                <w:szCs w:val="18"/>
              </w:rPr>
              <w:t>3</w:t>
            </w:r>
            <w:r>
              <w:rPr>
                <w:rFonts w:asciiTheme="minorEastAsia" w:hAnsiTheme="minorEastAsia" w:hint="eastAsia"/>
                <w:bCs/>
                <w:sz w:val="18"/>
                <w:szCs w:val="18"/>
              </w:rPr>
              <w:t>.认购期</w:t>
            </w:r>
            <w:r>
              <w:rPr>
                <w:rFonts w:asciiTheme="minorEastAsia" w:hAnsiTheme="minorEastAsia"/>
                <w:bCs/>
                <w:sz w:val="18"/>
                <w:szCs w:val="18"/>
              </w:rPr>
              <w:t>/</w:t>
            </w:r>
            <w:r>
              <w:rPr>
                <w:rFonts w:ascii="宋体" w:hAnsi="宋体" w:hint="eastAsia"/>
                <w:bCs/>
                <w:sz w:val="18"/>
                <w:szCs w:val="18"/>
              </w:rPr>
              <w:t>募集期内资金按照活期存款利息计息，认购期/募集期内的利息不计入认购资金</w:t>
            </w:r>
            <w:r>
              <w:rPr>
                <w:rFonts w:ascii="宋体" w:hAnsi="宋体" w:hint="eastAsia"/>
                <w:sz w:val="18"/>
              </w:rPr>
              <w:t>。</w:t>
            </w:r>
          </w:p>
          <w:p w:rsidR="004A6D8C" w:rsidRDefault="00C1729C">
            <w:pPr>
              <w:spacing w:line="360" w:lineRule="auto"/>
              <w:rPr>
                <w:rFonts w:ascii="黑体" w:eastAsia="黑体" w:hAnsi="黑体"/>
                <w:bCs/>
                <w:color w:val="000000" w:themeColor="text1"/>
                <w:sz w:val="18"/>
                <w:szCs w:val="18"/>
              </w:rPr>
            </w:pPr>
            <w:r>
              <w:rPr>
                <w:rFonts w:hAnsi="宋体" w:hint="eastAsia"/>
                <w:sz w:val="18"/>
                <w:szCs w:val="18"/>
              </w:rPr>
              <w:lastRenderedPageBreak/>
              <w:t>★</w:t>
            </w:r>
            <w:r>
              <w:rPr>
                <w:rFonts w:ascii="黑体" w:eastAsia="黑体" w:hAnsi="黑体" w:hint="eastAsia"/>
                <w:bCs/>
                <w:color w:val="000000" w:themeColor="text1"/>
                <w:sz w:val="18"/>
                <w:szCs w:val="18"/>
              </w:rPr>
              <w:t>注：关于代理销售机构的实际工作服务时段的提示</w:t>
            </w:r>
          </w:p>
          <w:p w:rsidR="004A6D8C" w:rsidRDefault="00C1729C">
            <w:pPr>
              <w:spacing w:line="360" w:lineRule="auto"/>
              <w:rPr>
                <w:rFonts w:ascii="黑体" w:eastAsia="黑体" w:hAnsi="黑体"/>
                <w:bCs/>
                <w:color w:val="000000" w:themeColor="text1"/>
                <w:sz w:val="18"/>
                <w:szCs w:val="18"/>
              </w:rPr>
            </w:pPr>
            <w:r>
              <w:rPr>
                <w:rFonts w:ascii="黑体" w:eastAsia="黑体" w:hAnsi="黑体" w:hint="eastAsia"/>
                <w:bCs/>
                <w:color w:val="000000" w:themeColor="text1"/>
                <w:sz w:val="18"/>
                <w:szCs w:val="18"/>
              </w:rPr>
              <w:t>①为本产品办理相关交易的实际工作服务时段，因代理销售机构的不同可能存在差异（可能晚于销售文件约定的起始时点开始或早于销售文件约定的终止时点结束），投资者应当</w:t>
            </w:r>
            <w:r>
              <w:rPr>
                <w:rFonts w:ascii="黑体" w:eastAsia="黑体" w:hAnsi="黑体"/>
                <w:bCs/>
                <w:color w:val="000000" w:themeColor="text1"/>
                <w:sz w:val="18"/>
                <w:szCs w:val="18"/>
              </w:rPr>
              <w:t>以</w:t>
            </w:r>
            <w:r>
              <w:rPr>
                <w:rFonts w:ascii="黑体" w:eastAsia="黑体" w:hAnsi="黑体" w:hint="eastAsia"/>
                <w:bCs/>
                <w:color w:val="000000" w:themeColor="text1"/>
                <w:sz w:val="18"/>
                <w:szCs w:val="18"/>
              </w:rPr>
              <w:t>代理销售机构的展示</w:t>
            </w:r>
            <w:r>
              <w:rPr>
                <w:rFonts w:ascii="黑体" w:eastAsia="黑体" w:hAnsi="黑体"/>
                <w:bCs/>
                <w:color w:val="000000" w:themeColor="text1"/>
                <w:sz w:val="18"/>
                <w:szCs w:val="18"/>
              </w:rPr>
              <w:t>为准</w:t>
            </w:r>
            <w:r>
              <w:rPr>
                <w:rFonts w:ascii="黑体" w:eastAsia="黑体" w:hAnsi="黑体" w:hint="eastAsia"/>
                <w:bCs/>
                <w:color w:val="000000" w:themeColor="text1"/>
                <w:sz w:val="18"/>
                <w:szCs w:val="18"/>
              </w:rPr>
              <w:t>。</w:t>
            </w:r>
          </w:p>
          <w:p w:rsidR="004A6D8C" w:rsidRDefault="00C1729C">
            <w:pPr>
              <w:spacing w:line="360" w:lineRule="auto"/>
              <w:rPr>
                <w:rFonts w:asciiTheme="majorEastAsia" w:eastAsiaTheme="majorEastAsia" w:hAnsiTheme="majorEastAsia"/>
                <w:bCs/>
                <w:sz w:val="18"/>
                <w:szCs w:val="18"/>
              </w:rPr>
            </w:pPr>
            <w:r>
              <w:rPr>
                <w:rFonts w:ascii="黑体" w:eastAsia="黑体" w:hAnsi="黑体" w:hint="eastAsia"/>
                <w:bCs/>
                <w:color w:val="000000" w:themeColor="text1"/>
                <w:sz w:val="18"/>
                <w:szCs w:val="18"/>
              </w:rPr>
              <w:t>②代理销售机构的实际工作服务时段，最早不得早于销售文件约定</w:t>
            </w:r>
            <w:r>
              <w:rPr>
                <w:rFonts w:ascii="黑体" w:eastAsia="黑体" w:hAnsi="黑体"/>
                <w:bCs/>
                <w:color w:val="000000" w:themeColor="text1"/>
                <w:sz w:val="18"/>
                <w:szCs w:val="18"/>
              </w:rPr>
              <w:t>的</w:t>
            </w:r>
            <w:r>
              <w:rPr>
                <w:rFonts w:ascii="黑体" w:eastAsia="黑体" w:hAnsi="黑体" w:hint="eastAsia"/>
                <w:bCs/>
                <w:color w:val="000000" w:themeColor="text1"/>
                <w:sz w:val="18"/>
                <w:szCs w:val="18"/>
              </w:rPr>
              <w:t>起始时点、最晚不得晚于销售文件</w:t>
            </w:r>
            <w:r>
              <w:rPr>
                <w:rFonts w:ascii="黑体" w:eastAsia="黑体" w:hAnsi="黑体"/>
                <w:bCs/>
                <w:color w:val="000000" w:themeColor="text1"/>
                <w:sz w:val="18"/>
                <w:szCs w:val="18"/>
              </w:rPr>
              <w:t>约定的</w:t>
            </w:r>
            <w:r>
              <w:rPr>
                <w:rFonts w:ascii="黑体" w:eastAsia="黑体" w:hAnsi="黑体" w:hint="eastAsia"/>
                <w:bCs/>
                <w:color w:val="000000" w:themeColor="text1"/>
                <w:sz w:val="18"/>
                <w:szCs w:val="18"/>
              </w:rPr>
              <w:t>终止时点</w:t>
            </w:r>
            <w:r>
              <w:rPr>
                <w:rFonts w:ascii="黑体" w:eastAsia="黑体" w:hAnsi="黑体"/>
                <w:bCs/>
                <w:color w:val="000000" w:themeColor="text1"/>
                <w:sz w:val="18"/>
                <w:szCs w:val="18"/>
              </w:rPr>
              <w:t>。</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bCs/>
                <w:sz w:val="18"/>
                <w:szCs w:val="18"/>
              </w:rPr>
            </w:pPr>
            <w:r>
              <w:rPr>
                <w:rFonts w:hAnsi="宋体" w:hint="eastAsia"/>
                <w:sz w:val="18"/>
                <w:szCs w:val="18"/>
              </w:rPr>
              <w:lastRenderedPageBreak/>
              <w:t>★</w:t>
            </w:r>
            <w:r>
              <w:rPr>
                <w:rFonts w:asciiTheme="majorEastAsia" w:eastAsiaTheme="majorEastAsia" w:hAnsiTheme="majorEastAsia" w:hint="eastAsia"/>
                <w:b/>
                <w:bCs/>
                <w:sz w:val="18"/>
                <w:szCs w:val="18"/>
              </w:rPr>
              <w:t>投资冷静期</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本产品为公</w:t>
            </w:r>
            <w:proofErr w:type="gramStart"/>
            <w:r>
              <w:rPr>
                <w:rFonts w:asciiTheme="majorEastAsia" w:eastAsiaTheme="majorEastAsia" w:hAnsiTheme="majorEastAsia" w:hint="eastAsia"/>
                <w:bCs/>
                <w:sz w:val="18"/>
                <w:szCs w:val="18"/>
              </w:rPr>
              <w:t>募</w:t>
            </w:r>
            <w:proofErr w:type="gramEnd"/>
            <w:r>
              <w:rPr>
                <w:rFonts w:asciiTheme="majorEastAsia" w:eastAsiaTheme="majorEastAsia" w:hAnsiTheme="majorEastAsia" w:hint="eastAsia"/>
                <w:bCs/>
                <w:sz w:val="18"/>
                <w:szCs w:val="18"/>
              </w:rPr>
              <w:t>理财产品，无投资冷静期设置。</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bCs/>
                <w:sz w:val="18"/>
                <w:szCs w:val="18"/>
              </w:rPr>
            </w:pPr>
            <w:r>
              <w:rPr>
                <w:rFonts w:asciiTheme="minorEastAsia" w:hAnsiTheme="minorEastAsia" w:hint="eastAsia"/>
                <w:b/>
                <w:bCs/>
                <w:sz w:val="18"/>
                <w:szCs w:val="18"/>
              </w:rPr>
              <w:t>成立日</w:t>
            </w:r>
          </w:p>
        </w:tc>
        <w:tc>
          <w:tcPr>
            <w:tcW w:w="7816" w:type="dxa"/>
            <w:shd w:val="solid" w:color="FFFFFF" w:fill="FFFFFF"/>
            <w:vAlign w:val="center"/>
          </w:tcPr>
          <w:p w:rsidR="004A6D8C" w:rsidRDefault="00C1729C">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.本产品的计划成立日为</w:t>
            </w:r>
            <w:r>
              <w:rPr>
                <w:rFonts w:asciiTheme="minorEastAsia" w:hAnsiTheme="minorEastAsia"/>
                <w:bCs/>
                <w:sz w:val="18"/>
                <w:szCs w:val="18"/>
              </w:rPr>
              <w:t>：</w:t>
            </w:r>
            <w:r>
              <w:rPr>
                <w:rFonts w:asciiTheme="minorEastAsia" w:hAnsiTheme="minorEastAsia" w:cs="Times New Roman" w:hint="eastAsia"/>
                <w:sz w:val="18"/>
                <w:szCs w:val="18"/>
              </w:rPr>
              <w:t>【2</w:t>
            </w:r>
            <w:r>
              <w:rPr>
                <w:rFonts w:asciiTheme="minorEastAsia" w:hAnsiTheme="minorEastAsia" w:cs="Times New Roman"/>
                <w:sz w:val="18"/>
                <w:szCs w:val="18"/>
              </w:rPr>
              <w:t>023】年【</w:t>
            </w:r>
            <w:r>
              <w:rPr>
                <w:rFonts w:asciiTheme="minorEastAsia" w:hAnsiTheme="minorEastAsia" w:cs="Times New Roman" w:hint="eastAsia"/>
                <w:sz w:val="18"/>
                <w:szCs w:val="18"/>
              </w:rPr>
              <w:t>1</w:t>
            </w:r>
            <w:r w:rsidR="0075022E">
              <w:rPr>
                <w:rFonts w:asciiTheme="minorEastAsia" w:hAnsiTheme="minorEastAsia" w:cs="Times New Roman"/>
                <w:sz w:val="18"/>
                <w:szCs w:val="18"/>
              </w:rPr>
              <w:t>1</w:t>
            </w:r>
            <w:r>
              <w:rPr>
                <w:rFonts w:asciiTheme="minorEastAsia" w:hAnsiTheme="minorEastAsia" w:cs="Times New Roman" w:hint="eastAsia"/>
                <w:sz w:val="18"/>
                <w:szCs w:val="18"/>
              </w:rPr>
              <w:t>】月【</w:t>
            </w:r>
            <w:r w:rsidR="00197259">
              <w:rPr>
                <w:rFonts w:asciiTheme="minorEastAsia" w:hAnsiTheme="minorEastAsia" w:cs="Times New Roman"/>
                <w:sz w:val="18"/>
                <w:szCs w:val="18"/>
              </w:rPr>
              <w:t>2</w:t>
            </w:r>
            <w:bookmarkStart w:id="4" w:name="_GoBack"/>
            <w:bookmarkEnd w:id="4"/>
            <w:r>
              <w:rPr>
                <w:rFonts w:asciiTheme="minorEastAsia" w:hAnsiTheme="minorEastAsia" w:cs="Times New Roman" w:hint="eastAsia"/>
                <w:sz w:val="18"/>
                <w:szCs w:val="18"/>
              </w:rPr>
              <w:t>】日（遇节假日顺延）</w:t>
            </w:r>
            <w:r>
              <w:rPr>
                <w:rFonts w:asciiTheme="minorEastAsia" w:hAnsiTheme="minorEastAsia" w:hint="eastAsia"/>
                <w:bCs/>
                <w:sz w:val="18"/>
                <w:szCs w:val="18"/>
              </w:rPr>
              <w:t>。</w:t>
            </w:r>
          </w:p>
          <w:p w:rsidR="004A6D8C" w:rsidRDefault="00C1729C">
            <w:pPr>
              <w:spacing w:line="360" w:lineRule="auto"/>
              <w:rPr>
                <w:rFonts w:asciiTheme="majorEastAsia" w:eastAsiaTheme="majorEastAsia" w:hAnsiTheme="majorEastAsia"/>
                <w:bCs/>
                <w:sz w:val="18"/>
                <w:szCs w:val="18"/>
              </w:rPr>
            </w:pPr>
            <w:r>
              <w:rPr>
                <w:rFonts w:asciiTheme="minorEastAsia" w:hAnsiTheme="minorEastAsia"/>
                <w:bCs/>
                <w:sz w:val="18"/>
                <w:szCs w:val="18"/>
              </w:rPr>
              <w:t>2</w:t>
            </w:r>
            <w:r>
              <w:rPr>
                <w:rFonts w:asciiTheme="minorEastAsia" w:hAnsiTheme="minorEastAsia" w:hint="eastAsia"/>
                <w:bCs/>
                <w:sz w:val="18"/>
                <w:szCs w:val="18"/>
              </w:rPr>
              <w:t>.</w:t>
            </w:r>
            <w:r>
              <w:rPr>
                <w:rFonts w:asciiTheme="minorEastAsia" w:hAnsiTheme="minorEastAsia"/>
                <w:bCs/>
                <w:sz w:val="18"/>
                <w:szCs w:val="18"/>
              </w:rPr>
              <w:t>产品管理人有权根据实际募集情况提前或延后产品成立日期，并相应调整其他产品要素</w:t>
            </w:r>
            <w:r>
              <w:rPr>
                <w:rFonts w:asciiTheme="minorEastAsia" w:hAnsiTheme="minorEastAsia" w:hint="eastAsia"/>
                <w:bCs/>
                <w:sz w:val="18"/>
                <w:szCs w:val="18"/>
              </w:rPr>
              <w:t>，</w:t>
            </w:r>
            <w:r>
              <w:rPr>
                <w:rFonts w:asciiTheme="minorEastAsia" w:hAnsiTheme="minorEastAsia"/>
                <w:bCs/>
                <w:sz w:val="18"/>
                <w:szCs w:val="18"/>
              </w:rPr>
              <w:t>将依约</w:t>
            </w:r>
            <w:proofErr w:type="gramStart"/>
            <w:r>
              <w:rPr>
                <w:rFonts w:asciiTheme="minorEastAsia" w:hAnsiTheme="minorEastAsia" w:hint="eastAsia"/>
                <w:bCs/>
                <w:sz w:val="18"/>
                <w:szCs w:val="18"/>
              </w:rPr>
              <w:t>定进行</w:t>
            </w:r>
            <w:proofErr w:type="gramEnd"/>
            <w:r>
              <w:rPr>
                <w:rFonts w:asciiTheme="minorEastAsia" w:hAnsiTheme="minorEastAsia" w:hint="eastAsia"/>
                <w:bCs/>
                <w:sz w:val="18"/>
                <w:szCs w:val="18"/>
              </w:rPr>
              <w:t>公告。</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宋体" w:hAnsi="宋体"/>
                <w:b/>
                <w:bCs/>
                <w:sz w:val="18"/>
                <w:szCs w:val="18"/>
              </w:rPr>
            </w:pPr>
            <w:r>
              <w:rPr>
                <w:rFonts w:asciiTheme="minorEastAsia" w:hAnsiTheme="minorEastAsia" w:hint="eastAsia"/>
                <w:b/>
                <w:bCs/>
                <w:sz w:val="18"/>
                <w:szCs w:val="18"/>
              </w:rPr>
              <w:t>终止日</w:t>
            </w:r>
          </w:p>
        </w:tc>
        <w:tc>
          <w:tcPr>
            <w:tcW w:w="7816" w:type="dxa"/>
            <w:shd w:val="solid" w:color="FFFFFF" w:fill="FFFFFF"/>
            <w:vAlign w:val="center"/>
          </w:tcPr>
          <w:p w:rsidR="004A6D8C" w:rsidRDefault="00C1729C">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.本产品的计划终止日为</w:t>
            </w:r>
            <w:r>
              <w:rPr>
                <w:rFonts w:asciiTheme="minorEastAsia" w:hAnsiTheme="minorEastAsia"/>
                <w:bCs/>
                <w:sz w:val="18"/>
                <w:szCs w:val="18"/>
              </w:rPr>
              <w:t>：</w:t>
            </w:r>
            <w:r>
              <w:rPr>
                <w:rFonts w:asciiTheme="minorEastAsia" w:hAnsiTheme="minorEastAsia" w:cs="Times New Roman" w:hint="eastAsia"/>
                <w:sz w:val="18"/>
                <w:szCs w:val="18"/>
              </w:rPr>
              <w:t>【2</w:t>
            </w:r>
            <w:r>
              <w:rPr>
                <w:rFonts w:asciiTheme="minorEastAsia" w:hAnsiTheme="minorEastAsia" w:cs="Times New Roman"/>
                <w:sz w:val="18"/>
                <w:szCs w:val="18"/>
              </w:rPr>
              <w:t>02</w:t>
            </w:r>
            <w:r>
              <w:rPr>
                <w:rFonts w:asciiTheme="minorEastAsia" w:hAnsiTheme="minorEastAsia" w:cs="Times New Roman" w:hint="eastAsia"/>
                <w:sz w:val="18"/>
                <w:szCs w:val="18"/>
              </w:rPr>
              <w:t>4</w:t>
            </w:r>
            <w:r>
              <w:rPr>
                <w:rFonts w:asciiTheme="minorEastAsia" w:hAnsiTheme="minorEastAsia" w:cs="Times New Roman"/>
                <w:sz w:val="18"/>
                <w:szCs w:val="18"/>
              </w:rPr>
              <w:t>】年【</w:t>
            </w:r>
            <w:r w:rsidR="00197259">
              <w:rPr>
                <w:rFonts w:asciiTheme="minorEastAsia" w:hAnsiTheme="minorEastAsia" w:cs="Times New Roman"/>
                <w:sz w:val="18"/>
                <w:szCs w:val="18"/>
              </w:rPr>
              <w:t>2</w:t>
            </w:r>
            <w:r>
              <w:rPr>
                <w:rFonts w:asciiTheme="minorEastAsia" w:hAnsiTheme="minorEastAsia" w:cs="Times New Roman" w:hint="eastAsia"/>
                <w:sz w:val="18"/>
                <w:szCs w:val="18"/>
              </w:rPr>
              <w:t>】月【</w:t>
            </w:r>
            <w:r w:rsidR="00197259">
              <w:rPr>
                <w:rFonts w:asciiTheme="minorEastAsia" w:hAnsiTheme="minorEastAsia" w:cs="Times New Roman"/>
                <w:sz w:val="18"/>
                <w:szCs w:val="18"/>
              </w:rPr>
              <w:t>1</w:t>
            </w:r>
            <w:r>
              <w:rPr>
                <w:rFonts w:asciiTheme="minorEastAsia" w:hAnsiTheme="minorEastAsia" w:cs="Times New Roman" w:hint="eastAsia"/>
                <w:sz w:val="18"/>
                <w:szCs w:val="18"/>
              </w:rPr>
              <w:t>】日（遇节假日顺延）</w:t>
            </w:r>
            <w:r>
              <w:rPr>
                <w:rFonts w:asciiTheme="minorEastAsia" w:hAnsiTheme="minorEastAsia" w:hint="eastAsia"/>
                <w:bCs/>
                <w:sz w:val="18"/>
                <w:szCs w:val="18"/>
              </w:rPr>
              <w:t>。</w:t>
            </w:r>
          </w:p>
          <w:p w:rsidR="004A6D8C" w:rsidRDefault="00C1729C">
            <w:pPr>
              <w:spacing w:line="360" w:lineRule="auto"/>
              <w:rPr>
                <w:rFonts w:asciiTheme="minorEastAsia" w:hAnsiTheme="minorEastAsia" w:cs="Times New Roman"/>
                <w:sz w:val="18"/>
                <w:szCs w:val="18"/>
              </w:rPr>
            </w:pPr>
            <w:r>
              <w:rPr>
                <w:rFonts w:ascii="宋体" w:hAnsi="宋体" w:hint="eastAsia"/>
                <w:bCs/>
                <w:sz w:val="18"/>
                <w:szCs w:val="18"/>
              </w:rPr>
              <w:t>2.本产品的实际终止日受制于本理财产品销售文件“提前终止”及“延期终止”情形。</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hAnsi="宋体" w:hint="eastAsia"/>
                <w:sz w:val="18"/>
                <w:szCs w:val="18"/>
              </w:rPr>
              <w:t>★</w:t>
            </w:r>
            <w:r>
              <w:rPr>
                <w:rFonts w:ascii="宋体" w:hAnsi="宋体" w:hint="eastAsia"/>
                <w:b/>
                <w:bCs/>
                <w:kern w:val="0"/>
                <w:sz w:val="18"/>
                <w:szCs w:val="18"/>
              </w:rPr>
              <w:t>销售起点金额</w:t>
            </w:r>
            <w:r>
              <w:rPr>
                <w:rFonts w:asciiTheme="majorEastAsia" w:eastAsiaTheme="majorEastAsia" w:hAnsiTheme="majorEastAsia" w:hint="eastAsia"/>
                <w:b/>
                <w:bCs/>
                <w:sz w:val="18"/>
                <w:szCs w:val="18"/>
              </w:rPr>
              <w:t>及</w:t>
            </w:r>
            <w:r>
              <w:rPr>
                <w:rFonts w:asciiTheme="majorEastAsia" w:eastAsiaTheme="majorEastAsia" w:hAnsiTheme="majorEastAsia"/>
                <w:b/>
                <w:bCs/>
                <w:sz w:val="18"/>
                <w:szCs w:val="18"/>
              </w:rPr>
              <w:t>递增金额</w:t>
            </w:r>
          </w:p>
        </w:tc>
        <w:tc>
          <w:tcPr>
            <w:tcW w:w="7816" w:type="dxa"/>
            <w:shd w:val="solid" w:color="FFFFFF" w:fill="FFFFFF"/>
            <w:vAlign w:val="center"/>
          </w:tcPr>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hint="eastAsia"/>
                <w:sz w:val="18"/>
                <w:szCs w:val="18"/>
              </w:rPr>
              <w:t>每笔</w:t>
            </w:r>
            <w:r>
              <w:rPr>
                <w:rFonts w:asciiTheme="majorEastAsia" w:eastAsiaTheme="majorEastAsia" w:hAnsiTheme="majorEastAsia" w:hint="eastAsia"/>
                <w:bCs/>
                <w:sz w:val="18"/>
                <w:szCs w:val="18"/>
              </w:rPr>
              <w:t>购买起点金额为【1】元；超出起点金额的部分以【0</w:t>
            </w:r>
            <w:r>
              <w:rPr>
                <w:rFonts w:asciiTheme="majorEastAsia" w:eastAsiaTheme="majorEastAsia" w:hAnsiTheme="majorEastAsia"/>
                <w:bCs/>
                <w:sz w:val="18"/>
                <w:szCs w:val="18"/>
              </w:rPr>
              <w:t>.01</w:t>
            </w:r>
            <w:r>
              <w:rPr>
                <w:rFonts w:asciiTheme="majorEastAsia" w:eastAsiaTheme="majorEastAsia" w:hAnsiTheme="majorEastAsia" w:hint="eastAsia"/>
                <w:bCs/>
                <w:sz w:val="18"/>
                <w:szCs w:val="18"/>
              </w:rPr>
              <w:t>】元的整数</w:t>
            </w:r>
            <w:proofErr w:type="gramStart"/>
            <w:r>
              <w:rPr>
                <w:rFonts w:asciiTheme="majorEastAsia" w:eastAsiaTheme="majorEastAsia" w:hAnsiTheme="majorEastAsia" w:hint="eastAsia"/>
                <w:bCs/>
                <w:sz w:val="18"/>
                <w:szCs w:val="18"/>
              </w:rPr>
              <w:t>倍</w:t>
            </w:r>
            <w:proofErr w:type="gramEnd"/>
            <w:r>
              <w:rPr>
                <w:rFonts w:asciiTheme="majorEastAsia" w:eastAsiaTheme="majorEastAsia" w:hAnsiTheme="majorEastAsia" w:hint="eastAsia"/>
                <w:bCs/>
                <w:sz w:val="18"/>
                <w:szCs w:val="18"/>
              </w:rPr>
              <w:t>递增。</w:t>
            </w:r>
            <w:r>
              <w:rPr>
                <w:rFonts w:asciiTheme="majorEastAsia" w:eastAsiaTheme="majorEastAsia" w:hAnsiTheme="majorEastAsia" w:hint="eastAsia"/>
                <w:bCs/>
                <w:color w:val="000000" w:themeColor="text1"/>
                <w:sz w:val="18"/>
                <w:szCs w:val="18"/>
              </w:rPr>
              <w:t>（适用【/】类份额）</w:t>
            </w:r>
          </w:p>
          <w:p w:rsidR="004A6D8C" w:rsidRDefault="00C1729C">
            <w:pPr>
              <w:spacing w:line="360" w:lineRule="auto"/>
              <w:rPr>
                <w:rFonts w:ascii="黑体" w:eastAsia="黑体" w:hAnsi="黑体"/>
                <w:bCs/>
                <w:color w:val="000000" w:themeColor="text1"/>
                <w:sz w:val="18"/>
                <w:szCs w:val="18"/>
              </w:rPr>
            </w:pPr>
            <w:r>
              <w:rPr>
                <w:rFonts w:hAnsi="宋体" w:hint="eastAsia"/>
                <w:sz w:val="18"/>
                <w:szCs w:val="18"/>
              </w:rPr>
              <w:t>★</w:t>
            </w:r>
            <w:r>
              <w:rPr>
                <w:rFonts w:ascii="黑体" w:eastAsia="黑体" w:hAnsi="黑体" w:hint="eastAsia"/>
                <w:bCs/>
                <w:color w:val="000000" w:themeColor="text1"/>
                <w:sz w:val="18"/>
                <w:szCs w:val="18"/>
              </w:rPr>
              <w:t>注</w:t>
            </w:r>
            <w:r>
              <w:rPr>
                <w:rFonts w:ascii="黑体" w:eastAsia="黑体" w:hAnsi="黑体"/>
                <w:bCs/>
                <w:color w:val="000000" w:themeColor="text1"/>
                <w:sz w:val="18"/>
                <w:szCs w:val="18"/>
              </w:rPr>
              <w:t>：</w:t>
            </w:r>
            <w:r>
              <w:rPr>
                <w:rFonts w:ascii="黑体" w:eastAsia="黑体" w:hAnsi="黑体" w:hint="eastAsia"/>
                <w:bCs/>
                <w:color w:val="000000" w:themeColor="text1"/>
                <w:sz w:val="18"/>
                <w:szCs w:val="18"/>
              </w:rPr>
              <w:t>关于代理销售机构的实际销售</w:t>
            </w:r>
            <w:r>
              <w:rPr>
                <w:rFonts w:ascii="黑体" w:eastAsia="黑体" w:hAnsi="黑体"/>
                <w:bCs/>
                <w:color w:val="000000" w:themeColor="text1"/>
                <w:sz w:val="18"/>
                <w:szCs w:val="18"/>
              </w:rPr>
              <w:t>起点金额</w:t>
            </w:r>
            <w:r>
              <w:rPr>
                <w:rFonts w:ascii="黑体" w:eastAsia="黑体" w:hAnsi="黑体" w:hint="eastAsia"/>
                <w:bCs/>
                <w:color w:val="000000" w:themeColor="text1"/>
                <w:sz w:val="18"/>
                <w:szCs w:val="18"/>
              </w:rPr>
              <w:t>的提示</w:t>
            </w:r>
          </w:p>
          <w:p w:rsidR="004A6D8C" w:rsidRDefault="00C1729C">
            <w:pPr>
              <w:spacing w:line="360" w:lineRule="auto"/>
              <w:rPr>
                <w:rFonts w:ascii="黑体" w:eastAsia="黑体" w:hAnsi="黑体"/>
                <w:bCs/>
                <w:color w:val="000000" w:themeColor="text1"/>
                <w:sz w:val="18"/>
                <w:szCs w:val="18"/>
              </w:rPr>
            </w:pPr>
            <w:r>
              <w:rPr>
                <w:rFonts w:ascii="黑体" w:eastAsia="黑体" w:hAnsi="黑体" w:hint="eastAsia"/>
                <w:bCs/>
                <w:color w:val="000000" w:themeColor="text1"/>
                <w:sz w:val="18"/>
                <w:szCs w:val="18"/>
              </w:rPr>
              <w:t>①本产品在代理销售机构的实际销售起点金额，因代理销售机构的不同可能存在差异（可能高于销售文件约定的销售起点金额），应当</w:t>
            </w:r>
            <w:r>
              <w:rPr>
                <w:rFonts w:ascii="黑体" w:eastAsia="黑体" w:hAnsi="黑体"/>
                <w:bCs/>
                <w:color w:val="000000" w:themeColor="text1"/>
                <w:sz w:val="18"/>
                <w:szCs w:val="18"/>
              </w:rPr>
              <w:t>以</w:t>
            </w:r>
            <w:r>
              <w:rPr>
                <w:rFonts w:ascii="黑体" w:eastAsia="黑体" w:hAnsi="黑体" w:hint="eastAsia"/>
                <w:bCs/>
                <w:color w:val="000000" w:themeColor="text1"/>
                <w:sz w:val="18"/>
                <w:szCs w:val="18"/>
              </w:rPr>
              <w:t>代理销售机构展示</w:t>
            </w:r>
            <w:r>
              <w:rPr>
                <w:rFonts w:ascii="黑体" w:eastAsia="黑体" w:hAnsi="黑体"/>
                <w:bCs/>
                <w:color w:val="000000" w:themeColor="text1"/>
                <w:sz w:val="18"/>
                <w:szCs w:val="18"/>
              </w:rPr>
              <w:t>为准</w:t>
            </w:r>
            <w:r>
              <w:rPr>
                <w:rFonts w:ascii="黑体" w:eastAsia="黑体" w:hAnsi="黑体" w:hint="eastAsia"/>
                <w:bCs/>
                <w:color w:val="000000" w:themeColor="text1"/>
                <w:sz w:val="18"/>
                <w:szCs w:val="18"/>
              </w:rPr>
              <w:t>。</w:t>
            </w:r>
          </w:p>
          <w:p w:rsidR="004A6D8C" w:rsidRDefault="00C1729C">
            <w:pPr>
              <w:spacing w:line="360" w:lineRule="auto"/>
              <w:jc w:val="left"/>
              <w:rPr>
                <w:rFonts w:asciiTheme="minorEastAsia" w:hAnsiTheme="minorEastAsia" w:cs="Times New Roman"/>
                <w:sz w:val="18"/>
                <w:szCs w:val="18"/>
              </w:rPr>
            </w:pPr>
            <w:r>
              <w:rPr>
                <w:rFonts w:ascii="黑体" w:eastAsia="黑体" w:hAnsi="黑体" w:hint="eastAsia"/>
                <w:bCs/>
                <w:color w:val="000000" w:themeColor="text1"/>
                <w:sz w:val="18"/>
                <w:szCs w:val="18"/>
              </w:rPr>
              <w:t>②代理销售机构的实际销售起点金额，</w:t>
            </w:r>
            <w:r>
              <w:rPr>
                <w:rFonts w:ascii="黑体" w:eastAsia="黑体" w:hAnsi="黑体"/>
                <w:bCs/>
                <w:color w:val="000000" w:themeColor="text1"/>
                <w:sz w:val="18"/>
                <w:szCs w:val="18"/>
              </w:rPr>
              <w:t>不得低于</w:t>
            </w:r>
            <w:r>
              <w:rPr>
                <w:rFonts w:ascii="黑体" w:eastAsia="黑体" w:hAnsi="黑体" w:hint="eastAsia"/>
                <w:bCs/>
                <w:color w:val="000000" w:themeColor="text1"/>
                <w:sz w:val="18"/>
                <w:szCs w:val="18"/>
              </w:rPr>
              <w:t>销售</w:t>
            </w:r>
            <w:r>
              <w:rPr>
                <w:rFonts w:ascii="黑体" w:eastAsia="黑体" w:hAnsi="黑体"/>
                <w:bCs/>
                <w:color w:val="000000" w:themeColor="text1"/>
                <w:sz w:val="18"/>
                <w:szCs w:val="18"/>
              </w:rPr>
              <w:t>文件约定的</w:t>
            </w:r>
            <w:r>
              <w:rPr>
                <w:rFonts w:ascii="黑体" w:eastAsia="黑体" w:hAnsi="黑体" w:hint="eastAsia"/>
                <w:bCs/>
                <w:color w:val="000000" w:themeColor="text1"/>
                <w:sz w:val="18"/>
                <w:szCs w:val="18"/>
              </w:rPr>
              <w:t>销售</w:t>
            </w:r>
            <w:r>
              <w:rPr>
                <w:rFonts w:ascii="黑体" w:eastAsia="黑体" w:hAnsi="黑体"/>
                <w:bCs/>
                <w:color w:val="000000" w:themeColor="text1"/>
                <w:sz w:val="18"/>
                <w:szCs w:val="18"/>
              </w:rPr>
              <w:t>起点金额</w:t>
            </w:r>
            <w:r>
              <w:rPr>
                <w:rFonts w:ascii="黑体" w:eastAsia="黑体" w:hAnsi="黑体" w:hint="eastAsia"/>
                <w:bCs/>
                <w:color w:val="000000" w:themeColor="text1"/>
                <w:sz w:val="18"/>
                <w:szCs w:val="18"/>
              </w:rPr>
              <w:t>。</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hAnsi="宋体" w:hint="eastAsia"/>
                <w:b/>
                <w:sz w:val="18"/>
                <w:szCs w:val="18"/>
              </w:rPr>
              <w:t>★认购的数量限制</w:t>
            </w:r>
          </w:p>
        </w:tc>
        <w:tc>
          <w:tcPr>
            <w:tcW w:w="7816" w:type="dxa"/>
            <w:shd w:val="solid" w:color="FFFFFF" w:fill="FFFFFF"/>
            <w:vAlign w:val="center"/>
          </w:tcPr>
          <w:p w:rsidR="004A6D8C" w:rsidRDefault="00C1729C">
            <w:pPr>
              <w:pStyle w:val="Default"/>
              <w:spacing w:line="360" w:lineRule="auto"/>
              <w:rPr>
                <w:rFonts w:hAnsi="宋体"/>
                <w:bCs/>
                <w:sz w:val="18"/>
                <w:szCs w:val="18"/>
              </w:rPr>
            </w:pPr>
            <w:r>
              <w:rPr>
                <w:rFonts w:hAnsi="宋体" w:hint="eastAsia"/>
                <w:bCs/>
                <w:sz w:val="18"/>
                <w:szCs w:val="18"/>
              </w:rPr>
              <w:t>（适用【/】类份额）</w:t>
            </w:r>
          </w:p>
          <w:p w:rsidR="004A6D8C" w:rsidRDefault="00C1729C">
            <w:pPr>
              <w:pStyle w:val="Default"/>
              <w:spacing w:line="360" w:lineRule="auto"/>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认购的数量限制</w:t>
            </w:r>
          </w:p>
          <w:p w:rsidR="004A6D8C" w:rsidRDefault="00C1729C">
            <w:pPr>
              <w:spacing w:line="360" w:lineRule="auto"/>
              <w:rPr>
                <w:rFonts w:asciiTheme="minorEastAsia" w:eastAsiaTheme="minorEastAsia" w:hAnsiTheme="minorEastAsia"/>
                <w:sz w:val="18"/>
                <w:szCs w:val="18"/>
              </w:rPr>
            </w:pPr>
            <w:r>
              <w:rPr>
                <w:rFonts w:asciiTheme="minorEastAsia" w:eastAsiaTheme="minorEastAsia" w:hAnsiTheme="minorEastAsia" w:hint="eastAsia"/>
                <w:sz w:val="18"/>
                <w:szCs w:val="18"/>
              </w:rPr>
              <w:t>产品</w:t>
            </w:r>
            <w:r>
              <w:rPr>
                <w:rFonts w:asciiTheme="minorEastAsia" w:eastAsiaTheme="minorEastAsia" w:hAnsiTheme="minorEastAsia"/>
                <w:sz w:val="18"/>
                <w:szCs w:val="18"/>
              </w:rPr>
              <w:t>存续期间，</w:t>
            </w:r>
            <w:r>
              <w:rPr>
                <w:rFonts w:asciiTheme="minorEastAsia" w:eastAsiaTheme="minorEastAsia" w:hAnsiTheme="minorEastAsia" w:hint="eastAsia"/>
                <w:sz w:val="18"/>
                <w:szCs w:val="18"/>
              </w:rPr>
              <w:t>投资者</w:t>
            </w:r>
            <w:r>
              <w:rPr>
                <w:rFonts w:asciiTheme="minorEastAsia" w:eastAsiaTheme="minorEastAsia" w:hAnsiTheme="minorEastAsia"/>
                <w:sz w:val="18"/>
                <w:szCs w:val="18"/>
              </w:rPr>
              <w:t>最高</w:t>
            </w:r>
            <w:r>
              <w:rPr>
                <w:rFonts w:asciiTheme="minorEastAsia" w:eastAsiaTheme="minorEastAsia" w:hAnsiTheme="minorEastAsia" w:hint="eastAsia"/>
                <w:sz w:val="18"/>
                <w:szCs w:val="18"/>
              </w:rPr>
              <w:t>持有</w:t>
            </w:r>
            <w:r>
              <w:rPr>
                <w:rFonts w:asciiTheme="minorEastAsia" w:eastAsiaTheme="minorEastAsia" w:hAnsiTheme="minorEastAsia"/>
                <w:sz w:val="18"/>
                <w:szCs w:val="18"/>
              </w:rPr>
              <w:t>份额上限为</w:t>
            </w:r>
            <w:r>
              <w:rPr>
                <w:rFonts w:asciiTheme="minorEastAsia" w:eastAsiaTheme="minorEastAsia" w:hAnsiTheme="minorEastAsia" w:hint="eastAsia"/>
                <w:sz w:val="18"/>
                <w:szCs w:val="18"/>
              </w:rPr>
              <w:t>【/】份，符合产品管理人流动性管理的稳定资金除外。如需突破最高持有上限，请与产品管理人或销售机构客户经理联系。</w:t>
            </w:r>
          </w:p>
          <w:p w:rsidR="004A6D8C" w:rsidRDefault="00C1729C">
            <w:pPr>
              <w:pStyle w:val="Default"/>
              <w:spacing w:line="360" w:lineRule="auto"/>
              <w:rPr>
                <w:rFonts w:ascii="黑体" w:eastAsia="黑体" w:hAnsi="黑体"/>
                <w:bCs/>
                <w:color w:val="000000" w:themeColor="text1"/>
                <w:sz w:val="18"/>
                <w:szCs w:val="18"/>
              </w:rPr>
            </w:pPr>
            <w:r>
              <w:rPr>
                <w:rFonts w:hAnsi="宋体" w:hint="eastAsia"/>
                <w:sz w:val="18"/>
                <w:szCs w:val="18"/>
              </w:rPr>
              <w:t>★</w:t>
            </w:r>
            <w:r>
              <w:rPr>
                <w:rFonts w:ascii="黑体" w:eastAsia="黑体" w:hAnsi="黑体" w:hint="eastAsia"/>
                <w:bCs/>
                <w:color w:val="000000" w:themeColor="text1"/>
                <w:sz w:val="18"/>
                <w:szCs w:val="18"/>
              </w:rPr>
              <w:t>注</w:t>
            </w:r>
            <w:r>
              <w:rPr>
                <w:rFonts w:ascii="黑体" w:eastAsia="黑体" w:hAnsi="黑体"/>
                <w:bCs/>
                <w:color w:val="000000" w:themeColor="text1"/>
                <w:sz w:val="18"/>
                <w:szCs w:val="18"/>
              </w:rPr>
              <w:t>：</w:t>
            </w:r>
            <w:r>
              <w:rPr>
                <w:rFonts w:ascii="黑体" w:eastAsia="黑体" w:hAnsi="黑体" w:hint="eastAsia"/>
                <w:bCs/>
                <w:color w:val="000000" w:themeColor="text1"/>
                <w:sz w:val="18"/>
                <w:szCs w:val="18"/>
              </w:rPr>
              <w:t>本产品单一投资者持有份额不得超过产品总份额50%。</w:t>
            </w:r>
          </w:p>
          <w:p w:rsidR="004A6D8C" w:rsidRDefault="00C1729C">
            <w:pPr>
              <w:pStyle w:val="Default"/>
              <w:spacing w:line="360" w:lineRule="auto"/>
              <w:rPr>
                <w:rFonts w:ascii="黑体" w:eastAsia="黑体" w:hAnsi="黑体"/>
                <w:bCs/>
                <w:color w:val="000000" w:themeColor="text1"/>
                <w:sz w:val="18"/>
                <w:szCs w:val="18"/>
              </w:rPr>
            </w:pPr>
            <w:r>
              <w:rPr>
                <w:rFonts w:ascii="黑体" w:eastAsia="黑体" w:hAnsi="黑体" w:hint="eastAsia"/>
                <w:bCs/>
                <w:color w:val="000000" w:themeColor="text1"/>
                <w:sz w:val="18"/>
                <w:szCs w:val="18"/>
              </w:rPr>
              <w:t>（1）投资者认购或申购确认后可能导致其持有份额超过产品总份额50%的，管理人有权拒绝或暂停认购、申购。</w:t>
            </w:r>
          </w:p>
          <w:p w:rsidR="004A6D8C" w:rsidRDefault="00C1729C">
            <w:pPr>
              <w:spacing w:line="360" w:lineRule="auto"/>
              <w:rPr>
                <w:rFonts w:asciiTheme="minorEastAsia" w:eastAsiaTheme="minorEastAsia" w:hAnsiTheme="minorEastAsia"/>
                <w:sz w:val="18"/>
                <w:szCs w:val="18"/>
              </w:rPr>
            </w:pPr>
            <w:r>
              <w:rPr>
                <w:rFonts w:ascii="黑体" w:eastAsia="黑体" w:hAnsi="黑体" w:hint="eastAsia"/>
                <w:bCs/>
                <w:color w:val="000000" w:themeColor="text1"/>
                <w:sz w:val="18"/>
                <w:szCs w:val="18"/>
              </w:rPr>
              <w:t>（2）非因管理人主观因素导致突破该比例限制的，在单一投资者持有比例降至50%以下之前，管理人不再接受该投资者对本产品的认购、申购申请。</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asciiTheme="majorEastAsia" w:eastAsiaTheme="majorEastAsia" w:hAnsiTheme="majorEastAsia" w:hint="eastAsia"/>
                <w:b/>
                <w:bCs/>
                <w:sz w:val="18"/>
                <w:szCs w:val="18"/>
              </w:rPr>
              <w:t>理财产品</w:t>
            </w:r>
            <w:r>
              <w:rPr>
                <w:rFonts w:asciiTheme="majorEastAsia" w:eastAsiaTheme="majorEastAsia" w:hAnsiTheme="majorEastAsia"/>
                <w:b/>
                <w:bCs/>
                <w:sz w:val="18"/>
                <w:szCs w:val="18"/>
              </w:rPr>
              <w:t>份额发售面值</w:t>
            </w:r>
          </w:p>
        </w:tc>
        <w:tc>
          <w:tcPr>
            <w:tcW w:w="7816" w:type="dxa"/>
            <w:shd w:val="solid" w:color="FFFFFF" w:fill="FFFFFF"/>
            <w:vAlign w:val="center"/>
          </w:tcPr>
          <w:p w:rsidR="004A6D8C" w:rsidRDefault="00C1729C">
            <w:pPr>
              <w:spacing w:line="360" w:lineRule="auto"/>
              <w:rPr>
                <w:rFonts w:asciiTheme="majorEastAsia" w:eastAsiaTheme="majorEastAsia" w:hAnsiTheme="majorEastAsia"/>
                <w:sz w:val="18"/>
                <w:szCs w:val="18"/>
              </w:rPr>
            </w:pPr>
            <w:r>
              <w:rPr>
                <w:rFonts w:asciiTheme="majorEastAsia" w:eastAsiaTheme="majorEastAsia" w:hAnsiTheme="majorEastAsia" w:cs="仿宋_GB2312"/>
                <w:kern w:val="0"/>
                <w:sz w:val="18"/>
                <w:szCs w:val="18"/>
              </w:rPr>
              <w:t>1.00</w:t>
            </w:r>
            <w:r>
              <w:rPr>
                <w:rFonts w:asciiTheme="majorEastAsia" w:eastAsiaTheme="majorEastAsia" w:hAnsiTheme="majorEastAsia" w:cs="仿宋_GB2312" w:hint="eastAsia"/>
                <w:kern w:val="0"/>
                <w:sz w:val="18"/>
                <w:szCs w:val="18"/>
              </w:rPr>
              <w:t>元</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ascii="宋体" w:hAnsi="宋体" w:hint="eastAsia"/>
                <w:b/>
                <w:bCs/>
                <w:kern w:val="0"/>
                <w:sz w:val="18"/>
                <w:szCs w:val="18"/>
              </w:rPr>
              <w:lastRenderedPageBreak/>
              <w:t>理财产品份额净值</w:t>
            </w:r>
          </w:p>
        </w:tc>
        <w:tc>
          <w:tcPr>
            <w:tcW w:w="7816" w:type="dxa"/>
            <w:shd w:val="solid" w:color="FFFFFF" w:fill="FFFFFF"/>
            <w:vAlign w:val="center"/>
          </w:tcPr>
          <w:p w:rsidR="004A6D8C" w:rsidRDefault="00C1729C">
            <w:pPr>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w:t>
            </w:r>
            <w:r>
              <w:rPr>
                <w:rFonts w:asciiTheme="majorEastAsia" w:eastAsiaTheme="majorEastAsia" w:hAnsiTheme="majorEastAsia"/>
                <w:color w:val="000000" w:themeColor="text1"/>
                <w:sz w:val="18"/>
                <w:szCs w:val="18"/>
              </w:rPr>
              <w:t>.</w:t>
            </w:r>
            <w:r>
              <w:rPr>
                <w:rFonts w:asciiTheme="majorEastAsia" w:eastAsiaTheme="majorEastAsia" w:hAnsiTheme="majorEastAsia"/>
                <w:bCs/>
                <w:sz w:val="18"/>
                <w:szCs w:val="18"/>
              </w:rPr>
              <w:t>若产品投资资产运作出现损失的，产品份额净值下降，投资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分配所得可能小于投资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初始投资资金。投资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分配所得以实际到账金额为准。</w:t>
            </w:r>
          </w:p>
          <w:p w:rsidR="004A6D8C" w:rsidRDefault="00C1729C">
            <w:pPr>
              <w:spacing w:line="360" w:lineRule="auto"/>
              <w:rPr>
                <w:rFonts w:asciiTheme="majorEastAsia" w:eastAsiaTheme="majorEastAsia" w:hAnsiTheme="majorEastAsia"/>
                <w:bCs/>
                <w:sz w:val="18"/>
                <w:szCs w:val="18"/>
              </w:rPr>
            </w:pPr>
            <w:r>
              <w:rPr>
                <w:rFonts w:asciiTheme="majorEastAsia" w:eastAsiaTheme="majorEastAsia" w:hAnsiTheme="majorEastAsia"/>
                <w:bCs/>
                <w:sz w:val="18"/>
                <w:szCs w:val="18"/>
              </w:rPr>
              <w:t>2．产品实际</w:t>
            </w:r>
            <w:r>
              <w:rPr>
                <w:rFonts w:asciiTheme="majorEastAsia" w:eastAsiaTheme="majorEastAsia" w:hAnsiTheme="majorEastAsia" w:hint="eastAsia"/>
                <w:bCs/>
                <w:sz w:val="18"/>
                <w:szCs w:val="18"/>
              </w:rPr>
              <w:t>终止</w:t>
            </w:r>
            <w:r>
              <w:rPr>
                <w:rFonts w:asciiTheme="majorEastAsia" w:eastAsiaTheme="majorEastAsia" w:hAnsiTheme="majorEastAsia"/>
                <w:bCs/>
                <w:sz w:val="18"/>
                <w:szCs w:val="18"/>
              </w:rPr>
              <w:t>日之前的</w:t>
            </w:r>
            <w:r>
              <w:rPr>
                <w:rFonts w:asciiTheme="majorEastAsia" w:eastAsiaTheme="majorEastAsia" w:hAnsiTheme="majorEastAsia" w:hint="eastAsia"/>
                <w:bCs/>
                <w:sz w:val="18"/>
                <w:szCs w:val="18"/>
              </w:rPr>
              <w:t>各</w:t>
            </w:r>
            <w:r>
              <w:rPr>
                <w:rFonts w:asciiTheme="majorEastAsia" w:eastAsiaTheme="majorEastAsia" w:hAnsiTheme="majorEastAsia"/>
                <w:bCs/>
                <w:sz w:val="18"/>
                <w:szCs w:val="18"/>
              </w:rPr>
              <w:t>估值日公布的产品份额净值已扣除交易手续费、销售服务费、产品托管费、投资管理费。</w:t>
            </w:r>
          </w:p>
          <w:p w:rsidR="004A6D8C" w:rsidRDefault="00C1729C">
            <w:pPr>
              <w:spacing w:line="360" w:lineRule="auto"/>
              <w:jc w:val="left"/>
              <w:rPr>
                <w:rFonts w:asciiTheme="minorEastAsia" w:hAnsiTheme="minorEastAsia" w:cs="Times New Roman"/>
                <w:sz w:val="18"/>
                <w:szCs w:val="18"/>
              </w:rPr>
            </w:pPr>
            <w:r>
              <w:rPr>
                <w:rFonts w:asciiTheme="majorEastAsia" w:eastAsiaTheme="majorEastAsia" w:hAnsiTheme="majorEastAsia"/>
                <w:bCs/>
                <w:sz w:val="18"/>
                <w:szCs w:val="18"/>
              </w:rPr>
              <w:t>3．产品管理人依约定公布产品份额净值</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以</w:t>
            </w:r>
            <w:r>
              <w:rPr>
                <w:rFonts w:asciiTheme="majorEastAsia" w:eastAsiaTheme="majorEastAsia" w:hAnsiTheme="majorEastAsia" w:hint="eastAsia"/>
                <w:bCs/>
                <w:sz w:val="18"/>
                <w:szCs w:val="18"/>
              </w:rPr>
              <w:t>产品终止日</w:t>
            </w:r>
            <w:r>
              <w:rPr>
                <w:rFonts w:asciiTheme="majorEastAsia" w:eastAsiaTheme="majorEastAsia" w:hAnsiTheme="majorEastAsia"/>
                <w:bCs/>
                <w:sz w:val="18"/>
                <w:szCs w:val="18"/>
              </w:rPr>
              <w:t>产品份额净值为基础进行利益分配。</w:t>
            </w:r>
          </w:p>
        </w:tc>
      </w:tr>
      <w:tr w:rsidR="004A6D8C">
        <w:trPr>
          <w:trHeight w:val="1078"/>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hint="eastAsia"/>
                <w:sz w:val="18"/>
                <w:szCs w:val="18"/>
              </w:rPr>
              <w:t>★</w:t>
            </w:r>
            <w:r>
              <w:rPr>
                <w:rFonts w:asciiTheme="majorEastAsia" w:eastAsiaTheme="majorEastAsia" w:hAnsiTheme="majorEastAsia" w:hint="eastAsia"/>
                <w:b/>
                <w:bCs/>
                <w:sz w:val="18"/>
                <w:szCs w:val="18"/>
              </w:rPr>
              <w:t>业绩比较基准</w:t>
            </w:r>
          </w:p>
        </w:tc>
        <w:tc>
          <w:tcPr>
            <w:tcW w:w="7816" w:type="dxa"/>
            <w:shd w:val="solid" w:color="FFFFFF" w:fill="FFFFFF"/>
            <w:vAlign w:val="center"/>
          </w:tcPr>
          <w:p w:rsidR="004A6D8C" w:rsidRDefault="00C1729C">
            <w:pPr>
              <w:autoSpaceDE w:val="0"/>
              <w:autoSpaceDN w:val="0"/>
              <w:adjustRightInd w:val="0"/>
              <w:spacing w:line="360" w:lineRule="auto"/>
              <w:jc w:val="left"/>
              <w:rPr>
                <w:rFonts w:asciiTheme="majorEastAsia" w:eastAsiaTheme="majorEastAsia" w:hAnsiTheme="majorEastAsia"/>
                <w:b/>
                <w:bCs/>
                <w:sz w:val="18"/>
                <w:szCs w:val="18"/>
              </w:rPr>
            </w:pPr>
            <w:r>
              <w:rPr>
                <w:rFonts w:ascii="宋体" w:hAnsi="宋体" w:hint="eastAsia"/>
                <w:b/>
                <w:bCs/>
                <w:sz w:val="18"/>
                <w:szCs w:val="18"/>
              </w:rPr>
              <w:t>1.业绩</w:t>
            </w:r>
            <w:r>
              <w:rPr>
                <w:rFonts w:ascii="宋体" w:hAnsi="宋体"/>
                <w:b/>
                <w:bCs/>
                <w:sz w:val="18"/>
                <w:szCs w:val="18"/>
              </w:rPr>
              <w:t>比较基准的说明：</w:t>
            </w:r>
            <w:r>
              <w:rPr>
                <w:rFonts w:ascii="宋体" w:hAnsi="宋体" w:hint="eastAsia"/>
                <w:b/>
                <w:bCs/>
                <w:sz w:val="18"/>
                <w:szCs w:val="18"/>
              </w:rPr>
              <w:t>【</w:t>
            </w:r>
            <w:r>
              <w:rPr>
                <w:rFonts w:ascii="宋体" w:hAnsi="宋体" w:hint="eastAsia"/>
                <w:bCs/>
                <w:sz w:val="18"/>
                <w:szCs w:val="18"/>
              </w:rPr>
              <w:t>以一年期定期存款利率为无风险利率，基于当前对未来市场的判断，根据拟投资债权类资产的信用利差、久期敞口以及流动性溢价，预判组合的波动幅度</w:t>
            </w:r>
            <w:r>
              <w:rPr>
                <w:rFonts w:ascii="宋体" w:hAnsi="宋体"/>
                <w:b/>
                <w:bCs/>
                <w:sz w:val="18"/>
                <w:szCs w:val="18"/>
              </w:rPr>
              <w:t>】</w:t>
            </w:r>
            <w:r>
              <w:rPr>
                <w:rFonts w:asciiTheme="majorEastAsia" w:eastAsiaTheme="majorEastAsia" w:hAnsiTheme="majorEastAsia" w:hint="eastAsia"/>
                <w:b/>
                <w:bCs/>
                <w:sz w:val="18"/>
                <w:szCs w:val="18"/>
              </w:rPr>
              <w:t>。</w:t>
            </w:r>
          </w:p>
          <w:p w:rsidR="004A6D8C" w:rsidRDefault="00C1729C">
            <w:pPr>
              <w:spacing w:line="360" w:lineRule="auto"/>
              <w:jc w:val="left"/>
              <w:rPr>
                <w:rFonts w:asciiTheme="majorEastAsia" w:hAnsiTheme="majorEastAsia"/>
                <w:b/>
                <w:sz w:val="18"/>
              </w:rPr>
            </w:pPr>
            <w:r>
              <w:rPr>
                <w:rFonts w:asciiTheme="majorEastAsia" w:eastAsiaTheme="majorEastAsia" w:hAnsiTheme="majorEastAsia"/>
                <w:b/>
                <w:bCs/>
                <w:sz w:val="18"/>
                <w:szCs w:val="18"/>
              </w:rPr>
              <w:t>2.</w:t>
            </w:r>
            <w:r>
              <w:rPr>
                <w:rFonts w:asciiTheme="majorEastAsia" w:eastAsiaTheme="majorEastAsia" w:hAnsiTheme="majorEastAsia" w:hint="eastAsia"/>
                <w:b/>
                <w:bCs/>
                <w:sz w:val="18"/>
                <w:szCs w:val="18"/>
              </w:rPr>
              <w:t>业绩</w:t>
            </w:r>
            <w:r>
              <w:rPr>
                <w:rFonts w:asciiTheme="majorEastAsia" w:eastAsiaTheme="majorEastAsia" w:hAnsiTheme="majorEastAsia"/>
                <w:b/>
                <w:bCs/>
                <w:sz w:val="18"/>
                <w:szCs w:val="18"/>
              </w:rPr>
              <w:t>比较基准的设定：</w:t>
            </w:r>
            <w:r>
              <w:rPr>
                <w:rFonts w:asciiTheme="majorEastAsia" w:hAnsiTheme="majorEastAsia" w:hint="eastAsia"/>
                <w:b/>
                <w:sz w:val="18"/>
              </w:rPr>
              <w:t>管理人对</w:t>
            </w:r>
            <w:r>
              <w:rPr>
                <w:rFonts w:asciiTheme="majorEastAsia" w:hAnsiTheme="majorEastAsia"/>
                <w:b/>
                <w:sz w:val="18"/>
              </w:rPr>
              <w:t>本产品设定</w:t>
            </w:r>
            <w:r>
              <w:rPr>
                <w:rFonts w:asciiTheme="majorEastAsia" w:hAnsiTheme="majorEastAsia" w:hint="eastAsia"/>
                <w:b/>
                <w:sz w:val="18"/>
              </w:rPr>
              <w:t>业绩比较基准：</w:t>
            </w:r>
          </w:p>
          <w:p w:rsidR="004A6D8C" w:rsidRDefault="00C1729C">
            <w:pPr>
              <w:spacing w:line="360" w:lineRule="auto"/>
              <w:jc w:val="left"/>
              <w:rPr>
                <w:rFonts w:ascii="宋体" w:hAnsi="宋体"/>
                <w:bCs/>
                <w:sz w:val="18"/>
                <w:szCs w:val="18"/>
              </w:rPr>
            </w:pPr>
            <w:proofErr w:type="gramStart"/>
            <w:r>
              <w:rPr>
                <w:rFonts w:ascii="宋体" w:hAnsi="宋体" w:hint="eastAsia"/>
                <w:bCs/>
                <w:sz w:val="18"/>
                <w:szCs w:val="18"/>
              </w:rPr>
              <w:t>年化</w:t>
            </w:r>
            <w:r>
              <w:rPr>
                <w:rFonts w:ascii="宋体" w:hAnsi="宋体"/>
                <w:bCs/>
                <w:sz w:val="18"/>
                <w:szCs w:val="18"/>
              </w:rPr>
              <w:t>【2.</w:t>
            </w:r>
            <w:r w:rsidR="00BF239E">
              <w:rPr>
                <w:rFonts w:ascii="宋体" w:hAnsi="宋体"/>
                <w:bCs/>
                <w:sz w:val="18"/>
                <w:szCs w:val="18"/>
              </w:rPr>
              <w:t>8</w:t>
            </w:r>
            <w:r>
              <w:rPr>
                <w:rFonts w:ascii="宋体" w:hAnsi="宋体"/>
                <w:bCs/>
                <w:sz w:val="18"/>
                <w:szCs w:val="18"/>
              </w:rPr>
              <w:t>5%</w:t>
            </w:r>
            <w:r>
              <w:rPr>
                <w:rFonts w:ascii="宋体" w:hAnsi="宋体" w:hint="eastAsia"/>
                <w:bCs/>
                <w:sz w:val="18"/>
                <w:szCs w:val="18"/>
              </w:rPr>
              <w:t>-</w:t>
            </w:r>
            <w:r>
              <w:rPr>
                <w:rFonts w:ascii="宋体" w:hAnsi="宋体"/>
                <w:bCs/>
                <w:sz w:val="18"/>
                <w:szCs w:val="18"/>
              </w:rPr>
              <w:t>3.6</w:t>
            </w:r>
            <w:r>
              <w:rPr>
                <w:rFonts w:ascii="宋体" w:hAnsi="宋体" w:hint="eastAsia"/>
                <w:bCs/>
                <w:sz w:val="18"/>
                <w:szCs w:val="18"/>
              </w:rPr>
              <w:t>%</w:t>
            </w:r>
            <w:r>
              <w:rPr>
                <w:rFonts w:ascii="宋体" w:hAnsi="宋体"/>
                <w:bCs/>
                <w:sz w:val="18"/>
                <w:szCs w:val="18"/>
              </w:rPr>
              <w:t>】</w:t>
            </w:r>
            <w:proofErr w:type="gramEnd"/>
            <w:r>
              <w:rPr>
                <w:rFonts w:ascii="宋体" w:hAnsi="宋体" w:hint="eastAsia"/>
                <w:bCs/>
                <w:sz w:val="18"/>
                <w:szCs w:val="18"/>
              </w:rPr>
              <w:t>。（适用【A】类份额）</w:t>
            </w:r>
          </w:p>
          <w:p w:rsidR="004A6D8C" w:rsidRDefault="00C1729C">
            <w:pPr>
              <w:spacing w:line="360" w:lineRule="auto"/>
              <w:jc w:val="left"/>
              <w:rPr>
                <w:rFonts w:asciiTheme="majorEastAsia" w:eastAsiaTheme="majorEastAsia" w:hAnsiTheme="majorEastAsia"/>
                <w:b/>
                <w:bCs/>
                <w:sz w:val="18"/>
                <w:szCs w:val="18"/>
              </w:rPr>
            </w:pPr>
            <w:r>
              <w:rPr>
                <w:rFonts w:asciiTheme="majorEastAsia" w:eastAsiaTheme="majorEastAsia" w:hAnsiTheme="majorEastAsia"/>
                <w:b/>
                <w:bCs/>
                <w:sz w:val="18"/>
                <w:szCs w:val="18"/>
              </w:rPr>
              <w:t>3.业绩比较基准的提示：</w:t>
            </w:r>
          </w:p>
          <w:p w:rsidR="004A6D8C" w:rsidRDefault="00C1729C">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（1）业绩比较基准不代表理财产品未来表现，不等于理财产品实际收益，不作为产品收益的业绩保证，投资须谨慎。</w:t>
            </w:r>
          </w:p>
          <w:p w:rsidR="004A6D8C" w:rsidRDefault="00C1729C">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kern w:val="0"/>
                <w:sz w:val="18"/>
                <w:szCs w:val="18"/>
              </w:rPr>
              <w:t>如果今后法律法规发生变化，或者有其他代表性更强、更科学客观的业绩比较基准适用于本产品时，经产品管理人和产品托管人协商一致后，本产品可以变更业绩比较基准并及时公告</w:t>
            </w:r>
            <w:r>
              <w:rPr>
                <w:rFonts w:asciiTheme="majorEastAsia" w:eastAsiaTheme="majorEastAsia" w:hAnsiTheme="majorEastAsia" w:hint="eastAsia"/>
                <w:bCs/>
                <w:sz w:val="18"/>
                <w:szCs w:val="18"/>
              </w:rPr>
              <w:t>。</w:t>
            </w:r>
          </w:p>
        </w:tc>
      </w:tr>
      <w:tr w:rsidR="004A6D8C">
        <w:trPr>
          <w:trHeight w:val="1078"/>
          <w:jc w:val="center"/>
        </w:trPr>
        <w:tc>
          <w:tcPr>
            <w:tcW w:w="1828" w:type="dxa"/>
            <w:shd w:val="solid" w:color="FFFFFF" w:fill="FFFFFF"/>
            <w:vAlign w:val="center"/>
          </w:tcPr>
          <w:p w:rsidR="004A6D8C" w:rsidRDefault="00C1729C">
            <w:pPr>
              <w:spacing w:line="360" w:lineRule="auto"/>
              <w:jc w:val="left"/>
              <w:rPr>
                <w:sz w:val="18"/>
                <w:szCs w:val="18"/>
              </w:rPr>
            </w:pPr>
            <w:r>
              <w:rPr>
                <w:rFonts w:hint="eastAsia"/>
                <w:sz w:val="18"/>
                <w:szCs w:val="18"/>
              </w:rPr>
              <w:t>★</w:t>
            </w:r>
            <w:r>
              <w:rPr>
                <w:rFonts w:hint="eastAsia"/>
                <w:b/>
                <w:sz w:val="18"/>
                <w:szCs w:val="18"/>
              </w:rPr>
              <w:t>业绩报酬计提</w:t>
            </w:r>
            <w:r>
              <w:rPr>
                <w:rFonts w:ascii="宋体" w:hAnsi="宋体"/>
                <w:b/>
                <w:sz w:val="18"/>
                <w:szCs w:val="18"/>
              </w:rPr>
              <w:t>基准</w:t>
            </w:r>
          </w:p>
        </w:tc>
        <w:tc>
          <w:tcPr>
            <w:tcW w:w="7816" w:type="dxa"/>
            <w:shd w:val="solid" w:color="FFFFFF" w:fill="FFFFFF"/>
            <w:vAlign w:val="center"/>
          </w:tcPr>
          <w:p w:rsidR="004A6D8C" w:rsidRDefault="00C1729C">
            <w:pPr>
              <w:spacing w:line="360" w:lineRule="auto"/>
              <w:jc w:val="left"/>
              <w:rPr>
                <w:rFonts w:ascii="宋体" w:hAnsi="宋体"/>
                <w:b/>
                <w:bCs/>
                <w:sz w:val="18"/>
                <w:szCs w:val="18"/>
              </w:rPr>
            </w:pPr>
            <w:r>
              <w:rPr>
                <w:rFonts w:hAnsi="宋体" w:hint="eastAsia"/>
                <w:bCs/>
                <w:sz w:val="18"/>
                <w:szCs w:val="18"/>
              </w:rPr>
              <w:t>本产品不设置业绩报酬计提基准。</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hAnsi="宋体" w:hint="eastAsia"/>
                <w:sz w:val="18"/>
                <w:szCs w:val="18"/>
              </w:rPr>
              <w:t>★</w:t>
            </w:r>
            <w:r>
              <w:rPr>
                <w:rFonts w:asciiTheme="majorEastAsia" w:eastAsiaTheme="majorEastAsia" w:hAnsiTheme="majorEastAsia" w:hint="eastAsia"/>
                <w:b/>
                <w:bCs/>
                <w:sz w:val="18"/>
                <w:szCs w:val="18"/>
              </w:rPr>
              <w:t>理财产品费用</w:t>
            </w:r>
          </w:p>
        </w:tc>
        <w:tc>
          <w:tcPr>
            <w:tcW w:w="7816" w:type="dxa"/>
            <w:shd w:val="solid" w:color="FFFFFF" w:fill="FFFFFF"/>
            <w:vAlign w:val="center"/>
          </w:tcPr>
          <w:p w:rsidR="004A6D8C" w:rsidRDefault="00C1729C">
            <w:pPr>
              <w:spacing w:line="360" w:lineRule="auto"/>
              <w:rPr>
                <w:rFonts w:ascii="宋体" w:hAnsi="宋体"/>
                <w:bCs/>
                <w:color w:val="000000" w:themeColor="text1"/>
                <w:sz w:val="18"/>
                <w:szCs w:val="18"/>
              </w:rPr>
            </w:pPr>
            <w:r>
              <w:rPr>
                <w:rFonts w:ascii="宋体" w:hAnsi="宋体"/>
                <w:b/>
                <w:bCs/>
                <w:color w:val="000000" w:themeColor="text1"/>
                <w:sz w:val="18"/>
                <w:szCs w:val="18"/>
              </w:rPr>
              <w:t>1.</w:t>
            </w:r>
            <w:r>
              <w:rPr>
                <w:rFonts w:ascii="宋体" w:hAnsi="宋体" w:hint="eastAsia"/>
                <w:b/>
                <w:bCs/>
                <w:color w:val="000000" w:themeColor="text1"/>
                <w:sz w:val="18"/>
                <w:szCs w:val="18"/>
              </w:rPr>
              <w:t>认购费：</w:t>
            </w:r>
            <w:r>
              <w:rPr>
                <w:rFonts w:ascii="宋体" w:hAnsi="宋体" w:hint="eastAsia"/>
                <w:bCs/>
                <w:color w:val="000000" w:themeColor="text1"/>
                <w:sz w:val="18"/>
                <w:szCs w:val="18"/>
              </w:rPr>
              <w:t>【/】。</w:t>
            </w:r>
          </w:p>
          <w:p w:rsidR="004A6D8C" w:rsidRPr="00197259" w:rsidRDefault="00C1729C">
            <w:pPr>
              <w:spacing w:line="360" w:lineRule="auto"/>
              <w:rPr>
                <w:rFonts w:ascii="宋体" w:hAnsi="宋体"/>
                <w:b/>
                <w:bCs/>
                <w:color w:val="000000" w:themeColor="text1"/>
                <w:sz w:val="18"/>
                <w:szCs w:val="18"/>
              </w:rPr>
            </w:pPr>
            <w:r>
              <w:rPr>
                <w:rFonts w:asciiTheme="majorEastAsia" w:eastAsiaTheme="majorEastAsia" w:hAnsiTheme="majorEastAsia"/>
                <w:b/>
                <w:bCs/>
                <w:color w:val="000000" w:themeColor="text1"/>
                <w:sz w:val="18"/>
                <w:szCs w:val="18"/>
              </w:rPr>
              <w:t>2.销售服</w:t>
            </w:r>
            <w:r>
              <w:rPr>
                <w:rFonts w:ascii="宋体" w:hAnsi="宋体" w:hint="eastAsia"/>
                <w:b/>
                <w:bCs/>
                <w:color w:val="000000" w:themeColor="text1"/>
                <w:sz w:val="18"/>
                <w:szCs w:val="18"/>
              </w:rPr>
              <w:t>务费：</w:t>
            </w:r>
            <w:r>
              <w:rPr>
                <w:rFonts w:asciiTheme="majorEastAsia" w:eastAsiaTheme="majorEastAsia" w:hAnsiTheme="majorEastAsia" w:hint="eastAsia"/>
                <w:bCs/>
                <w:sz w:val="18"/>
                <w:szCs w:val="18"/>
              </w:rPr>
              <w:t>年化</w:t>
            </w:r>
            <w:r>
              <w:rPr>
                <w:rFonts w:asciiTheme="majorEastAsia" w:eastAsiaTheme="majorEastAsia" w:hAnsiTheme="majorEastAsia"/>
                <w:bCs/>
                <w:sz w:val="18"/>
                <w:szCs w:val="18"/>
              </w:rPr>
              <w:t>费率</w:t>
            </w:r>
            <w:r>
              <w:rPr>
                <w:rFonts w:asciiTheme="majorEastAsia" w:eastAsiaTheme="majorEastAsia" w:hAnsiTheme="majorEastAsia" w:hint="eastAsia"/>
                <w:sz w:val="18"/>
                <w:szCs w:val="18"/>
              </w:rPr>
              <w:t>【0</w:t>
            </w:r>
            <w:r>
              <w:rPr>
                <w:rFonts w:asciiTheme="majorEastAsia" w:eastAsiaTheme="majorEastAsia" w:hAnsiTheme="majorEastAsia"/>
                <w:sz w:val="18"/>
                <w:szCs w:val="18"/>
              </w:rPr>
              <w:t>.15</w:t>
            </w:r>
            <w:r>
              <w:rPr>
                <w:rFonts w:asciiTheme="majorEastAsia" w:eastAsiaTheme="majorEastAsia" w:hAnsiTheme="majorEastAsia" w:hint="eastAsia"/>
                <w:sz w:val="18"/>
                <w:szCs w:val="18"/>
              </w:rPr>
              <w:t>】%（</w:t>
            </w:r>
            <w:r>
              <w:rPr>
                <w:rFonts w:hAnsi="宋体" w:hint="eastAsia"/>
                <w:bCs/>
                <w:sz w:val="18"/>
                <w:szCs w:val="18"/>
              </w:rPr>
              <w:t>适用【</w:t>
            </w:r>
            <w:r>
              <w:rPr>
                <w:rFonts w:hAnsi="宋体" w:hint="eastAsia"/>
                <w:bCs/>
                <w:sz w:val="18"/>
                <w:szCs w:val="18"/>
              </w:rPr>
              <w:t>A</w:t>
            </w:r>
            <w:r>
              <w:rPr>
                <w:rFonts w:hAnsi="宋体" w:hint="eastAsia"/>
                <w:bCs/>
                <w:sz w:val="18"/>
                <w:szCs w:val="18"/>
              </w:rPr>
              <w:t>】类份额</w:t>
            </w:r>
            <w:r>
              <w:rPr>
                <w:rFonts w:asciiTheme="majorEastAsia" w:eastAsiaTheme="majorEastAsia" w:hAnsiTheme="majorEastAsia" w:hint="eastAsia"/>
                <w:sz w:val="18"/>
                <w:szCs w:val="18"/>
              </w:rPr>
              <w:t>）</w:t>
            </w:r>
            <w:r>
              <w:rPr>
                <w:rFonts w:ascii="宋体" w:hAnsi="宋体" w:hint="eastAsia"/>
                <w:bCs/>
                <w:color w:val="000000" w:themeColor="text1"/>
                <w:sz w:val="18"/>
                <w:szCs w:val="18"/>
              </w:rPr>
              <w:t>。</w:t>
            </w:r>
          </w:p>
          <w:p w:rsidR="004A6D8C" w:rsidRDefault="00C1729C">
            <w:pPr>
              <w:spacing w:line="360" w:lineRule="auto"/>
              <w:rPr>
                <w:rFonts w:ascii="宋体" w:hAnsi="宋体"/>
                <w:bCs/>
                <w:color w:val="000000" w:themeColor="text1"/>
                <w:sz w:val="18"/>
                <w:szCs w:val="18"/>
              </w:rPr>
            </w:pPr>
            <w:r>
              <w:rPr>
                <w:rFonts w:ascii="宋体" w:hAnsi="宋体"/>
                <w:b/>
                <w:bCs/>
                <w:color w:val="000000" w:themeColor="text1"/>
                <w:sz w:val="18"/>
                <w:szCs w:val="18"/>
              </w:rPr>
              <w:t>3.</w:t>
            </w:r>
            <w:r>
              <w:rPr>
                <w:rFonts w:ascii="宋体" w:hAnsi="宋体" w:hint="eastAsia"/>
                <w:b/>
                <w:bCs/>
                <w:color w:val="000000" w:themeColor="text1"/>
                <w:sz w:val="18"/>
                <w:szCs w:val="18"/>
              </w:rPr>
              <w:t>投资管理费：</w:t>
            </w:r>
            <w:r>
              <w:rPr>
                <w:rFonts w:asciiTheme="majorEastAsia" w:eastAsiaTheme="majorEastAsia" w:hAnsiTheme="majorEastAsia" w:hint="eastAsia"/>
                <w:bCs/>
                <w:sz w:val="18"/>
                <w:szCs w:val="18"/>
              </w:rPr>
              <w:t>年化</w:t>
            </w:r>
            <w:r>
              <w:rPr>
                <w:rFonts w:asciiTheme="majorEastAsia" w:eastAsiaTheme="majorEastAsia" w:hAnsiTheme="majorEastAsia"/>
                <w:bCs/>
                <w:sz w:val="18"/>
                <w:szCs w:val="18"/>
              </w:rPr>
              <w:t>费率</w:t>
            </w:r>
            <w:r>
              <w:rPr>
                <w:rFonts w:asciiTheme="majorEastAsia" w:eastAsiaTheme="majorEastAsia" w:hAnsiTheme="majorEastAsia" w:hint="eastAsia"/>
                <w:sz w:val="18"/>
                <w:szCs w:val="18"/>
              </w:rPr>
              <w:t>【0</w:t>
            </w:r>
            <w:r>
              <w:rPr>
                <w:rFonts w:asciiTheme="majorEastAsia" w:eastAsiaTheme="majorEastAsia" w:hAnsiTheme="majorEastAsia"/>
                <w:sz w:val="18"/>
                <w:szCs w:val="18"/>
              </w:rPr>
              <w:t>.1】</w:t>
            </w:r>
            <w:r>
              <w:rPr>
                <w:rFonts w:asciiTheme="majorEastAsia" w:eastAsiaTheme="majorEastAsia" w:hAnsiTheme="majorEastAsia" w:hint="eastAsia"/>
                <w:sz w:val="18"/>
                <w:szCs w:val="18"/>
              </w:rPr>
              <w:t>%</w:t>
            </w:r>
            <w:r>
              <w:rPr>
                <w:rFonts w:ascii="宋体" w:hAnsi="宋体" w:hint="eastAsia"/>
                <w:bCs/>
                <w:color w:val="000000" w:themeColor="text1"/>
                <w:sz w:val="18"/>
                <w:szCs w:val="18"/>
              </w:rPr>
              <w:t>。</w:t>
            </w:r>
          </w:p>
          <w:p w:rsidR="004A6D8C" w:rsidRDefault="00C1729C">
            <w:pPr>
              <w:spacing w:line="360" w:lineRule="auto"/>
              <w:rPr>
                <w:rFonts w:ascii="宋体" w:hAnsi="宋体"/>
                <w:bCs/>
                <w:color w:val="000000" w:themeColor="text1"/>
                <w:sz w:val="18"/>
                <w:szCs w:val="18"/>
              </w:rPr>
            </w:pPr>
            <w:r>
              <w:rPr>
                <w:rFonts w:ascii="宋体" w:hAnsi="宋体"/>
                <w:b/>
                <w:bCs/>
                <w:color w:val="000000" w:themeColor="text1"/>
                <w:sz w:val="18"/>
                <w:szCs w:val="18"/>
              </w:rPr>
              <w:t>4.</w:t>
            </w:r>
            <w:r>
              <w:rPr>
                <w:rFonts w:ascii="宋体" w:hAnsi="宋体" w:hint="eastAsia"/>
                <w:b/>
                <w:bCs/>
                <w:color w:val="000000" w:themeColor="text1"/>
                <w:sz w:val="18"/>
                <w:szCs w:val="18"/>
              </w:rPr>
              <w:t>产品托管费：</w:t>
            </w:r>
            <w:r>
              <w:rPr>
                <w:rFonts w:asciiTheme="majorEastAsia" w:eastAsiaTheme="majorEastAsia" w:hAnsiTheme="majorEastAsia" w:hint="eastAsia"/>
                <w:bCs/>
                <w:sz w:val="18"/>
                <w:szCs w:val="18"/>
              </w:rPr>
              <w:t>年化</w:t>
            </w:r>
            <w:r>
              <w:rPr>
                <w:rFonts w:asciiTheme="majorEastAsia" w:eastAsiaTheme="majorEastAsia" w:hAnsiTheme="majorEastAsia"/>
                <w:bCs/>
                <w:sz w:val="18"/>
                <w:szCs w:val="18"/>
              </w:rPr>
              <w:t>费率</w:t>
            </w:r>
            <w:r>
              <w:rPr>
                <w:rFonts w:asciiTheme="majorEastAsia" w:eastAsiaTheme="majorEastAsia" w:hAnsiTheme="majorEastAsia" w:hint="eastAsia"/>
                <w:sz w:val="18"/>
                <w:szCs w:val="18"/>
              </w:rPr>
              <w:t>【0</w:t>
            </w:r>
            <w:r>
              <w:rPr>
                <w:rFonts w:asciiTheme="majorEastAsia" w:eastAsiaTheme="majorEastAsia" w:hAnsiTheme="majorEastAsia"/>
                <w:sz w:val="18"/>
                <w:szCs w:val="18"/>
              </w:rPr>
              <w:t>.0</w:t>
            </w:r>
            <w:r>
              <w:rPr>
                <w:rFonts w:asciiTheme="majorEastAsia" w:eastAsiaTheme="majorEastAsia" w:hAnsiTheme="majorEastAsia" w:hint="eastAsia"/>
                <w:sz w:val="18"/>
                <w:szCs w:val="18"/>
              </w:rPr>
              <w:t>3</w:t>
            </w:r>
            <w:r>
              <w:rPr>
                <w:rFonts w:asciiTheme="majorEastAsia" w:eastAsiaTheme="majorEastAsia" w:hAnsiTheme="majorEastAsia"/>
                <w:sz w:val="18"/>
                <w:szCs w:val="18"/>
              </w:rPr>
              <w:t>】</w:t>
            </w:r>
            <w:r>
              <w:rPr>
                <w:rFonts w:asciiTheme="majorEastAsia" w:eastAsiaTheme="majorEastAsia" w:hAnsiTheme="majorEastAsia" w:hint="eastAsia"/>
                <w:sz w:val="18"/>
                <w:szCs w:val="18"/>
              </w:rPr>
              <w:t>%</w:t>
            </w:r>
            <w:r>
              <w:rPr>
                <w:rFonts w:ascii="宋体" w:hAnsi="宋体" w:hint="eastAsia"/>
                <w:bCs/>
                <w:color w:val="000000" w:themeColor="text1"/>
                <w:sz w:val="18"/>
                <w:szCs w:val="18"/>
              </w:rPr>
              <w:t>。</w:t>
            </w:r>
          </w:p>
          <w:p w:rsidR="004A6D8C" w:rsidRDefault="00C1729C">
            <w:pPr>
              <w:widowControl/>
              <w:spacing w:line="360" w:lineRule="auto"/>
              <w:jc w:val="left"/>
              <w:rPr>
                <w:rFonts w:ascii="宋体" w:hAnsi="宋体"/>
                <w:b/>
                <w:bCs/>
                <w:color w:val="000000" w:themeColor="text1"/>
                <w:sz w:val="18"/>
                <w:szCs w:val="18"/>
              </w:rPr>
            </w:pPr>
            <w:r>
              <w:rPr>
                <w:rFonts w:ascii="宋体" w:hAnsi="宋体"/>
                <w:b/>
                <w:bCs/>
                <w:color w:val="000000" w:themeColor="text1"/>
                <w:sz w:val="18"/>
                <w:szCs w:val="18"/>
              </w:rPr>
              <w:t>5.</w:t>
            </w:r>
            <w:r>
              <w:rPr>
                <w:rFonts w:ascii="宋体" w:hAnsi="宋体" w:hint="eastAsia"/>
                <w:b/>
                <w:bCs/>
                <w:color w:val="000000" w:themeColor="text1"/>
                <w:sz w:val="18"/>
                <w:szCs w:val="18"/>
              </w:rPr>
              <w:t>超额业绩报酬：无</w:t>
            </w:r>
          </w:p>
          <w:p w:rsidR="004A6D8C" w:rsidRDefault="00C1729C">
            <w:pPr>
              <w:spacing w:line="360" w:lineRule="auto"/>
              <w:rPr>
                <w:rFonts w:ascii="黑体" w:eastAsia="黑体" w:hAnsi="黑体"/>
                <w:bCs/>
                <w:sz w:val="18"/>
                <w:szCs w:val="18"/>
              </w:rPr>
            </w:pPr>
            <w:r>
              <w:rPr>
                <w:rFonts w:ascii="宋体" w:hAnsi="宋体"/>
                <w:bCs/>
                <w:sz w:val="18"/>
                <w:szCs w:val="18"/>
              </w:rPr>
              <w:t>6</w:t>
            </w:r>
            <w:r>
              <w:rPr>
                <w:rFonts w:asciiTheme="majorEastAsia" w:eastAsiaTheme="majorEastAsia" w:hAnsiTheme="majorEastAsia" w:hint="eastAsia"/>
                <w:bCs/>
                <w:sz w:val="18"/>
                <w:szCs w:val="18"/>
              </w:rPr>
              <w:t>.</w:t>
            </w:r>
            <w:r>
              <w:rPr>
                <w:rFonts w:ascii="黑体" w:eastAsia="黑体" w:hAnsi="黑体" w:hint="eastAsia"/>
                <w:bCs/>
                <w:sz w:val="18"/>
                <w:szCs w:val="18"/>
              </w:rPr>
              <w:t>产品管理人</w:t>
            </w:r>
            <w:r>
              <w:rPr>
                <w:rFonts w:ascii="黑体" w:eastAsia="黑体" w:hAnsi="黑体"/>
                <w:bCs/>
                <w:sz w:val="18"/>
                <w:szCs w:val="18"/>
              </w:rPr>
              <w:t>保留变更</w:t>
            </w:r>
            <w:r>
              <w:rPr>
                <w:rFonts w:ascii="黑体" w:eastAsia="黑体" w:hAnsi="黑体" w:hint="eastAsia"/>
                <w:bCs/>
                <w:sz w:val="18"/>
                <w:szCs w:val="18"/>
              </w:rPr>
              <w:t>上述</w:t>
            </w:r>
            <w:r>
              <w:rPr>
                <w:rFonts w:ascii="黑体" w:eastAsia="黑体" w:hAnsi="黑体"/>
                <w:bCs/>
                <w:sz w:val="18"/>
                <w:szCs w:val="18"/>
              </w:rPr>
              <w:t>理财产品</w:t>
            </w:r>
            <w:r>
              <w:rPr>
                <w:rFonts w:ascii="黑体" w:eastAsia="黑体" w:hAnsi="黑体" w:hint="eastAsia"/>
                <w:bCs/>
                <w:sz w:val="18"/>
                <w:szCs w:val="18"/>
              </w:rPr>
              <w:t>收取</w:t>
            </w:r>
            <w:r>
              <w:rPr>
                <w:rFonts w:ascii="黑体" w:eastAsia="黑体" w:hAnsi="黑体"/>
                <w:bCs/>
                <w:sz w:val="18"/>
                <w:szCs w:val="18"/>
              </w:rPr>
              <w:t>费率</w:t>
            </w:r>
            <w:r>
              <w:rPr>
                <w:rFonts w:ascii="黑体" w:eastAsia="黑体" w:hAnsi="黑体" w:hint="eastAsia"/>
                <w:bCs/>
                <w:sz w:val="18"/>
                <w:szCs w:val="18"/>
              </w:rPr>
              <w:t>标准</w:t>
            </w:r>
            <w:r>
              <w:rPr>
                <w:rFonts w:ascii="黑体" w:eastAsia="黑体" w:hAnsi="黑体"/>
                <w:bCs/>
                <w:sz w:val="18"/>
                <w:szCs w:val="18"/>
              </w:rPr>
              <w:t>的权利</w:t>
            </w:r>
            <w:r>
              <w:rPr>
                <w:rFonts w:ascii="黑体" w:eastAsia="黑体" w:hAnsi="黑体" w:hint="eastAsia"/>
                <w:bCs/>
                <w:sz w:val="18"/>
                <w:szCs w:val="18"/>
              </w:rPr>
              <w:t>。</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hAnsi="宋体"/>
                <w:sz w:val="18"/>
                <w:szCs w:val="18"/>
              </w:rPr>
            </w:pPr>
            <w:r>
              <w:rPr>
                <w:rFonts w:ascii="宋体" w:hAnsi="宋体" w:hint="eastAsia"/>
                <w:b/>
                <w:bCs/>
                <w:kern w:val="0"/>
                <w:sz w:val="18"/>
                <w:szCs w:val="18"/>
              </w:rPr>
              <w:t>税收</w:t>
            </w:r>
          </w:p>
        </w:tc>
        <w:tc>
          <w:tcPr>
            <w:tcW w:w="7816" w:type="dxa"/>
            <w:shd w:val="solid" w:color="FFFFFF" w:fill="FFFFFF"/>
            <w:vAlign w:val="center"/>
          </w:tcPr>
          <w:p w:rsidR="004A6D8C" w:rsidRDefault="00C1729C">
            <w:pPr>
              <w:spacing w:line="360" w:lineRule="auto"/>
              <w:rPr>
                <w:rFonts w:ascii="宋体" w:hAnsi="宋体"/>
                <w:bCs/>
                <w:color w:val="000000" w:themeColor="text1"/>
                <w:sz w:val="18"/>
                <w:szCs w:val="18"/>
              </w:rPr>
            </w:pPr>
            <w:r>
              <w:rPr>
                <w:rFonts w:hAnsi="宋体" w:cs="仿宋_GB2312" w:hint="eastAsia"/>
                <w:sz w:val="18"/>
                <w:szCs w:val="18"/>
              </w:rPr>
              <w:t>本理财产品运作过程中涉及的各纳税主体，其纳税义务按国家税收法律、法规执行。</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理财产品份额的转让</w:t>
            </w:r>
          </w:p>
        </w:tc>
        <w:tc>
          <w:tcPr>
            <w:tcW w:w="7816" w:type="dxa"/>
            <w:shd w:val="solid" w:color="FFFFFF" w:fill="FFFFFF"/>
            <w:vAlign w:val="center"/>
          </w:tcPr>
          <w:p w:rsidR="004A6D8C" w:rsidRDefault="00C1729C">
            <w:pPr>
              <w:spacing w:line="360" w:lineRule="auto"/>
              <w:jc w:val="left"/>
              <w:rPr>
                <w:rFonts w:ascii="宋体" w:hAnsi="宋体"/>
                <w:sz w:val="18"/>
                <w:szCs w:val="18"/>
              </w:rPr>
            </w:pPr>
            <w:r>
              <w:rPr>
                <w:rFonts w:ascii="宋体" w:hAnsi="宋体" w:hint="eastAsia"/>
                <w:sz w:val="18"/>
                <w:szCs w:val="18"/>
              </w:rPr>
              <w:t>理财产品份额的转让将依照理财产品销售文件及销售机构的业务政策执行。</w:t>
            </w:r>
          </w:p>
        </w:tc>
      </w:tr>
      <w:tr w:rsidR="004A6D8C">
        <w:trPr>
          <w:trHeight w:val="275"/>
          <w:jc w:val="center"/>
        </w:trPr>
        <w:tc>
          <w:tcPr>
            <w:tcW w:w="1828" w:type="dxa"/>
            <w:shd w:val="solid" w:color="FFFFFF" w:fill="FFFFFF"/>
            <w:vAlign w:val="center"/>
          </w:tcPr>
          <w:p w:rsidR="004A6D8C" w:rsidRDefault="00C1729C">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理财产品份额的质押</w:t>
            </w:r>
          </w:p>
        </w:tc>
        <w:tc>
          <w:tcPr>
            <w:tcW w:w="7816" w:type="dxa"/>
            <w:shd w:val="solid" w:color="FFFFFF" w:fill="FFFFFF"/>
            <w:vAlign w:val="center"/>
          </w:tcPr>
          <w:p w:rsidR="004A6D8C" w:rsidRDefault="00C1729C">
            <w:pPr>
              <w:spacing w:line="360" w:lineRule="auto"/>
              <w:jc w:val="left"/>
              <w:rPr>
                <w:rFonts w:ascii="宋体" w:hAnsi="宋体"/>
                <w:sz w:val="18"/>
                <w:szCs w:val="18"/>
              </w:rPr>
            </w:pPr>
            <w:r>
              <w:rPr>
                <w:rFonts w:ascii="宋体" w:hAnsi="宋体" w:hint="eastAsia"/>
                <w:sz w:val="18"/>
                <w:szCs w:val="18"/>
              </w:rPr>
              <w:t>理财产品份额的质押将依照理财产品销售文件及销售机构的业务政策执行。</w:t>
            </w:r>
          </w:p>
        </w:tc>
      </w:tr>
    </w:tbl>
    <w:p w:rsidR="004A6D8C" w:rsidRDefault="00C1729C">
      <w:pPr>
        <w:pStyle w:val="1"/>
        <w:spacing w:before="0" w:after="0" w:line="360" w:lineRule="auto"/>
        <w:jc w:val="center"/>
        <w:rPr>
          <w:rFonts w:ascii="Times New Roman"/>
          <w:sz w:val="30"/>
        </w:rPr>
      </w:pPr>
      <w:bookmarkStart w:id="5" w:name="_Toc88747122"/>
      <w:bookmarkStart w:id="6" w:name="_Toc79154666"/>
      <w:r>
        <w:rPr>
          <w:rFonts w:ascii="Times New Roman"/>
          <w:sz w:val="30"/>
        </w:rPr>
        <w:lastRenderedPageBreak/>
        <w:t>第</w:t>
      </w:r>
      <w:r>
        <w:rPr>
          <w:rFonts w:ascii="Times New Roman" w:hint="eastAsia"/>
          <w:sz w:val="30"/>
        </w:rPr>
        <w:t>三条</w:t>
      </w:r>
      <w:r>
        <w:rPr>
          <w:rFonts w:ascii="Times New Roman"/>
          <w:sz w:val="30"/>
        </w:rPr>
        <w:t xml:space="preserve">  </w:t>
      </w:r>
      <w:bookmarkStart w:id="7" w:name="_Toc79392573"/>
      <w:r>
        <w:rPr>
          <w:rFonts w:ascii="Times New Roman" w:hint="eastAsia"/>
          <w:sz w:val="30"/>
        </w:rPr>
        <w:t>理财产品的认购</w:t>
      </w:r>
      <w:bookmarkEnd w:id="5"/>
      <w:bookmarkEnd w:id="6"/>
    </w:p>
    <w:p w:rsidR="004A6D8C" w:rsidRDefault="00C1729C">
      <w:pPr>
        <w:spacing w:line="360" w:lineRule="auto"/>
        <w:ind w:firstLineChars="200" w:firstLine="361"/>
        <w:outlineLvl w:val="1"/>
        <w:rPr>
          <w:rFonts w:asciiTheme="minorEastAsia" w:hAnsiTheme="minorEastAsia"/>
          <w:b/>
          <w:bCs/>
          <w:sz w:val="18"/>
          <w:szCs w:val="18"/>
        </w:rPr>
      </w:pPr>
      <w:bookmarkStart w:id="8" w:name="_Hlt88031774"/>
      <w:bookmarkStart w:id="9" w:name="_Hlt88031741"/>
      <w:bookmarkEnd w:id="8"/>
      <w:r>
        <w:rPr>
          <w:rFonts w:asciiTheme="minorEastAsia" w:hAnsiTheme="minorEastAsia" w:hint="eastAsia"/>
          <w:b/>
          <w:bCs/>
          <w:sz w:val="18"/>
          <w:szCs w:val="18"/>
        </w:rPr>
        <w:t>（一）理财产品的认购</w:t>
      </w:r>
    </w:p>
    <w:p w:rsidR="004A6D8C" w:rsidRDefault="00C1729C">
      <w:pPr>
        <w:spacing w:line="360" w:lineRule="auto"/>
        <w:ind w:firstLineChars="200" w:firstLine="361"/>
        <w:outlineLvl w:val="2"/>
        <w:rPr>
          <w:rFonts w:asciiTheme="minorEastAsia" w:hAnsiTheme="minorEastAsia"/>
          <w:b/>
          <w:bCs/>
          <w:sz w:val="18"/>
          <w:szCs w:val="18"/>
        </w:rPr>
      </w:pPr>
      <w:r>
        <w:rPr>
          <w:rFonts w:asciiTheme="minorEastAsia" w:hAnsiTheme="minorEastAsia"/>
          <w:b/>
          <w:bCs/>
          <w:sz w:val="18"/>
          <w:szCs w:val="18"/>
        </w:rPr>
        <w:t>1.</w:t>
      </w:r>
      <w:r>
        <w:rPr>
          <w:rFonts w:asciiTheme="minorEastAsia" w:hAnsiTheme="minorEastAsia" w:hint="eastAsia"/>
          <w:b/>
          <w:bCs/>
          <w:sz w:val="18"/>
          <w:szCs w:val="18"/>
        </w:rPr>
        <w:t>认购的时间</w:t>
      </w:r>
    </w:p>
    <w:p w:rsidR="004A6D8C" w:rsidRDefault="00C1729C">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本产品认购期/募集期详见《产品说明书》“第二条 理财产品基本情况”。</w:t>
      </w:r>
      <w:r>
        <w:rPr>
          <w:rFonts w:asciiTheme="minorEastAsia" w:eastAsiaTheme="minorEastAsia" w:hAnsiTheme="minorEastAsia"/>
          <w:color w:val="auto"/>
          <w:sz w:val="18"/>
          <w:szCs w:val="18"/>
        </w:rPr>
        <w:t>产品管理人有权根据实际募集情况提前或延后产品成立日期，并</w:t>
      </w:r>
      <w:r>
        <w:rPr>
          <w:rFonts w:asciiTheme="minorEastAsia" w:eastAsiaTheme="minorEastAsia" w:hAnsiTheme="minorEastAsia" w:hint="eastAsia"/>
          <w:color w:val="auto"/>
          <w:sz w:val="18"/>
          <w:szCs w:val="18"/>
        </w:rPr>
        <w:t>相应调整其他产品要素，</w:t>
      </w:r>
      <w:r>
        <w:rPr>
          <w:rFonts w:asciiTheme="minorEastAsia" w:eastAsiaTheme="minorEastAsia" w:hAnsiTheme="minorEastAsia"/>
          <w:color w:val="auto"/>
          <w:sz w:val="18"/>
          <w:szCs w:val="18"/>
        </w:rPr>
        <w:t>将依约</w:t>
      </w:r>
      <w:proofErr w:type="gramStart"/>
      <w:r>
        <w:rPr>
          <w:rFonts w:asciiTheme="minorEastAsia" w:eastAsiaTheme="minorEastAsia" w:hAnsiTheme="minorEastAsia" w:hint="eastAsia"/>
          <w:color w:val="auto"/>
          <w:sz w:val="18"/>
          <w:szCs w:val="18"/>
        </w:rPr>
        <w:t>定进行</w:t>
      </w:r>
      <w:proofErr w:type="gramEnd"/>
      <w:r>
        <w:rPr>
          <w:rFonts w:asciiTheme="minorEastAsia" w:eastAsiaTheme="minorEastAsia" w:hAnsiTheme="minorEastAsia" w:hint="eastAsia"/>
          <w:color w:val="auto"/>
          <w:sz w:val="18"/>
          <w:szCs w:val="18"/>
        </w:rPr>
        <w:t>公告。</w:t>
      </w:r>
    </w:p>
    <w:p w:rsidR="004A6D8C" w:rsidRDefault="00C1729C">
      <w:pPr>
        <w:spacing w:line="360" w:lineRule="auto"/>
        <w:ind w:firstLineChars="200" w:firstLine="361"/>
        <w:outlineLvl w:val="2"/>
        <w:rPr>
          <w:rFonts w:asciiTheme="minorEastAsia" w:hAnsiTheme="minorEastAsia"/>
          <w:b/>
          <w:bCs/>
          <w:sz w:val="18"/>
          <w:szCs w:val="18"/>
        </w:rPr>
      </w:pPr>
      <w:r>
        <w:rPr>
          <w:rFonts w:asciiTheme="minorEastAsia" w:hAnsiTheme="minorEastAsia"/>
          <w:b/>
          <w:bCs/>
          <w:sz w:val="18"/>
          <w:szCs w:val="18"/>
        </w:rPr>
        <w:t>2.认购</w:t>
      </w:r>
      <w:r>
        <w:rPr>
          <w:rFonts w:asciiTheme="minorEastAsia" w:hAnsiTheme="minorEastAsia" w:hint="eastAsia"/>
          <w:b/>
          <w:bCs/>
          <w:sz w:val="18"/>
          <w:szCs w:val="18"/>
        </w:rPr>
        <w:t>的方式</w:t>
      </w:r>
    </w:p>
    <w:p w:rsidR="004A6D8C" w:rsidRDefault="00C1729C">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color w:val="auto"/>
          <w:sz w:val="18"/>
          <w:szCs w:val="18"/>
        </w:rPr>
        <w:t>产品成立之前</w:t>
      </w:r>
      <w:r>
        <w:rPr>
          <w:rFonts w:asciiTheme="minorEastAsia" w:eastAsiaTheme="minorEastAsia" w:hAnsiTheme="minorEastAsia" w:hint="eastAsia"/>
          <w:color w:val="auto"/>
          <w:sz w:val="18"/>
          <w:szCs w:val="18"/>
        </w:rPr>
        <w:t>，</w:t>
      </w:r>
      <w:r>
        <w:rPr>
          <w:rFonts w:asciiTheme="minorEastAsia" w:eastAsiaTheme="minorEastAsia" w:hAnsiTheme="minorEastAsia"/>
          <w:color w:val="auto"/>
          <w:sz w:val="18"/>
          <w:szCs w:val="18"/>
        </w:rPr>
        <w:t>投资者可通过</w:t>
      </w:r>
      <w:r>
        <w:rPr>
          <w:rFonts w:asciiTheme="minorEastAsia" w:eastAsiaTheme="minorEastAsia" w:hAnsiTheme="minorEastAsia" w:hint="eastAsia"/>
          <w:color w:val="auto"/>
          <w:sz w:val="18"/>
          <w:szCs w:val="18"/>
        </w:rPr>
        <w:t>销售机构销售</w:t>
      </w:r>
      <w:r>
        <w:rPr>
          <w:rFonts w:asciiTheme="minorEastAsia" w:eastAsiaTheme="minorEastAsia" w:hAnsiTheme="minorEastAsia"/>
          <w:color w:val="auto"/>
          <w:sz w:val="18"/>
          <w:szCs w:val="18"/>
        </w:rPr>
        <w:t>渠道</w:t>
      </w:r>
      <w:r>
        <w:rPr>
          <w:rFonts w:asciiTheme="minorEastAsia" w:eastAsiaTheme="minorEastAsia" w:hAnsiTheme="minorEastAsia" w:hint="eastAsia"/>
          <w:color w:val="auto"/>
          <w:sz w:val="18"/>
          <w:szCs w:val="18"/>
        </w:rPr>
        <w:t>认购</w:t>
      </w:r>
      <w:r>
        <w:rPr>
          <w:rFonts w:asciiTheme="minorEastAsia" w:eastAsiaTheme="minorEastAsia" w:hAnsiTheme="minorEastAsia"/>
          <w:color w:val="auto"/>
          <w:sz w:val="18"/>
          <w:szCs w:val="18"/>
        </w:rPr>
        <w:t>。</w:t>
      </w:r>
    </w:p>
    <w:p w:rsidR="004A6D8C" w:rsidRDefault="00C1729C">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color w:val="auto"/>
          <w:sz w:val="18"/>
          <w:szCs w:val="18"/>
        </w:rPr>
        <w:t>投资者通过</w:t>
      </w:r>
      <w:r>
        <w:rPr>
          <w:rFonts w:asciiTheme="minorEastAsia" w:eastAsiaTheme="minorEastAsia" w:hAnsiTheme="minorEastAsia" w:hint="eastAsia"/>
          <w:color w:val="auto"/>
          <w:sz w:val="18"/>
          <w:szCs w:val="18"/>
        </w:rPr>
        <w:t>销售机构线下渠道认购的，应签署有关理财产品销售文件。</w:t>
      </w:r>
    </w:p>
    <w:p w:rsidR="004A6D8C" w:rsidRDefault="00C1729C">
      <w:pPr>
        <w:pStyle w:val="Default"/>
        <w:spacing w:line="360" w:lineRule="auto"/>
        <w:ind w:firstLineChars="200" w:firstLine="360"/>
        <w:rPr>
          <w:rFonts w:asciiTheme="minorEastAsia" w:hAnsiTheme="minorEastAsia"/>
          <w:bCs/>
          <w:color w:val="auto"/>
          <w:sz w:val="18"/>
          <w:szCs w:val="18"/>
        </w:rPr>
      </w:pPr>
      <w:r>
        <w:rPr>
          <w:rFonts w:asciiTheme="minorEastAsia" w:eastAsiaTheme="minorEastAsia" w:hAnsiTheme="minorEastAsia"/>
          <w:color w:val="auto"/>
          <w:sz w:val="18"/>
          <w:szCs w:val="18"/>
        </w:rPr>
        <w:t>投资者通过</w:t>
      </w:r>
      <w:r>
        <w:rPr>
          <w:rFonts w:asciiTheme="minorEastAsia" w:eastAsiaTheme="minorEastAsia" w:hAnsiTheme="minorEastAsia" w:hint="eastAsia"/>
          <w:color w:val="auto"/>
          <w:sz w:val="18"/>
          <w:szCs w:val="18"/>
        </w:rPr>
        <w:t>销售机构线</w:t>
      </w:r>
      <w:proofErr w:type="gramStart"/>
      <w:r>
        <w:rPr>
          <w:rFonts w:asciiTheme="minorEastAsia" w:eastAsiaTheme="minorEastAsia" w:hAnsiTheme="minorEastAsia" w:hint="eastAsia"/>
          <w:color w:val="auto"/>
          <w:sz w:val="18"/>
          <w:szCs w:val="18"/>
        </w:rPr>
        <w:t>上渠道</w:t>
      </w:r>
      <w:proofErr w:type="gramEnd"/>
      <w:r>
        <w:rPr>
          <w:rFonts w:asciiTheme="minorEastAsia" w:eastAsiaTheme="minorEastAsia" w:hAnsiTheme="minorEastAsia" w:hint="eastAsia"/>
          <w:color w:val="auto"/>
          <w:sz w:val="18"/>
          <w:szCs w:val="18"/>
        </w:rPr>
        <w:t>认购的，</w:t>
      </w:r>
      <w:r>
        <w:rPr>
          <w:rFonts w:asciiTheme="minorEastAsia" w:hAnsiTheme="minorEastAsia" w:hint="eastAsia"/>
          <w:bCs/>
          <w:color w:val="auto"/>
          <w:sz w:val="18"/>
          <w:szCs w:val="18"/>
        </w:rPr>
        <w:t>应根据</w:t>
      </w:r>
      <w:r>
        <w:rPr>
          <w:rFonts w:asciiTheme="minorEastAsia" w:eastAsiaTheme="minorEastAsia" w:hAnsiTheme="minorEastAsia" w:hint="eastAsia"/>
          <w:color w:val="auto"/>
          <w:sz w:val="18"/>
          <w:szCs w:val="18"/>
        </w:rPr>
        <w:t>销售机构</w:t>
      </w:r>
      <w:r>
        <w:rPr>
          <w:rFonts w:asciiTheme="minorEastAsia" w:hAnsiTheme="minorEastAsia" w:hint="eastAsia"/>
          <w:bCs/>
          <w:color w:val="auto"/>
          <w:sz w:val="18"/>
          <w:szCs w:val="18"/>
        </w:rPr>
        <w:t>线</w:t>
      </w:r>
      <w:proofErr w:type="gramStart"/>
      <w:r>
        <w:rPr>
          <w:rFonts w:asciiTheme="minorEastAsia" w:hAnsiTheme="minorEastAsia" w:hint="eastAsia"/>
          <w:bCs/>
          <w:color w:val="auto"/>
          <w:sz w:val="18"/>
          <w:szCs w:val="18"/>
        </w:rPr>
        <w:t>上渠道</w:t>
      </w:r>
      <w:proofErr w:type="gramEnd"/>
      <w:r>
        <w:rPr>
          <w:rFonts w:asciiTheme="minorEastAsia" w:hAnsiTheme="minorEastAsia" w:hint="eastAsia"/>
          <w:bCs/>
          <w:color w:val="auto"/>
          <w:sz w:val="18"/>
          <w:szCs w:val="18"/>
        </w:rPr>
        <w:t>的具体要求执行。</w:t>
      </w:r>
    </w:p>
    <w:p w:rsidR="004A6D8C" w:rsidRDefault="00C1729C">
      <w:pPr>
        <w:pStyle w:val="Default"/>
        <w:spacing w:line="360" w:lineRule="auto"/>
        <w:ind w:firstLineChars="200" w:firstLine="361"/>
        <w:outlineLvl w:val="2"/>
        <w:rPr>
          <w:rFonts w:asciiTheme="minorEastAsia" w:hAnsiTheme="minorEastAsia"/>
          <w:b/>
          <w:bCs/>
          <w:color w:val="auto"/>
          <w:sz w:val="18"/>
          <w:szCs w:val="18"/>
        </w:rPr>
      </w:pPr>
      <w:r>
        <w:rPr>
          <w:rFonts w:asciiTheme="minorEastAsia" w:hAnsiTheme="minorEastAsia"/>
          <w:b/>
          <w:bCs/>
          <w:color w:val="auto"/>
          <w:sz w:val="18"/>
          <w:szCs w:val="18"/>
        </w:rPr>
        <w:t>3.</w:t>
      </w:r>
      <w:r>
        <w:rPr>
          <w:rFonts w:asciiTheme="minorEastAsia" w:hAnsiTheme="minorEastAsia" w:hint="eastAsia"/>
          <w:b/>
          <w:bCs/>
          <w:color w:val="auto"/>
          <w:sz w:val="18"/>
          <w:szCs w:val="18"/>
        </w:rPr>
        <w:t>认购的确认</w:t>
      </w:r>
    </w:p>
    <w:tbl>
      <w:tblPr>
        <w:tblStyle w:val="af"/>
        <w:tblW w:w="7861"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984"/>
        <w:gridCol w:w="4267"/>
        <w:gridCol w:w="1610"/>
      </w:tblGrid>
      <w:tr w:rsidR="004A6D8C">
        <w:trPr>
          <w:jc w:val="center"/>
        </w:trPr>
        <w:tc>
          <w:tcPr>
            <w:tcW w:w="1984" w:type="dxa"/>
            <w:vAlign w:val="center"/>
          </w:tcPr>
          <w:p w:rsidR="004A6D8C" w:rsidRDefault="00C1729C">
            <w:pPr>
              <w:spacing w:line="360" w:lineRule="auto"/>
              <w:ind w:firstLineChars="200" w:firstLine="361"/>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认购期/募集期</w:t>
            </w:r>
          </w:p>
        </w:tc>
        <w:tc>
          <w:tcPr>
            <w:tcW w:w="4267" w:type="dxa"/>
            <w:vAlign w:val="center"/>
          </w:tcPr>
          <w:p w:rsidR="004A6D8C" w:rsidRDefault="00C1729C">
            <w:pPr>
              <w:spacing w:line="360" w:lineRule="auto"/>
              <w:ind w:firstLineChars="200" w:firstLine="361"/>
              <w:jc w:val="center"/>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认购确认方式</w:t>
            </w:r>
          </w:p>
        </w:tc>
        <w:tc>
          <w:tcPr>
            <w:tcW w:w="1610" w:type="dxa"/>
            <w:vAlign w:val="center"/>
          </w:tcPr>
          <w:p w:rsidR="004A6D8C" w:rsidRDefault="00C1729C">
            <w:pPr>
              <w:spacing w:line="360" w:lineRule="auto"/>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认购确认日</w:t>
            </w:r>
          </w:p>
        </w:tc>
      </w:tr>
      <w:tr w:rsidR="004A6D8C">
        <w:trPr>
          <w:jc w:val="center"/>
        </w:trPr>
        <w:tc>
          <w:tcPr>
            <w:tcW w:w="1984" w:type="dxa"/>
            <w:vAlign w:val="center"/>
          </w:tcPr>
          <w:p w:rsidR="004A6D8C" w:rsidRDefault="00C1729C">
            <w:pPr>
              <w:spacing w:line="360" w:lineRule="auto"/>
              <w:jc w:val="left"/>
              <w:rPr>
                <w:rFonts w:asciiTheme="minorEastAsia" w:eastAsiaTheme="minorEastAsia" w:hAnsiTheme="minorEastAsia"/>
                <w:bCs/>
                <w:kern w:val="0"/>
                <w:sz w:val="18"/>
                <w:szCs w:val="18"/>
              </w:rPr>
            </w:pPr>
            <w:r>
              <w:rPr>
                <w:rFonts w:asciiTheme="minorEastAsia" w:eastAsiaTheme="minorEastAsia" w:hAnsiTheme="minorEastAsia" w:cs="Times New Roman" w:hint="eastAsia"/>
                <w:bCs/>
                <w:kern w:val="0"/>
                <w:sz w:val="18"/>
                <w:szCs w:val="18"/>
              </w:rPr>
              <w:t>募集期开始日</w:t>
            </w:r>
            <w:r>
              <w:rPr>
                <w:rFonts w:asciiTheme="minorEastAsia" w:eastAsiaTheme="minorEastAsia" w:hAnsiTheme="minorEastAsia" w:cs="Times New Roman"/>
                <w:bCs/>
                <w:kern w:val="0"/>
                <w:sz w:val="18"/>
                <w:szCs w:val="18"/>
              </w:rPr>
              <w:t>至募集期终止日</w:t>
            </w:r>
          </w:p>
        </w:tc>
        <w:tc>
          <w:tcPr>
            <w:tcW w:w="4267" w:type="dxa"/>
            <w:vAlign w:val="center"/>
          </w:tcPr>
          <w:p w:rsidR="004A6D8C" w:rsidRDefault="00C1729C">
            <w:pPr>
              <w:spacing w:line="360" w:lineRule="auto"/>
              <w:rPr>
                <w:rFonts w:asciiTheme="minorEastAsia" w:eastAsiaTheme="minorEastAsia" w:hAnsiTheme="minorEastAsia"/>
                <w:bCs/>
                <w:sz w:val="18"/>
                <w:szCs w:val="18"/>
              </w:rPr>
            </w:pPr>
            <w:r>
              <w:rPr>
                <w:rFonts w:asciiTheme="minorEastAsia" w:hAnsiTheme="minorEastAsia" w:cs="Times New Roman" w:hint="eastAsia"/>
                <w:bCs/>
                <w:kern w:val="0"/>
                <w:sz w:val="18"/>
                <w:szCs w:val="18"/>
              </w:rPr>
              <w:t>产品管理人在产品成立日对投资者的认购申请的有效性进行确认，并登记理财份额。</w:t>
            </w:r>
          </w:p>
        </w:tc>
        <w:tc>
          <w:tcPr>
            <w:tcW w:w="1610" w:type="dxa"/>
            <w:vAlign w:val="center"/>
          </w:tcPr>
          <w:p w:rsidR="004A6D8C" w:rsidRDefault="00C1729C">
            <w:pPr>
              <w:spacing w:line="360" w:lineRule="auto"/>
              <w:rPr>
                <w:rFonts w:asciiTheme="minorEastAsia" w:eastAsiaTheme="minorEastAsia" w:hAnsiTheme="minorEastAsia"/>
                <w:bCs/>
                <w:sz w:val="18"/>
                <w:szCs w:val="18"/>
              </w:rPr>
            </w:pPr>
            <w:r>
              <w:rPr>
                <w:rFonts w:asciiTheme="minorEastAsia" w:hAnsiTheme="minorEastAsia" w:cs="Times New Roman" w:hint="eastAsia"/>
                <w:bCs/>
                <w:kern w:val="0"/>
                <w:sz w:val="18"/>
                <w:szCs w:val="18"/>
              </w:rPr>
              <w:t>产品成立日</w:t>
            </w:r>
          </w:p>
        </w:tc>
      </w:tr>
    </w:tbl>
    <w:p w:rsidR="004A6D8C" w:rsidRDefault="00C1729C">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认购期/募集期内</w:t>
      </w:r>
      <w:r>
        <w:rPr>
          <w:rFonts w:asciiTheme="minorEastAsia" w:hAnsiTheme="minorEastAsia"/>
          <w:bCs/>
          <w:color w:val="auto"/>
          <w:sz w:val="18"/>
          <w:szCs w:val="18"/>
        </w:rPr>
        <w:t>产品管理人</w:t>
      </w:r>
      <w:r>
        <w:rPr>
          <w:rFonts w:asciiTheme="minorEastAsia" w:hAnsiTheme="minorEastAsia" w:hint="eastAsia"/>
          <w:bCs/>
          <w:color w:val="auto"/>
          <w:sz w:val="18"/>
          <w:szCs w:val="18"/>
        </w:rPr>
        <w:t>可受理投资者提交的认购申请。</w:t>
      </w:r>
      <w:r>
        <w:rPr>
          <w:rFonts w:asciiTheme="majorEastAsia" w:eastAsiaTheme="majorEastAsia" w:hAnsiTheme="majorEastAsia" w:hint="eastAsia"/>
          <w:sz w:val="18"/>
          <w:szCs w:val="18"/>
        </w:rPr>
        <w:t>提交</w:t>
      </w:r>
      <w:r>
        <w:rPr>
          <w:rFonts w:asciiTheme="majorEastAsia" w:eastAsiaTheme="majorEastAsia" w:hAnsiTheme="majorEastAsia"/>
          <w:sz w:val="18"/>
          <w:szCs w:val="18"/>
        </w:rPr>
        <w:t>认购</w:t>
      </w:r>
      <w:r>
        <w:rPr>
          <w:rFonts w:asciiTheme="majorEastAsia" w:eastAsiaTheme="majorEastAsia" w:hAnsiTheme="majorEastAsia" w:hint="eastAsia"/>
          <w:sz w:val="18"/>
          <w:szCs w:val="18"/>
        </w:rPr>
        <w:t>申请并不代表认购成功，产品管理人将在认购确认日确认投资者是否认购成功。</w:t>
      </w:r>
      <w:r>
        <w:rPr>
          <w:rFonts w:asciiTheme="minorEastAsia" w:eastAsiaTheme="minorEastAsia" w:hAnsiTheme="minorEastAsia" w:hint="eastAsia"/>
          <w:sz w:val="18"/>
          <w:szCs w:val="18"/>
        </w:rPr>
        <w:t>认购</w:t>
      </w:r>
      <w:r>
        <w:rPr>
          <w:rFonts w:asciiTheme="majorEastAsia" w:eastAsiaTheme="majorEastAsia" w:hAnsiTheme="majorEastAsia" w:hint="eastAsia"/>
          <w:sz w:val="18"/>
          <w:szCs w:val="18"/>
        </w:rPr>
        <w:t>是否成功以管理人的确认结果为准</w:t>
      </w:r>
      <w:r>
        <w:rPr>
          <w:rFonts w:asciiTheme="minorEastAsia" w:eastAsiaTheme="minorEastAsia" w:hAnsiTheme="minorEastAsia" w:hint="eastAsia"/>
          <w:sz w:val="18"/>
          <w:szCs w:val="18"/>
        </w:rPr>
        <w:t>。</w:t>
      </w:r>
      <w:r>
        <w:rPr>
          <w:rFonts w:asciiTheme="minorEastAsia" w:eastAsiaTheme="minorEastAsia" w:hAnsiTheme="minorEastAsia" w:hint="eastAsia"/>
          <w:bCs/>
          <w:sz w:val="18"/>
          <w:szCs w:val="18"/>
        </w:rPr>
        <w:t>投资者可以在认购确认</w:t>
      </w:r>
      <w:proofErr w:type="gramStart"/>
      <w:r>
        <w:rPr>
          <w:rFonts w:asciiTheme="minorEastAsia" w:eastAsiaTheme="minorEastAsia" w:hAnsiTheme="minorEastAsia" w:hint="eastAsia"/>
          <w:bCs/>
          <w:sz w:val="18"/>
          <w:szCs w:val="18"/>
        </w:rPr>
        <w:t>日系统</w:t>
      </w:r>
      <w:proofErr w:type="gramEnd"/>
      <w:r>
        <w:rPr>
          <w:rFonts w:asciiTheme="minorEastAsia" w:eastAsiaTheme="minorEastAsia" w:hAnsiTheme="minorEastAsia" w:hint="eastAsia"/>
          <w:bCs/>
          <w:sz w:val="18"/>
          <w:szCs w:val="18"/>
        </w:rPr>
        <w:t>完成处理后，查询产品份额。</w:t>
      </w:r>
    </w:p>
    <w:p w:rsidR="004A6D8C" w:rsidRDefault="00C1729C">
      <w:pPr>
        <w:spacing w:line="360" w:lineRule="auto"/>
        <w:ind w:firstLineChars="200" w:firstLine="361"/>
        <w:outlineLvl w:val="2"/>
        <w:rPr>
          <w:rFonts w:asciiTheme="minorEastAsia" w:hAnsiTheme="minorEastAsia"/>
          <w:b/>
          <w:bCs/>
          <w:sz w:val="18"/>
          <w:szCs w:val="18"/>
        </w:rPr>
      </w:pPr>
      <w:r>
        <w:rPr>
          <w:rFonts w:asciiTheme="minorEastAsia" w:hAnsiTheme="minorEastAsia"/>
          <w:b/>
          <w:bCs/>
          <w:sz w:val="18"/>
          <w:szCs w:val="18"/>
        </w:rPr>
        <w:t>4</w:t>
      </w:r>
      <w:r>
        <w:rPr>
          <w:rFonts w:asciiTheme="minorEastAsia" w:hAnsiTheme="minorEastAsia" w:hint="eastAsia"/>
          <w:b/>
          <w:bCs/>
          <w:sz w:val="18"/>
          <w:szCs w:val="18"/>
        </w:rPr>
        <w:t>.</w:t>
      </w:r>
      <w:r>
        <w:rPr>
          <w:rFonts w:asciiTheme="minorEastAsia" w:hAnsiTheme="minorEastAsia"/>
          <w:b/>
          <w:bCs/>
          <w:sz w:val="18"/>
          <w:szCs w:val="18"/>
        </w:rPr>
        <w:t>认购的价格</w:t>
      </w:r>
    </w:p>
    <w:p w:rsidR="004A6D8C" w:rsidRDefault="00C1729C">
      <w:pPr>
        <w:pStyle w:val="Default"/>
        <w:spacing w:line="360" w:lineRule="auto"/>
        <w:ind w:firstLineChars="200" w:firstLine="360"/>
        <w:rPr>
          <w:rFonts w:asciiTheme="minorEastAsia" w:hAnsiTheme="minorEastAsia"/>
          <w:color w:val="auto"/>
          <w:sz w:val="18"/>
          <w:szCs w:val="18"/>
        </w:rPr>
      </w:pPr>
      <w:r>
        <w:rPr>
          <w:rFonts w:asciiTheme="minorEastAsia" w:eastAsiaTheme="minorEastAsia" w:hAnsiTheme="minorEastAsia" w:hint="eastAsia"/>
          <w:color w:val="auto"/>
          <w:sz w:val="18"/>
          <w:szCs w:val="18"/>
        </w:rPr>
        <w:t>本产品的认购价格为每份理财份额人民币</w:t>
      </w:r>
      <w:r>
        <w:rPr>
          <w:rFonts w:asciiTheme="minorEastAsia" w:eastAsiaTheme="minorEastAsia" w:hAnsiTheme="minorEastAsia"/>
          <w:color w:val="auto"/>
          <w:sz w:val="18"/>
          <w:szCs w:val="18"/>
        </w:rPr>
        <w:t>1.00</w:t>
      </w:r>
      <w:r>
        <w:rPr>
          <w:rFonts w:asciiTheme="minorEastAsia" w:eastAsiaTheme="minorEastAsia" w:hAnsiTheme="minorEastAsia" w:hint="eastAsia"/>
          <w:color w:val="auto"/>
          <w:sz w:val="18"/>
          <w:szCs w:val="18"/>
        </w:rPr>
        <w:t>元。</w:t>
      </w:r>
    </w:p>
    <w:p w:rsidR="004A6D8C" w:rsidRDefault="00C1729C">
      <w:pPr>
        <w:pStyle w:val="Default"/>
        <w:spacing w:line="360" w:lineRule="auto"/>
        <w:ind w:firstLineChars="200" w:firstLine="361"/>
        <w:outlineLvl w:val="2"/>
        <w:rPr>
          <w:rFonts w:asciiTheme="minorEastAsia" w:eastAsiaTheme="minorEastAsia" w:hAnsiTheme="minorEastAsia"/>
          <w:b/>
          <w:color w:val="auto"/>
          <w:sz w:val="18"/>
          <w:szCs w:val="18"/>
        </w:rPr>
      </w:pPr>
      <w:r>
        <w:rPr>
          <w:rFonts w:asciiTheme="minorEastAsia" w:eastAsiaTheme="minorEastAsia" w:hAnsiTheme="minorEastAsia"/>
          <w:b/>
          <w:color w:val="auto"/>
          <w:sz w:val="18"/>
          <w:szCs w:val="18"/>
        </w:rPr>
        <w:t>5</w:t>
      </w:r>
      <w:r>
        <w:rPr>
          <w:rFonts w:asciiTheme="minorEastAsia" w:eastAsiaTheme="minorEastAsia" w:hAnsiTheme="minorEastAsia" w:hint="eastAsia"/>
          <w:b/>
          <w:color w:val="auto"/>
          <w:sz w:val="18"/>
          <w:szCs w:val="18"/>
        </w:rPr>
        <w:t>.认购的费用</w:t>
      </w:r>
    </w:p>
    <w:p w:rsidR="004A6D8C" w:rsidRDefault="00C1729C">
      <w:pPr>
        <w:spacing w:line="360" w:lineRule="auto"/>
        <w:ind w:firstLineChars="200" w:firstLine="360"/>
        <w:rPr>
          <w:bCs/>
          <w:sz w:val="18"/>
          <w:szCs w:val="18"/>
        </w:rPr>
      </w:pPr>
      <w:r>
        <w:rPr>
          <w:rFonts w:asciiTheme="minorEastAsia" w:hAnsiTheme="minorEastAsia" w:hint="eastAsia"/>
          <w:sz w:val="18"/>
          <w:szCs w:val="18"/>
        </w:rPr>
        <w:t>详见</w:t>
      </w:r>
      <w:r>
        <w:rPr>
          <w:rFonts w:asciiTheme="minorEastAsia" w:eastAsiaTheme="minorEastAsia" w:hAnsiTheme="minorEastAsia" w:hint="eastAsia"/>
          <w:sz w:val="18"/>
          <w:szCs w:val="18"/>
        </w:rPr>
        <w:t>《产品说明书》“第二条 理财产品基本情况”</w:t>
      </w:r>
      <w:r>
        <w:rPr>
          <w:rFonts w:hint="eastAsia"/>
          <w:bCs/>
          <w:sz w:val="18"/>
          <w:szCs w:val="18"/>
        </w:rPr>
        <w:t>。</w:t>
      </w:r>
    </w:p>
    <w:p w:rsidR="004A6D8C" w:rsidRDefault="00C1729C">
      <w:pPr>
        <w:spacing w:line="360" w:lineRule="auto"/>
        <w:ind w:firstLineChars="200" w:firstLine="361"/>
        <w:outlineLvl w:val="2"/>
        <w:rPr>
          <w:rFonts w:asciiTheme="minorEastAsia" w:hAnsiTheme="minorEastAsia"/>
          <w:b/>
          <w:bCs/>
          <w:sz w:val="18"/>
          <w:szCs w:val="18"/>
        </w:rPr>
      </w:pPr>
      <w:r>
        <w:rPr>
          <w:rFonts w:asciiTheme="minorEastAsia" w:hAnsiTheme="minorEastAsia"/>
          <w:b/>
          <w:bCs/>
          <w:sz w:val="18"/>
          <w:szCs w:val="18"/>
        </w:rPr>
        <w:t>6.认购份额的计算</w:t>
      </w:r>
      <w:r>
        <w:rPr>
          <w:rFonts w:asciiTheme="minorEastAsia" w:hAnsiTheme="minorEastAsia" w:hint="eastAsia"/>
          <w:b/>
          <w:bCs/>
          <w:sz w:val="18"/>
          <w:szCs w:val="18"/>
        </w:rPr>
        <w:t xml:space="preserve"> </w:t>
      </w:r>
    </w:p>
    <w:p w:rsidR="004A6D8C" w:rsidRDefault="00C1729C">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本产品的认购金额包括认购费用和净认购金额。认购份额的计算公式为：</w:t>
      </w:r>
    </w:p>
    <w:p w:rsidR="004A6D8C" w:rsidRDefault="00C1729C">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净认购金额</w:t>
      </w:r>
      <w:r>
        <w:rPr>
          <w:rFonts w:asciiTheme="minorEastAsia" w:hAnsiTheme="minorEastAsia"/>
          <w:color w:val="auto"/>
          <w:sz w:val="18"/>
          <w:szCs w:val="18"/>
        </w:rPr>
        <w:t>=认购金额/（1+认购费率）</w:t>
      </w:r>
    </w:p>
    <w:p w:rsidR="004A6D8C" w:rsidRDefault="00C1729C">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认购费用</w:t>
      </w:r>
      <w:r>
        <w:rPr>
          <w:rFonts w:asciiTheme="minorEastAsia" w:hAnsiTheme="minorEastAsia"/>
          <w:color w:val="auto"/>
          <w:sz w:val="18"/>
          <w:szCs w:val="18"/>
        </w:rPr>
        <w:t>=认购金额－净认购金额</w:t>
      </w:r>
    </w:p>
    <w:p w:rsidR="004A6D8C" w:rsidRDefault="00C1729C">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认购份额</w:t>
      </w:r>
      <w:r>
        <w:rPr>
          <w:rFonts w:asciiTheme="minorEastAsia" w:hAnsiTheme="minorEastAsia"/>
          <w:color w:val="auto"/>
          <w:sz w:val="18"/>
          <w:szCs w:val="18"/>
        </w:rPr>
        <w:t>=净认购金额/产品份额面值</w:t>
      </w:r>
    </w:p>
    <w:p w:rsidR="004A6D8C" w:rsidRDefault="00C1729C">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上述计算结果均按四舍五入方法，保留到小数点后</w:t>
      </w:r>
      <w:r>
        <w:rPr>
          <w:rFonts w:asciiTheme="minorEastAsia" w:hAnsiTheme="minorEastAsia"/>
          <w:bCs/>
          <w:color w:val="auto"/>
          <w:sz w:val="18"/>
          <w:szCs w:val="18"/>
        </w:rPr>
        <w:t>2</w:t>
      </w:r>
      <w:r>
        <w:rPr>
          <w:rFonts w:asciiTheme="minorEastAsia" w:hAnsiTheme="minorEastAsia" w:hint="eastAsia"/>
          <w:bCs/>
          <w:color w:val="auto"/>
          <w:sz w:val="18"/>
          <w:szCs w:val="18"/>
        </w:rPr>
        <w:t>位，由此产生的收益或损失由理财产品承担。</w:t>
      </w:r>
    </w:p>
    <w:p w:rsidR="004A6D8C" w:rsidRDefault="00C1729C">
      <w:pPr>
        <w:pStyle w:val="Default"/>
        <w:spacing w:line="360" w:lineRule="auto"/>
        <w:ind w:firstLineChars="200" w:firstLine="361"/>
        <w:outlineLvl w:val="2"/>
        <w:rPr>
          <w:rFonts w:asciiTheme="majorEastAsia" w:eastAsiaTheme="majorEastAsia" w:hAnsiTheme="majorEastAsia"/>
          <w:b/>
          <w:color w:val="auto"/>
          <w:sz w:val="18"/>
          <w:szCs w:val="18"/>
        </w:rPr>
      </w:pPr>
      <w:r>
        <w:rPr>
          <w:rFonts w:asciiTheme="majorEastAsia" w:eastAsiaTheme="majorEastAsia" w:hAnsiTheme="majorEastAsia"/>
          <w:b/>
          <w:color w:val="auto"/>
          <w:sz w:val="18"/>
          <w:szCs w:val="18"/>
        </w:rPr>
        <w:t>7</w:t>
      </w:r>
      <w:r>
        <w:rPr>
          <w:rFonts w:asciiTheme="majorEastAsia" w:eastAsiaTheme="majorEastAsia" w:hAnsiTheme="majorEastAsia" w:hint="eastAsia"/>
          <w:b/>
          <w:color w:val="auto"/>
          <w:sz w:val="18"/>
          <w:szCs w:val="18"/>
        </w:rPr>
        <w:t>.认购的起点和追加金额</w:t>
      </w:r>
    </w:p>
    <w:p w:rsidR="004A6D8C" w:rsidRDefault="00C1729C">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详见《产品说明书》“第二条 理财产品基本情况”。</w:t>
      </w:r>
    </w:p>
    <w:p w:rsidR="004A6D8C" w:rsidRDefault="00C1729C">
      <w:pPr>
        <w:pStyle w:val="Default"/>
        <w:spacing w:line="360" w:lineRule="auto"/>
        <w:ind w:firstLineChars="200" w:firstLine="361"/>
        <w:outlineLvl w:val="2"/>
        <w:rPr>
          <w:rFonts w:asciiTheme="minorEastAsia" w:eastAsiaTheme="minorEastAsia" w:hAnsiTheme="minorEastAsia"/>
          <w:b/>
          <w:color w:val="auto"/>
          <w:sz w:val="18"/>
          <w:szCs w:val="18"/>
        </w:rPr>
      </w:pPr>
      <w:r>
        <w:rPr>
          <w:rFonts w:asciiTheme="minorEastAsia" w:eastAsiaTheme="minorEastAsia" w:hAnsiTheme="minorEastAsia"/>
          <w:b/>
          <w:color w:val="auto"/>
          <w:sz w:val="18"/>
          <w:szCs w:val="18"/>
        </w:rPr>
        <w:t>8.认购的数量限制</w:t>
      </w:r>
    </w:p>
    <w:p w:rsidR="004A6D8C" w:rsidRDefault="00C1729C">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lastRenderedPageBreak/>
        <w:t>详见《产品说明书》“第二条 理财产品基本情况”。</w:t>
      </w:r>
    </w:p>
    <w:p w:rsidR="004A6D8C" w:rsidRDefault="00C1729C">
      <w:pPr>
        <w:spacing w:line="360" w:lineRule="auto"/>
        <w:ind w:firstLineChars="200" w:firstLine="361"/>
        <w:outlineLvl w:val="2"/>
        <w:rPr>
          <w:rFonts w:asciiTheme="minorEastAsia" w:hAnsiTheme="minorEastAsia"/>
          <w:b/>
          <w:bCs/>
          <w:sz w:val="18"/>
          <w:szCs w:val="18"/>
        </w:rPr>
      </w:pPr>
      <w:r>
        <w:rPr>
          <w:rFonts w:asciiTheme="minorEastAsia" w:hAnsiTheme="minorEastAsia"/>
          <w:b/>
          <w:bCs/>
          <w:sz w:val="18"/>
          <w:szCs w:val="18"/>
        </w:rPr>
        <w:t>9.募集期认购资金利息的处理</w:t>
      </w:r>
    </w:p>
    <w:p w:rsidR="004A6D8C" w:rsidRDefault="00C1729C">
      <w:pPr>
        <w:spacing w:line="360" w:lineRule="auto"/>
        <w:ind w:firstLineChars="200" w:firstLine="360"/>
        <w:rPr>
          <w:rFonts w:asciiTheme="minorEastAsia" w:hAnsiTheme="minorEastAsia"/>
          <w:bCs/>
          <w:sz w:val="18"/>
          <w:szCs w:val="18"/>
        </w:rPr>
      </w:pPr>
      <w:r>
        <w:rPr>
          <w:rFonts w:asciiTheme="minorEastAsia" w:hAnsiTheme="minorEastAsia" w:hint="eastAsia"/>
          <w:bCs/>
          <w:sz w:val="18"/>
          <w:szCs w:val="18"/>
        </w:rPr>
        <w:t>投资者认购资金在产品认购期内按照活期存款利率计息，但在产品认购期所产生的利息不作为理财资金进入理财运作，不计算理财利益。</w:t>
      </w:r>
    </w:p>
    <w:p w:rsidR="004A6D8C" w:rsidRDefault="00C1729C">
      <w:pPr>
        <w:pStyle w:val="Default"/>
        <w:spacing w:line="360" w:lineRule="auto"/>
        <w:ind w:firstLineChars="200" w:firstLine="361"/>
        <w:outlineLvl w:val="1"/>
        <w:rPr>
          <w:rFonts w:asciiTheme="majorEastAsia" w:eastAsiaTheme="majorEastAsia" w:hAnsiTheme="majorEastAsia"/>
          <w:b/>
          <w:color w:val="auto"/>
          <w:sz w:val="18"/>
          <w:szCs w:val="18"/>
        </w:rPr>
      </w:pPr>
      <w:r>
        <w:rPr>
          <w:rFonts w:asciiTheme="minorEastAsia" w:eastAsiaTheme="minorEastAsia" w:hAnsiTheme="minorEastAsia" w:hint="eastAsia"/>
          <w:b/>
          <w:color w:val="auto"/>
          <w:sz w:val="18"/>
          <w:szCs w:val="18"/>
        </w:rPr>
        <w:t>（二）认购</w:t>
      </w:r>
      <w:r>
        <w:rPr>
          <w:rFonts w:asciiTheme="majorEastAsia" w:eastAsiaTheme="majorEastAsia" w:hAnsiTheme="majorEastAsia" w:hint="eastAsia"/>
          <w:b/>
          <w:color w:val="auto"/>
          <w:sz w:val="18"/>
          <w:szCs w:val="18"/>
        </w:rPr>
        <w:t>的原则</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1.</w:t>
      </w:r>
      <w:r>
        <w:rPr>
          <w:rFonts w:asciiTheme="majorEastAsia" w:eastAsiaTheme="majorEastAsia" w:hAnsiTheme="majorEastAsia"/>
          <w:color w:val="auto"/>
          <w:sz w:val="18"/>
          <w:szCs w:val="18"/>
        </w:rPr>
        <w:t>“</w:t>
      </w:r>
      <w:r>
        <w:rPr>
          <w:rFonts w:asciiTheme="majorEastAsia" w:eastAsiaTheme="majorEastAsia" w:hAnsiTheme="majorEastAsia" w:hint="eastAsia"/>
          <w:color w:val="auto"/>
          <w:sz w:val="18"/>
          <w:szCs w:val="18"/>
        </w:rPr>
        <w:t>金额认购</w:t>
      </w:r>
      <w:r>
        <w:rPr>
          <w:rFonts w:asciiTheme="majorEastAsia" w:eastAsiaTheme="majorEastAsia" w:hAnsiTheme="majorEastAsia"/>
          <w:color w:val="auto"/>
          <w:sz w:val="18"/>
          <w:szCs w:val="18"/>
        </w:rPr>
        <w:t>”</w:t>
      </w:r>
      <w:r>
        <w:rPr>
          <w:rFonts w:asciiTheme="majorEastAsia" w:eastAsiaTheme="majorEastAsia" w:hAnsiTheme="majorEastAsia" w:hint="eastAsia"/>
          <w:color w:val="auto"/>
          <w:sz w:val="18"/>
          <w:szCs w:val="18"/>
        </w:rPr>
        <w:t>原则，即认购以金额申请。</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.认购</w:t>
      </w:r>
      <w:r>
        <w:rPr>
          <w:rFonts w:asciiTheme="majorEastAsia" w:eastAsiaTheme="majorEastAsia" w:hAnsiTheme="majorEastAsia"/>
          <w:color w:val="auto"/>
          <w:sz w:val="18"/>
          <w:szCs w:val="18"/>
        </w:rPr>
        <w:t>申请可以在对应认购期截止前撤销，最终申</w:t>
      </w:r>
      <w:r>
        <w:rPr>
          <w:rFonts w:asciiTheme="majorEastAsia" w:eastAsiaTheme="majorEastAsia" w:hAnsiTheme="majorEastAsia" w:hint="eastAsia"/>
          <w:color w:val="auto"/>
          <w:sz w:val="18"/>
          <w:szCs w:val="18"/>
        </w:rPr>
        <w:t>请</w:t>
      </w:r>
      <w:r>
        <w:rPr>
          <w:rFonts w:asciiTheme="majorEastAsia" w:eastAsiaTheme="majorEastAsia" w:hAnsiTheme="majorEastAsia"/>
          <w:color w:val="auto"/>
          <w:sz w:val="18"/>
          <w:szCs w:val="18"/>
        </w:rPr>
        <w:t>确认情况以投资者在</w:t>
      </w:r>
      <w:r>
        <w:rPr>
          <w:rFonts w:asciiTheme="majorEastAsia" w:eastAsiaTheme="majorEastAsia" w:hAnsiTheme="majorEastAsia" w:hint="eastAsia"/>
          <w:color w:val="auto"/>
          <w:sz w:val="18"/>
          <w:szCs w:val="18"/>
        </w:rPr>
        <w:t>销售机构线下渠道</w:t>
      </w:r>
      <w:r>
        <w:rPr>
          <w:rFonts w:asciiTheme="majorEastAsia" w:eastAsiaTheme="majorEastAsia" w:hAnsiTheme="majorEastAsia"/>
          <w:color w:val="auto"/>
          <w:sz w:val="18"/>
          <w:szCs w:val="18"/>
        </w:rPr>
        <w:t>或线</w:t>
      </w:r>
      <w:proofErr w:type="gramStart"/>
      <w:r>
        <w:rPr>
          <w:rFonts w:asciiTheme="majorEastAsia" w:eastAsiaTheme="majorEastAsia" w:hAnsiTheme="majorEastAsia"/>
          <w:color w:val="auto"/>
          <w:sz w:val="18"/>
          <w:szCs w:val="18"/>
        </w:rPr>
        <w:t>上渠道</w:t>
      </w:r>
      <w:proofErr w:type="gramEnd"/>
      <w:r>
        <w:rPr>
          <w:rFonts w:asciiTheme="majorEastAsia" w:eastAsiaTheme="majorEastAsia" w:hAnsiTheme="majorEastAsia"/>
          <w:color w:val="auto"/>
          <w:sz w:val="18"/>
          <w:szCs w:val="18"/>
        </w:rPr>
        <w:t>确认的结果为准。</w:t>
      </w:r>
    </w:p>
    <w:p w:rsidR="004A6D8C" w:rsidRDefault="00C1729C">
      <w:pPr>
        <w:spacing w:line="360" w:lineRule="auto"/>
        <w:ind w:firstLineChars="150" w:firstLine="271"/>
        <w:outlineLvl w:val="1"/>
        <w:rPr>
          <w:rFonts w:asciiTheme="minorEastAsia" w:eastAsiaTheme="minorEastAsia" w:hAnsiTheme="minorEastAsia"/>
          <w:b/>
          <w:sz w:val="18"/>
          <w:szCs w:val="18"/>
        </w:rPr>
      </w:pPr>
      <w:r>
        <w:rPr>
          <w:rFonts w:asciiTheme="minorEastAsia" w:eastAsiaTheme="minorEastAsia" w:hAnsiTheme="minorEastAsia" w:hint="eastAsia"/>
          <w:b/>
          <w:sz w:val="18"/>
          <w:szCs w:val="18"/>
        </w:rPr>
        <w:t>（三）拒绝或暂停认购的情形</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发生下列情况时，产品管理人可拒绝或暂停接受投资者的认购</w:t>
      </w:r>
      <w:r>
        <w:rPr>
          <w:rFonts w:asciiTheme="majorEastAsia" w:eastAsiaTheme="majorEastAsia" w:hAnsiTheme="majorEastAsia"/>
          <w:color w:val="auto"/>
          <w:sz w:val="18"/>
          <w:szCs w:val="18"/>
        </w:rPr>
        <w:t>申请：</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.因不可抗力导致理财产品无法正常运作。</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.产品管理人和产品托管人的技术保障等异常情况导致理财销售系统或会计系统无法正常运行。</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3</w:t>
      </w:r>
      <w:r>
        <w:rPr>
          <w:rFonts w:asciiTheme="majorEastAsia" w:eastAsiaTheme="majorEastAsia" w:hAnsiTheme="majorEastAsia" w:hint="eastAsia"/>
          <w:color w:val="auto"/>
          <w:sz w:val="18"/>
          <w:szCs w:val="18"/>
        </w:rPr>
        <w:t>.法律法规规定或监管机构认定的其他情形。</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如果投资者的认购申请被拒绝，被拒绝的认购款项将退还给投资者。在暂停认购的情况消除时，产品管理人应及时恢复认购业务的办理。</w:t>
      </w:r>
    </w:p>
    <w:p w:rsidR="004A6D8C" w:rsidRDefault="00C1729C">
      <w:pPr>
        <w:pStyle w:val="Default"/>
        <w:spacing w:line="360" w:lineRule="auto"/>
        <w:ind w:leftChars="100" w:left="210" w:firstLineChars="100" w:firstLine="181"/>
        <w:outlineLvl w:val="1"/>
        <w:rPr>
          <w:rFonts w:asciiTheme="majorEastAsia" w:eastAsiaTheme="majorEastAsia" w:hAnsiTheme="majorEastAsia"/>
          <w:color w:val="auto"/>
          <w:sz w:val="18"/>
          <w:szCs w:val="18"/>
        </w:rPr>
      </w:pPr>
      <w:r>
        <w:rPr>
          <w:rFonts w:asciiTheme="majorEastAsia" w:eastAsiaTheme="majorEastAsia" w:hAnsiTheme="majorEastAsia" w:hint="eastAsia"/>
          <w:b/>
          <w:color w:val="auto"/>
          <w:sz w:val="18"/>
          <w:szCs w:val="18"/>
        </w:rPr>
        <w:t>（四）</w:t>
      </w:r>
      <w:proofErr w:type="gramStart"/>
      <w:r>
        <w:rPr>
          <w:rFonts w:asciiTheme="majorEastAsia" w:eastAsiaTheme="majorEastAsia" w:hAnsiTheme="majorEastAsia" w:hint="eastAsia"/>
          <w:b/>
          <w:color w:val="auto"/>
          <w:sz w:val="18"/>
          <w:szCs w:val="18"/>
        </w:rPr>
        <w:t>日期遇非工作日</w:t>
      </w:r>
      <w:proofErr w:type="gramEnd"/>
      <w:r>
        <w:rPr>
          <w:rFonts w:asciiTheme="majorEastAsia" w:eastAsiaTheme="majorEastAsia" w:hAnsiTheme="majorEastAsia" w:hint="eastAsia"/>
          <w:b/>
          <w:color w:val="auto"/>
          <w:sz w:val="18"/>
          <w:szCs w:val="18"/>
        </w:rPr>
        <w:t>的调整</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前述日期（包括但不限于认购期及</w:t>
      </w:r>
      <w:r>
        <w:rPr>
          <w:rFonts w:asciiTheme="majorEastAsia" w:eastAsiaTheme="majorEastAsia" w:hAnsiTheme="majorEastAsia"/>
          <w:color w:val="auto"/>
          <w:sz w:val="18"/>
          <w:szCs w:val="18"/>
        </w:rPr>
        <w:t>认购确认日</w:t>
      </w:r>
      <w:r>
        <w:rPr>
          <w:rFonts w:asciiTheme="majorEastAsia" w:eastAsiaTheme="majorEastAsia" w:hAnsiTheme="majorEastAsia" w:hint="eastAsia"/>
          <w:color w:val="auto"/>
          <w:sz w:val="18"/>
          <w:szCs w:val="18"/>
        </w:rPr>
        <w:t>等）</w:t>
      </w:r>
      <w:proofErr w:type="gramStart"/>
      <w:r>
        <w:rPr>
          <w:rFonts w:asciiTheme="majorEastAsia" w:eastAsiaTheme="majorEastAsia" w:hAnsiTheme="majorEastAsia" w:hint="eastAsia"/>
          <w:color w:val="auto"/>
          <w:sz w:val="18"/>
          <w:szCs w:val="18"/>
        </w:rPr>
        <w:t>如遇非工作日</w:t>
      </w:r>
      <w:proofErr w:type="gramEnd"/>
      <w:r>
        <w:rPr>
          <w:rFonts w:asciiTheme="majorEastAsia" w:eastAsiaTheme="majorEastAsia" w:hAnsiTheme="majorEastAsia" w:hint="eastAsia"/>
          <w:color w:val="auto"/>
          <w:sz w:val="18"/>
          <w:szCs w:val="18"/>
        </w:rPr>
        <w:t>则产品管理人可做相应调整。产品管理人对上述日期保留变更的权利，调整后的日期以产品管理人发布的公告中所载明的日期为准。</w:t>
      </w:r>
    </w:p>
    <w:p w:rsidR="004A6D8C" w:rsidRDefault="00C1729C">
      <w:pPr>
        <w:pStyle w:val="Default"/>
        <w:spacing w:line="360" w:lineRule="auto"/>
        <w:ind w:firstLineChars="200" w:firstLine="361"/>
        <w:outlineLvl w:val="1"/>
        <w:rPr>
          <w:rFonts w:asciiTheme="minorEastAsia" w:hAnsiTheme="minorEastAsia"/>
          <w:b/>
          <w:bCs/>
          <w:color w:val="auto"/>
          <w:sz w:val="18"/>
          <w:szCs w:val="18"/>
        </w:rPr>
      </w:pPr>
      <w:r>
        <w:rPr>
          <w:rFonts w:asciiTheme="minorEastAsia" w:hAnsiTheme="minorEastAsia" w:hint="eastAsia"/>
          <w:b/>
          <w:bCs/>
          <w:color w:val="auto"/>
          <w:sz w:val="18"/>
          <w:szCs w:val="18"/>
        </w:rPr>
        <w:t>（五）投资者持有理财份额的限额和理财产品总规模限额</w:t>
      </w:r>
    </w:p>
    <w:p w:rsidR="004A6D8C" w:rsidRDefault="00C1729C">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产品管理人有权决定理财份额持有人持有本产品的最高限额、最低限额和本产品的总规模限额。</w:t>
      </w:r>
    </w:p>
    <w:p w:rsidR="004A6D8C" w:rsidRDefault="004A6D8C">
      <w:pPr>
        <w:spacing w:line="360" w:lineRule="auto"/>
        <w:ind w:firstLineChars="200" w:firstLine="360"/>
        <w:rPr>
          <w:rFonts w:asciiTheme="minorEastAsia" w:hAnsiTheme="minorEastAsia"/>
          <w:bCs/>
          <w:sz w:val="18"/>
          <w:szCs w:val="18"/>
        </w:rPr>
      </w:pPr>
    </w:p>
    <w:p w:rsidR="004A6D8C" w:rsidRDefault="00C1729C">
      <w:pPr>
        <w:widowControl/>
        <w:spacing w:line="360" w:lineRule="auto"/>
        <w:jc w:val="left"/>
        <w:rPr>
          <w:rFonts w:asciiTheme="minorEastAsia" w:hAnsiTheme="minorEastAsia"/>
          <w:bCs/>
          <w:sz w:val="18"/>
          <w:szCs w:val="18"/>
        </w:rPr>
      </w:pPr>
      <w:r>
        <w:rPr>
          <w:rFonts w:asciiTheme="minorEastAsia" w:hAnsiTheme="minorEastAsia"/>
          <w:bCs/>
          <w:sz w:val="18"/>
          <w:szCs w:val="18"/>
        </w:rPr>
        <w:br w:type="page"/>
      </w:r>
    </w:p>
    <w:p w:rsidR="004A6D8C" w:rsidRDefault="00C1729C">
      <w:pPr>
        <w:pStyle w:val="1"/>
        <w:spacing w:before="0" w:after="0" w:line="360" w:lineRule="auto"/>
        <w:jc w:val="center"/>
        <w:rPr>
          <w:rFonts w:ascii="Times New Roman"/>
          <w:sz w:val="30"/>
        </w:rPr>
      </w:pPr>
      <w:bookmarkStart w:id="10" w:name="_Toc88747123"/>
      <w:bookmarkStart w:id="11" w:name="_Toc4771"/>
      <w:bookmarkStart w:id="12" w:name="_Toc22074"/>
      <w:bookmarkStart w:id="13" w:name="_Toc29948"/>
      <w:bookmarkStart w:id="14" w:name="_Toc29784"/>
      <w:bookmarkStart w:id="15" w:name="_Toc27226"/>
      <w:bookmarkStart w:id="16" w:name="_Toc3266"/>
      <w:bookmarkStart w:id="17" w:name="_Toc7151"/>
      <w:bookmarkStart w:id="18" w:name="_Toc90742321"/>
      <w:bookmarkStart w:id="19" w:name="_Toc15203"/>
      <w:bookmarkStart w:id="20" w:name="_Toc90742688"/>
      <w:bookmarkStart w:id="21" w:name="_Toc27189"/>
      <w:bookmarkStart w:id="22" w:name="_Toc16265"/>
      <w:bookmarkStart w:id="23" w:name="_Toc90742390"/>
      <w:bookmarkStart w:id="24" w:name="_Toc74065741"/>
      <w:bookmarkStart w:id="25" w:name="_Toc6714"/>
      <w:bookmarkStart w:id="26" w:name="_Toc79154668"/>
      <w:bookmarkEnd w:id="7"/>
      <w:bookmarkEnd w:id="9"/>
      <w:r>
        <w:rPr>
          <w:rFonts w:ascii="Times New Roman"/>
          <w:sz w:val="30"/>
        </w:rPr>
        <w:lastRenderedPageBreak/>
        <w:t>第</w:t>
      </w:r>
      <w:r>
        <w:rPr>
          <w:rFonts w:ascii="Times New Roman" w:hint="eastAsia"/>
          <w:sz w:val="30"/>
        </w:rPr>
        <w:t>四条</w:t>
      </w:r>
      <w:r>
        <w:rPr>
          <w:rFonts w:ascii="Times New Roman"/>
          <w:sz w:val="30"/>
        </w:rPr>
        <w:t xml:space="preserve">  </w:t>
      </w:r>
      <w:r>
        <w:rPr>
          <w:rFonts w:ascii="Times New Roman" w:hint="eastAsia"/>
          <w:sz w:val="30"/>
        </w:rPr>
        <w:t>理财产品的申购与赎回</w:t>
      </w:r>
      <w:bookmarkEnd w:id="10"/>
      <w:bookmarkEnd w:id="11"/>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本产品不设置申购与赎回。</w:t>
      </w:r>
    </w:p>
    <w:p w:rsidR="004A6D8C" w:rsidRDefault="00C1729C">
      <w:pPr>
        <w:widowControl/>
        <w:spacing w:line="360" w:lineRule="auto"/>
        <w:jc w:val="left"/>
        <w:rPr>
          <w:rFonts w:asciiTheme="majorEastAsia" w:eastAsiaTheme="majorEastAsia" w:hAnsiTheme="majorEastAsia"/>
          <w:kern w:val="0"/>
          <w:sz w:val="18"/>
          <w:szCs w:val="18"/>
        </w:rPr>
      </w:pPr>
      <w:r>
        <w:rPr>
          <w:rFonts w:asciiTheme="majorEastAsia" w:eastAsiaTheme="majorEastAsia" w:hAnsiTheme="majorEastAsia"/>
          <w:sz w:val="18"/>
          <w:szCs w:val="18"/>
        </w:rPr>
        <w:br w:type="page"/>
      </w:r>
    </w:p>
    <w:p w:rsidR="004A6D8C" w:rsidRDefault="00C1729C">
      <w:pPr>
        <w:pStyle w:val="1"/>
        <w:spacing w:before="0" w:after="0" w:line="360" w:lineRule="auto"/>
        <w:jc w:val="center"/>
        <w:rPr>
          <w:rFonts w:ascii="Times New Roman"/>
          <w:sz w:val="30"/>
        </w:rPr>
      </w:pPr>
      <w:bookmarkStart w:id="27" w:name="_Toc88747124"/>
      <w:r>
        <w:rPr>
          <w:rFonts w:ascii="Times New Roman"/>
          <w:sz w:val="30"/>
        </w:rPr>
        <w:lastRenderedPageBreak/>
        <w:t>第五</w:t>
      </w:r>
      <w:r>
        <w:rPr>
          <w:rFonts w:ascii="Times New Roman" w:hint="eastAsia"/>
          <w:sz w:val="30"/>
        </w:rPr>
        <w:t>条</w:t>
      </w:r>
      <w:r>
        <w:rPr>
          <w:rFonts w:ascii="Times New Roman"/>
          <w:sz w:val="30"/>
        </w:rPr>
        <w:t xml:space="preserve">  </w:t>
      </w:r>
      <w:r>
        <w:rPr>
          <w:rFonts w:ascii="Times New Roman" w:hint="eastAsia"/>
          <w:sz w:val="30"/>
        </w:rPr>
        <w:t>理财产品的投资</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rsidR="004A6D8C" w:rsidRDefault="00C1729C">
      <w:pPr>
        <w:pStyle w:val="Default"/>
        <w:spacing w:line="360" w:lineRule="auto"/>
        <w:ind w:firstLineChars="200" w:firstLine="361"/>
        <w:outlineLvl w:val="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（一）投资目标</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在严格控制组合风险的前提下，通过不断优化组合，力争实现超越业绩比较基准的收益。</w:t>
      </w:r>
    </w:p>
    <w:p w:rsidR="004A6D8C" w:rsidRDefault="00C1729C">
      <w:pPr>
        <w:pStyle w:val="Default"/>
        <w:spacing w:line="360" w:lineRule="auto"/>
        <w:ind w:firstLineChars="200" w:firstLine="361"/>
        <w:outlineLvl w:val="1"/>
        <w:rPr>
          <w:rFonts w:asciiTheme="majorEastAsia" w:eastAsiaTheme="majorEastAsia" w:hAnsiTheme="majorEastAsia"/>
          <w:bCs/>
          <w:color w:val="auto"/>
          <w:sz w:val="18"/>
          <w:szCs w:val="18"/>
        </w:rPr>
      </w:pPr>
      <w:r>
        <w:rPr>
          <w:rFonts w:asciiTheme="majorEastAsia" w:eastAsiaTheme="majorEastAsia" w:hAnsiTheme="majorEastAsia" w:hint="eastAsia"/>
          <w:b/>
          <w:color w:val="auto"/>
          <w:sz w:val="18"/>
          <w:szCs w:val="18"/>
        </w:rPr>
        <w:t>（二）投资范围和比例</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1.投资</w:t>
      </w:r>
      <w:r>
        <w:rPr>
          <w:rFonts w:asciiTheme="majorEastAsia" w:eastAsiaTheme="majorEastAsia" w:hAnsiTheme="majorEastAsia"/>
          <w:bCs/>
          <w:sz w:val="18"/>
          <w:szCs w:val="18"/>
        </w:rPr>
        <w:t>范围</w:t>
      </w:r>
    </w:p>
    <w:p w:rsidR="004A6D8C" w:rsidRDefault="00C1729C">
      <w:pPr>
        <w:autoSpaceDE w:val="0"/>
        <w:autoSpaceDN w:val="0"/>
        <w:adjustRightInd w:val="0"/>
        <w:spacing w:line="360" w:lineRule="auto"/>
        <w:ind w:firstLineChars="235" w:firstLine="423"/>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w:t>
      </w:r>
      <w:r>
        <w:rPr>
          <w:rFonts w:asciiTheme="majorEastAsia" w:eastAsiaTheme="majorEastAsia" w:hAnsiTheme="majorEastAsia"/>
          <w:bCs/>
          <w:sz w:val="18"/>
          <w:szCs w:val="18"/>
        </w:rPr>
        <w:t>主要投资范围包括但不限于</w:t>
      </w:r>
      <w:r>
        <w:rPr>
          <w:rFonts w:asciiTheme="majorEastAsia" w:eastAsiaTheme="majorEastAsia" w:hAnsiTheme="majorEastAsia" w:hint="eastAsia"/>
          <w:bCs/>
          <w:sz w:val="18"/>
          <w:szCs w:val="18"/>
        </w:rPr>
        <w:t>（实际投资范围可根据法律法规及监管规定进行调整）</w:t>
      </w:r>
      <w:r>
        <w:rPr>
          <w:rFonts w:asciiTheme="majorEastAsia" w:eastAsiaTheme="majorEastAsia" w:hAnsiTheme="majorEastAsia"/>
          <w:bCs/>
          <w:sz w:val="18"/>
          <w:szCs w:val="18"/>
        </w:rPr>
        <w:t>：</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（1）银行存款、债券逆回购、货币基金等货币市场工具及其它银行间和交易所资金融通工具；</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（2）国债、金融债、地方政府债、央行票据、同业存单、短期融资</w:t>
      </w:r>
      <w:proofErr w:type="gramStart"/>
      <w:r>
        <w:rPr>
          <w:rFonts w:asciiTheme="majorEastAsia" w:eastAsiaTheme="majorEastAsia" w:hAnsiTheme="majorEastAsia" w:hint="eastAsia"/>
          <w:bCs/>
          <w:sz w:val="18"/>
          <w:szCs w:val="18"/>
        </w:rPr>
        <w:t>券</w:t>
      </w:r>
      <w:proofErr w:type="gramEnd"/>
      <w:r>
        <w:rPr>
          <w:rFonts w:asciiTheme="majorEastAsia" w:eastAsiaTheme="majorEastAsia" w:hAnsiTheme="majorEastAsia" w:hint="eastAsia"/>
          <w:bCs/>
          <w:sz w:val="18"/>
          <w:szCs w:val="18"/>
        </w:rPr>
        <w:t>、超短期融资</w:t>
      </w:r>
      <w:proofErr w:type="gramStart"/>
      <w:r>
        <w:rPr>
          <w:rFonts w:asciiTheme="majorEastAsia" w:eastAsiaTheme="majorEastAsia" w:hAnsiTheme="majorEastAsia" w:hint="eastAsia"/>
          <w:bCs/>
          <w:sz w:val="18"/>
          <w:szCs w:val="18"/>
        </w:rPr>
        <w:t>券</w:t>
      </w:r>
      <w:proofErr w:type="gramEnd"/>
      <w:r>
        <w:rPr>
          <w:rFonts w:asciiTheme="majorEastAsia" w:eastAsiaTheme="majorEastAsia" w:hAnsiTheme="majorEastAsia" w:hint="eastAsia"/>
          <w:bCs/>
          <w:sz w:val="18"/>
          <w:szCs w:val="18"/>
        </w:rPr>
        <w:t>、中期票据、企业债、公司债、非公开定向债务融资工具、项目收益债、项目收益票据、资产支持证券、次级债、可转债、可交换债等银行间和交易所市场债券及债务融资工具，以及其他固定收益类投资工具等。</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（3）债券借贷等。</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）投资于上述资产的符合监管要求的公募基金、基金公司或子公司资产管理计划、证券公司资产管理计划、保险资产管理计划及信托计划等。</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）其他风险不高于前述资产的资产。</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在遵守相关法律法规、监管规则及本说明书约定，避免不公平交易、利益输送等违法违规行为的前提下，投资者知晓并同意本产品可能投资产品管理人/托管人及其关联方发行、承销、管理的符合本产品投资范围规定的资产，本产品可能与产品管理人/托管人及其关联方、产品管理人/托管人及其关联方管理的投资组合之间互为交易对手或从事其他类型的关联交易。</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.投资组合比例：</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本产品投资于</w:t>
      </w:r>
      <w:r>
        <w:rPr>
          <w:rFonts w:ascii="宋体" w:hAnsi="宋体" w:hint="eastAsia"/>
          <w:bCs/>
          <w:sz w:val="18"/>
          <w:szCs w:val="18"/>
        </w:rPr>
        <w:t>债权类</w:t>
      </w:r>
      <w:r>
        <w:rPr>
          <w:rFonts w:asciiTheme="majorEastAsia" w:eastAsiaTheme="majorEastAsia" w:hAnsiTheme="majorEastAsia" w:hint="eastAsia"/>
          <w:bCs/>
          <w:sz w:val="18"/>
          <w:szCs w:val="18"/>
        </w:rPr>
        <w:t>资产的比例不低于产品总资产的80%。</w:t>
      </w:r>
      <w:r>
        <w:rPr>
          <w:rFonts w:asciiTheme="majorEastAsia" w:eastAsiaTheme="majorEastAsia" w:hAnsiTheme="majorEastAsia"/>
          <w:bCs/>
          <w:sz w:val="18"/>
          <w:szCs w:val="18"/>
        </w:rPr>
        <w:t xml:space="preserve"> </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（2）债券借贷等衍生品占产品总资产比例不高于20%。</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注：本产品可能投资不存在活跃交易市场，并且需要采用估值技术确定公允价值的资产，且投资上述资产的比例达到理财产品净资产50%以上。</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本产品存续期间，</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将</w:t>
      </w:r>
      <w:r>
        <w:rPr>
          <w:rFonts w:asciiTheme="majorEastAsia" w:eastAsiaTheme="majorEastAsia" w:hAnsiTheme="majorEastAsia" w:hint="eastAsia"/>
          <w:bCs/>
          <w:sz w:val="18"/>
          <w:szCs w:val="18"/>
        </w:rPr>
        <w:t>依约定公告理财投资对象与投资比例。</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.如果法律法规对本协议约定投资组合比例限制进行变更的，以变更后的规定为准。</w:t>
      </w:r>
    </w:p>
    <w:p w:rsidR="004A6D8C" w:rsidRDefault="00C1729C">
      <w:pPr>
        <w:spacing w:line="360" w:lineRule="auto"/>
        <w:ind w:firstLineChars="200" w:firstLine="361"/>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特别提示：</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产品管理人应当自产品成立日起【</w:t>
      </w:r>
      <w:r>
        <w:rPr>
          <w:rFonts w:ascii="黑体" w:eastAsia="黑体" w:hAnsi="黑体"/>
          <w:bCs/>
          <w:sz w:val="18"/>
          <w:szCs w:val="18"/>
        </w:rPr>
        <w:t>3】</w:t>
      </w:r>
      <w:proofErr w:type="gramStart"/>
      <w:r>
        <w:rPr>
          <w:rFonts w:ascii="黑体" w:eastAsia="黑体" w:hAnsi="黑体" w:hint="eastAsia"/>
          <w:bCs/>
          <w:sz w:val="18"/>
          <w:szCs w:val="18"/>
        </w:rPr>
        <w:t>个</w:t>
      </w:r>
      <w:proofErr w:type="gramEnd"/>
      <w:r>
        <w:rPr>
          <w:rFonts w:ascii="黑体" w:eastAsia="黑体" w:hAnsi="黑体" w:hint="eastAsia"/>
          <w:bCs/>
          <w:sz w:val="18"/>
          <w:szCs w:val="18"/>
        </w:rPr>
        <w:t>月内</w:t>
      </w:r>
      <w:r>
        <w:rPr>
          <w:rFonts w:asciiTheme="majorEastAsia" w:eastAsiaTheme="majorEastAsia" w:hAnsiTheme="majorEastAsia" w:hint="eastAsia"/>
          <w:bCs/>
          <w:sz w:val="18"/>
          <w:szCs w:val="18"/>
        </w:rPr>
        <w:t>使产品的投资组合比例符合本协议的有关约定，</w:t>
      </w:r>
      <w:r>
        <w:rPr>
          <w:rFonts w:asciiTheme="majorEastAsia" w:eastAsiaTheme="majorEastAsia" w:hAnsiTheme="majorEastAsia"/>
          <w:bCs/>
          <w:sz w:val="18"/>
          <w:szCs w:val="18"/>
        </w:rPr>
        <w:t>上述</w:t>
      </w:r>
      <w:r>
        <w:rPr>
          <w:rFonts w:asciiTheme="majorEastAsia" w:eastAsiaTheme="majorEastAsia" w:hAnsiTheme="majorEastAsia" w:hint="eastAsia"/>
          <w:bCs/>
          <w:sz w:val="18"/>
          <w:szCs w:val="18"/>
        </w:rPr>
        <w:t>期间</w:t>
      </w:r>
      <w:r>
        <w:rPr>
          <w:rFonts w:asciiTheme="majorEastAsia" w:eastAsiaTheme="majorEastAsia" w:hAnsiTheme="majorEastAsia"/>
          <w:bCs/>
          <w:sz w:val="18"/>
          <w:szCs w:val="18"/>
        </w:rPr>
        <w:t>内</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本产品的投资</w:t>
      </w:r>
      <w:r>
        <w:rPr>
          <w:rFonts w:asciiTheme="majorEastAsia" w:eastAsiaTheme="majorEastAsia" w:hAnsiTheme="majorEastAsia" w:hint="eastAsia"/>
          <w:bCs/>
          <w:sz w:val="18"/>
          <w:szCs w:val="18"/>
        </w:rPr>
        <w:t>范围、投资</w:t>
      </w:r>
      <w:r>
        <w:rPr>
          <w:rFonts w:asciiTheme="majorEastAsia" w:eastAsiaTheme="majorEastAsia" w:hAnsiTheme="majorEastAsia"/>
          <w:bCs/>
          <w:sz w:val="18"/>
          <w:szCs w:val="18"/>
        </w:rPr>
        <w:t>策略</w:t>
      </w:r>
      <w:r>
        <w:rPr>
          <w:rFonts w:asciiTheme="majorEastAsia" w:eastAsiaTheme="majorEastAsia" w:hAnsiTheme="majorEastAsia" w:hint="eastAsia"/>
          <w:bCs/>
          <w:sz w:val="18"/>
          <w:szCs w:val="18"/>
        </w:rPr>
        <w:t>应当符合本协议</w:t>
      </w:r>
      <w:r>
        <w:rPr>
          <w:rFonts w:asciiTheme="majorEastAsia" w:eastAsiaTheme="majorEastAsia" w:hAnsiTheme="majorEastAsia"/>
          <w:bCs/>
          <w:sz w:val="18"/>
          <w:szCs w:val="18"/>
        </w:rPr>
        <w:t>的</w:t>
      </w:r>
      <w:r>
        <w:rPr>
          <w:rFonts w:asciiTheme="majorEastAsia" w:eastAsiaTheme="majorEastAsia" w:hAnsiTheme="majorEastAsia" w:hint="eastAsia"/>
          <w:bCs/>
          <w:sz w:val="18"/>
          <w:szCs w:val="18"/>
        </w:rPr>
        <w:t>约定</w:t>
      </w:r>
      <w:r>
        <w:rPr>
          <w:rFonts w:asciiTheme="majorEastAsia" w:eastAsiaTheme="majorEastAsia" w:hAnsiTheme="majorEastAsia"/>
          <w:bCs/>
          <w:sz w:val="18"/>
          <w:szCs w:val="18"/>
        </w:rPr>
        <w:t>。</w:t>
      </w:r>
      <w:r>
        <w:rPr>
          <w:rFonts w:asciiTheme="majorEastAsia" w:eastAsiaTheme="majorEastAsia" w:hAnsiTheme="majorEastAsia" w:hint="eastAsia"/>
          <w:bCs/>
          <w:sz w:val="18"/>
          <w:szCs w:val="18"/>
        </w:rPr>
        <w:t>产品管理人将本着诚实信用、谨慎勤勉的原则，在规定的范围内运用理财资金进行投资。</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lastRenderedPageBreak/>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金融市场发生重大变化导致理财产品投资比例暂时超出浮动区间且可能对理财产品收益产生重大影响的，产品管理人依约</w:t>
      </w:r>
      <w:proofErr w:type="gramStart"/>
      <w:r>
        <w:rPr>
          <w:rFonts w:asciiTheme="majorEastAsia" w:eastAsiaTheme="majorEastAsia" w:hAnsiTheme="majorEastAsia" w:hint="eastAsia"/>
          <w:bCs/>
          <w:sz w:val="18"/>
          <w:szCs w:val="18"/>
        </w:rPr>
        <w:t>定及时</w:t>
      </w:r>
      <w:proofErr w:type="gramEnd"/>
      <w:r>
        <w:rPr>
          <w:rFonts w:asciiTheme="majorEastAsia" w:eastAsiaTheme="majorEastAsia" w:hAnsiTheme="majorEastAsia" w:hint="eastAsia"/>
          <w:bCs/>
          <w:sz w:val="18"/>
          <w:szCs w:val="18"/>
        </w:rPr>
        <w:t>向投资者进行信息披露。</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hAnsi="宋体" w:hint="eastAsia"/>
          <w:sz w:val="18"/>
          <w:szCs w:val="18"/>
        </w:rPr>
        <w:t>★</w:t>
      </w:r>
      <w:r>
        <w:rPr>
          <w:rFonts w:ascii="黑体" w:eastAsia="黑体" w:hAnsi="黑体" w:hint="eastAsia"/>
          <w:bCs/>
          <w:sz w:val="18"/>
          <w:szCs w:val="18"/>
        </w:rPr>
        <w:t>产品管理人应当根据市场情况调整投资范围、投资资产种类或投资比例，并进行相应公告。超出前述约定投资比例的，高风险类型的理财产品可超出比例范围投资较低风险资产，且</w:t>
      </w:r>
      <w:r>
        <w:rPr>
          <w:rFonts w:ascii="黑体" w:eastAsia="黑体" w:hAnsi="黑体"/>
          <w:bCs/>
          <w:sz w:val="18"/>
          <w:szCs w:val="18"/>
        </w:rPr>
        <w:t>无需投资者</w:t>
      </w:r>
      <w:r>
        <w:rPr>
          <w:rFonts w:ascii="黑体" w:eastAsia="黑体" w:hAnsi="黑体" w:hint="eastAsia"/>
          <w:bCs/>
          <w:sz w:val="18"/>
          <w:szCs w:val="18"/>
        </w:rPr>
        <w:t>书面</w:t>
      </w:r>
      <w:r>
        <w:rPr>
          <w:rFonts w:ascii="黑体" w:eastAsia="黑体" w:hAnsi="黑体"/>
          <w:bCs/>
          <w:sz w:val="18"/>
          <w:szCs w:val="18"/>
        </w:rPr>
        <w:t>同意</w:t>
      </w:r>
      <w:r>
        <w:rPr>
          <w:rFonts w:ascii="黑体" w:eastAsia="黑体" w:hAnsi="黑体" w:hint="eastAsia"/>
          <w:bCs/>
          <w:sz w:val="18"/>
          <w:szCs w:val="18"/>
        </w:rPr>
        <w:t>。</w:t>
      </w:r>
    </w:p>
    <w:p w:rsidR="004A6D8C" w:rsidRDefault="00C1729C">
      <w:pPr>
        <w:pStyle w:val="Default"/>
        <w:spacing w:line="360" w:lineRule="auto"/>
        <w:ind w:firstLineChars="200" w:firstLine="360"/>
        <w:jc w:val="both"/>
        <w:rPr>
          <w:rFonts w:asciiTheme="majorEastAsia" w:eastAsiaTheme="majorEastAsia" w:hAnsiTheme="majorEastAsia"/>
          <w:bCs/>
          <w:sz w:val="18"/>
          <w:szCs w:val="18"/>
        </w:rPr>
      </w:pPr>
      <w:r>
        <w:rPr>
          <w:rFonts w:ascii="黑体" w:eastAsia="黑体" w:hAnsi="黑体" w:hint="eastAsia"/>
          <w:bCs/>
          <w:sz w:val="18"/>
          <w:szCs w:val="18"/>
        </w:rPr>
        <w:t>（</w:t>
      </w:r>
      <w:r>
        <w:rPr>
          <w:rFonts w:ascii="黑体" w:eastAsia="黑体" w:hAnsi="黑体"/>
          <w:bCs/>
          <w:sz w:val="18"/>
          <w:szCs w:val="18"/>
        </w:rPr>
        <w:t>4）</w:t>
      </w:r>
      <w:r>
        <w:rPr>
          <w:rFonts w:hAnsi="宋体" w:hint="eastAsia"/>
          <w:sz w:val="18"/>
          <w:szCs w:val="18"/>
        </w:rPr>
        <w:t>★</w:t>
      </w:r>
      <w:r>
        <w:rPr>
          <w:rFonts w:ascii="黑体" w:eastAsia="黑体" w:hAnsi="黑体" w:hint="eastAsia"/>
          <w:bCs/>
          <w:sz w:val="18"/>
          <w:szCs w:val="18"/>
        </w:rPr>
        <w:t>产品管理人</w:t>
      </w:r>
      <w:r>
        <w:rPr>
          <w:rFonts w:ascii="黑体" w:eastAsia="黑体" w:hAnsi="黑体"/>
          <w:bCs/>
          <w:sz w:val="18"/>
          <w:szCs w:val="18"/>
        </w:rPr>
        <w:t>按照法律法规、</w:t>
      </w:r>
      <w:r>
        <w:rPr>
          <w:rFonts w:ascii="黑体" w:eastAsia="黑体" w:hAnsi="黑体" w:hint="eastAsia"/>
          <w:bCs/>
          <w:sz w:val="18"/>
          <w:szCs w:val="18"/>
        </w:rPr>
        <w:t>理财产品</w:t>
      </w:r>
      <w:r>
        <w:rPr>
          <w:rFonts w:ascii="黑体" w:eastAsia="黑体" w:hAnsi="黑体"/>
          <w:bCs/>
          <w:sz w:val="18"/>
          <w:szCs w:val="18"/>
        </w:rPr>
        <w:t>销售文件及其他相关约定，诚实信用、谨慎勤勉地实施投资管理行为，以专业技能管理理财</w:t>
      </w:r>
      <w:r>
        <w:rPr>
          <w:rFonts w:ascii="黑体" w:eastAsia="黑体" w:hAnsi="黑体" w:hint="eastAsia"/>
          <w:bCs/>
          <w:sz w:val="18"/>
          <w:szCs w:val="18"/>
        </w:rPr>
        <w:t>产品</w:t>
      </w:r>
      <w:r>
        <w:rPr>
          <w:rFonts w:ascii="黑体" w:eastAsia="黑体" w:hAnsi="黑体"/>
          <w:bCs/>
          <w:sz w:val="18"/>
          <w:szCs w:val="18"/>
        </w:rPr>
        <w:t>资产，依法维护理财产品全体投资者的利益。</w:t>
      </w:r>
      <w:r>
        <w:rPr>
          <w:rFonts w:ascii="黑体" w:eastAsia="黑体" w:hAnsi="黑体" w:hint="eastAsia"/>
          <w:bCs/>
          <w:sz w:val="18"/>
          <w:szCs w:val="18"/>
        </w:rPr>
        <w:t>产品管理人</w:t>
      </w:r>
      <w:r>
        <w:rPr>
          <w:rFonts w:ascii="黑体" w:eastAsia="黑体" w:hAnsi="黑体"/>
          <w:bCs/>
          <w:sz w:val="18"/>
          <w:szCs w:val="18"/>
        </w:rPr>
        <w:t>不对本产品的收益情况</w:t>
      </w:r>
      <w:proofErr w:type="gramStart"/>
      <w:r>
        <w:rPr>
          <w:rFonts w:ascii="黑体" w:eastAsia="黑体" w:hAnsi="黑体"/>
          <w:bCs/>
          <w:sz w:val="18"/>
          <w:szCs w:val="18"/>
        </w:rPr>
        <w:t>作出</w:t>
      </w:r>
      <w:proofErr w:type="gramEnd"/>
      <w:r>
        <w:rPr>
          <w:rFonts w:ascii="黑体" w:eastAsia="黑体" w:hAnsi="黑体"/>
          <w:bCs/>
          <w:sz w:val="18"/>
          <w:szCs w:val="18"/>
        </w:rPr>
        <w:t>承诺或保证，亦不会承诺或保证最低收益或本金安全。</w:t>
      </w:r>
      <w:r>
        <w:rPr>
          <w:rFonts w:ascii="黑体" w:eastAsia="黑体" w:hAnsi="黑体" w:hint="eastAsia"/>
          <w:bCs/>
          <w:sz w:val="18"/>
          <w:szCs w:val="18"/>
        </w:rPr>
        <w:t>产品管理人</w:t>
      </w:r>
      <w:r>
        <w:rPr>
          <w:rFonts w:ascii="黑体" w:eastAsia="黑体" w:hAnsi="黑体"/>
          <w:bCs/>
          <w:sz w:val="18"/>
          <w:szCs w:val="18"/>
        </w:rPr>
        <w:t>按照本</w:t>
      </w:r>
      <w:r>
        <w:rPr>
          <w:rFonts w:ascii="黑体" w:eastAsia="黑体" w:hAnsi="黑体" w:hint="eastAsia"/>
          <w:bCs/>
          <w:sz w:val="18"/>
          <w:szCs w:val="18"/>
        </w:rPr>
        <w:t>协议</w:t>
      </w:r>
      <w:r>
        <w:rPr>
          <w:rFonts w:ascii="黑体" w:eastAsia="黑体" w:hAnsi="黑体"/>
          <w:bCs/>
          <w:sz w:val="18"/>
          <w:szCs w:val="18"/>
        </w:rPr>
        <w:t>及其他相关</w:t>
      </w:r>
      <w:r>
        <w:rPr>
          <w:rFonts w:ascii="黑体" w:eastAsia="黑体" w:hAnsi="黑体" w:hint="eastAsia"/>
          <w:bCs/>
          <w:sz w:val="18"/>
          <w:szCs w:val="18"/>
        </w:rPr>
        <w:t>文件</w:t>
      </w:r>
      <w:r>
        <w:rPr>
          <w:rFonts w:ascii="黑体" w:eastAsia="黑体" w:hAnsi="黑体"/>
          <w:bCs/>
          <w:sz w:val="18"/>
          <w:szCs w:val="18"/>
        </w:rPr>
        <w:t>的规定进行投资运作，由此所产生的损失，</w:t>
      </w:r>
      <w:r>
        <w:rPr>
          <w:rFonts w:ascii="黑体" w:eastAsia="黑体" w:hAnsi="黑体" w:hint="eastAsia"/>
          <w:bCs/>
          <w:sz w:val="18"/>
          <w:szCs w:val="18"/>
        </w:rPr>
        <w:t>产品管理人</w:t>
      </w:r>
      <w:r>
        <w:rPr>
          <w:rFonts w:ascii="黑体" w:eastAsia="黑体" w:hAnsi="黑体"/>
          <w:bCs/>
          <w:sz w:val="18"/>
          <w:szCs w:val="18"/>
        </w:rPr>
        <w:t>不承担</w:t>
      </w:r>
      <w:r>
        <w:rPr>
          <w:rFonts w:ascii="黑体" w:eastAsia="黑体" w:hAnsi="黑体" w:hint="eastAsia"/>
          <w:bCs/>
          <w:sz w:val="18"/>
          <w:szCs w:val="18"/>
        </w:rPr>
        <w:t>责任</w:t>
      </w:r>
      <w:r>
        <w:rPr>
          <w:rFonts w:ascii="黑体" w:eastAsia="黑体" w:hAnsi="黑体"/>
          <w:bCs/>
          <w:sz w:val="18"/>
          <w:szCs w:val="18"/>
        </w:rPr>
        <w:t>。</w:t>
      </w:r>
    </w:p>
    <w:p w:rsidR="004A6D8C" w:rsidRDefault="00C1729C">
      <w:pPr>
        <w:pStyle w:val="Default"/>
        <w:spacing w:line="360" w:lineRule="auto"/>
        <w:ind w:firstLineChars="150" w:firstLine="271"/>
        <w:outlineLvl w:val="1"/>
      </w:pPr>
      <w:r>
        <w:rPr>
          <w:rFonts w:asciiTheme="majorEastAsia" w:eastAsiaTheme="majorEastAsia" w:hAnsiTheme="majorEastAsia" w:hint="eastAsia"/>
          <w:b/>
          <w:color w:val="auto"/>
          <w:sz w:val="18"/>
          <w:szCs w:val="18"/>
        </w:rPr>
        <w:t>（三）投资限制</w:t>
      </w:r>
    </w:p>
    <w:p w:rsidR="004A6D8C" w:rsidRDefault="00C1729C">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1.组合限制</w:t>
      </w:r>
    </w:p>
    <w:p w:rsidR="004A6D8C" w:rsidRDefault="00C1729C">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（1）</w:t>
      </w:r>
      <w:r>
        <w:rPr>
          <w:rFonts w:asciiTheme="majorEastAsia" w:eastAsiaTheme="majorEastAsia" w:hAnsiTheme="majorEastAsia" w:hint="eastAsia"/>
          <w:bCs/>
          <w:sz w:val="18"/>
          <w:szCs w:val="18"/>
        </w:rPr>
        <w:t>每只公募理财</w:t>
      </w:r>
      <w:r>
        <w:rPr>
          <w:rFonts w:asciiTheme="majorEastAsia" w:eastAsiaTheme="majorEastAsia" w:hAnsiTheme="majorEastAsia" w:hint="eastAsia"/>
          <w:bCs/>
          <w:kern w:val="0"/>
          <w:sz w:val="18"/>
          <w:szCs w:val="18"/>
        </w:rPr>
        <w:t>产品投资单只证券或者单只公募证券投资基金的市值不得超过该理财产品净资产的10%。</w:t>
      </w:r>
    </w:p>
    <w:p w:rsidR="004A6D8C" w:rsidRDefault="00C1729C">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（2）全部公募理财产品持有单只证券或单只公募证券投资基金的市值，不得超过该证券市值或该公募证券投资基金市值的30%。</w:t>
      </w:r>
    </w:p>
    <w:p w:rsidR="004A6D8C" w:rsidRDefault="00C1729C">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w:t>
      </w:r>
      <w:r>
        <w:rPr>
          <w:rFonts w:asciiTheme="majorEastAsia" w:eastAsiaTheme="majorEastAsia" w:hAnsiTheme="majorEastAsia"/>
          <w:bCs/>
          <w:kern w:val="0"/>
          <w:sz w:val="18"/>
          <w:szCs w:val="18"/>
        </w:rPr>
        <w:t>3</w:t>
      </w:r>
      <w:r>
        <w:rPr>
          <w:rFonts w:asciiTheme="majorEastAsia" w:eastAsiaTheme="majorEastAsia" w:hAnsiTheme="majorEastAsia" w:hint="eastAsia"/>
          <w:bCs/>
          <w:kern w:val="0"/>
          <w:sz w:val="18"/>
          <w:szCs w:val="18"/>
        </w:rPr>
        <w:t>）本产品因为流动性需要可开展存单质押、债券正回购等融资业务，本产品总资产不超过净资产的200%。</w:t>
      </w:r>
    </w:p>
    <w:p w:rsidR="004A6D8C" w:rsidRDefault="00C1729C">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sz w:val="18"/>
          <w:szCs w:val="18"/>
        </w:rPr>
        <w:t>非因产品管理人主观因素导致突破前述比例限制的，产品管理人应当在流动性受限资产可出售、可转让或者恢复交易的</w:t>
      </w:r>
      <w:r>
        <w:rPr>
          <w:rFonts w:asciiTheme="majorEastAsia" w:eastAsiaTheme="majorEastAsia" w:hAnsiTheme="majorEastAsia"/>
          <w:bCs/>
          <w:sz w:val="18"/>
          <w:szCs w:val="18"/>
        </w:rPr>
        <w:t>10个交易日内调整至符合要求，监管机构规定的特殊情形除外。本</w:t>
      </w:r>
      <w:r>
        <w:rPr>
          <w:rFonts w:asciiTheme="majorEastAsia" w:eastAsiaTheme="majorEastAsia" w:hAnsiTheme="majorEastAsia" w:hint="eastAsia"/>
          <w:bCs/>
          <w:kern w:val="0"/>
          <w:sz w:val="18"/>
          <w:szCs w:val="18"/>
        </w:rPr>
        <w:t>产品投资于国债、地方政府债券、中央银行票据、政府机构债券、政策性金融债券以及完全按照有关指数的构成比例进行投资的除外。</w:t>
      </w:r>
    </w:p>
    <w:p w:rsidR="004A6D8C" w:rsidRDefault="00C1729C">
      <w:pPr>
        <w:spacing w:line="360" w:lineRule="auto"/>
        <w:ind w:firstLineChars="200" w:firstLine="360"/>
        <w:rPr>
          <w:rFonts w:ascii="宋体" w:hAnsi="宋体"/>
          <w:bCs/>
          <w:sz w:val="18"/>
          <w:szCs w:val="18"/>
        </w:rPr>
      </w:pPr>
      <w:r>
        <w:rPr>
          <w:rFonts w:ascii="宋体" w:hAnsi="宋体"/>
          <w:bCs/>
          <w:sz w:val="18"/>
          <w:szCs w:val="18"/>
        </w:rPr>
        <w:t>2.</w:t>
      </w:r>
      <w:r>
        <w:rPr>
          <w:rFonts w:ascii="宋体" w:hAnsi="宋体" w:hint="eastAsia"/>
          <w:bCs/>
          <w:sz w:val="18"/>
          <w:szCs w:val="18"/>
        </w:rPr>
        <w:t>其他投资限制：</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1</w:t>
      </w:r>
      <w:r>
        <w:rPr>
          <w:rFonts w:ascii="宋体" w:hAnsi="宋体" w:hint="eastAsia"/>
          <w:bCs/>
          <w:sz w:val="18"/>
          <w:szCs w:val="18"/>
        </w:rPr>
        <w:t>）不得直接投资于信贷资产，不得直接或间接投资于兴业银行信贷资产，不得直接或间接投资于本产品管理人发行的理财产品，不得直接或间接投资于兴业银行发行的次级</w:t>
      </w:r>
      <w:proofErr w:type="gramStart"/>
      <w:r>
        <w:rPr>
          <w:rFonts w:ascii="宋体" w:hAnsi="宋体" w:hint="eastAsia"/>
          <w:bCs/>
          <w:sz w:val="18"/>
          <w:szCs w:val="18"/>
        </w:rPr>
        <w:t>档</w:t>
      </w:r>
      <w:proofErr w:type="gramEnd"/>
      <w:r>
        <w:rPr>
          <w:rFonts w:ascii="宋体" w:hAnsi="宋体" w:hint="eastAsia"/>
          <w:bCs/>
          <w:sz w:val="18"/>
          <w:szCs w:val="18"/>
        </w:rPr>
        <w:t>信贷资产支持证券。</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2</w:t>
      </w:r>
      <w:r>
        <w:rPr>
          <w:rFonts w:ascii="宋体" w:hAnsi="宋体" w:hint="eastAsia"/>
          <w:bCs/>
          <w:sz w:val="18"/>
          <w:szCs w:val="18"/>
        </w:rPr>
        <w:t>）面向</w:t>
      </w:r>
      <w:proofErr w:type="gramStart"/>
      <w:r>
        <w:rPr>
          <w:rFonts w:ascii="宋体" w:hAnsi="宋体" w:hint="eastAsia"/>
          <w:bCs/>
          <w:sz w:val="18"/>
          <w:szCs w:val="18"/>
        </w:rPr>
        <w:t>非机构</w:t>
      </w:r>
      <w:proofErr w:type="gramEnd"/>
      <w:r>
        <w:rPr>
          <w:rFonts w:ascii="宋体" w:hAnsi="宋体" w:hint="eastAsia"/>
          <w:bCs/>
          <w:sz w:val="18"/>
          <w:szCs w:val="18"/>
        </w:rPr>
        <w:t>投资者发行的理财产品不得直接或间接投资于不良资产、不良资产支持证券，国务院银行业监督管理机构另有规定的除外。</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3</w:t>
      </w:r>
      <w:r>
        <w:rPr>
          <w:rFonts w:ascii="宋体" w:hAnsi="宋体" w:hint="eastAsia"/>
          <w:bCs/>
          <w:sz w:val="18"/>
          <w:szCs w:val="18"/>
        </w:rPr>
        <w:t>）不得直接或间接投资于《商业银行理财业务监督管理办法》（银保监会令</w:t>
      </w:r>
      <w:r>
        <w:rPr>
          <w:rFonts w:ascii="宋体" w:hAnsi="宋体"/>
          <w:bCs/>
          <w:sz w:val="18"/>
          <w:szCs w:val="18"/>
        </w:rPr>
        <w:t>2018年第6号）第三十五条所列示资产之外，由未经金融监督管理部门许可设立、</w:t>
      </w:r>
      <w:proofErr w:type="gramStart"/>
      <w:r>
        <w:rPr>
          <w:rFonts w:ascii="宋体" w:hAnsi="宋体" w:hint="eastAsia"/>
          <w:bCs/>
          <w:sz w:val="18"/>
          <w:szCs w:val="18"/>
        </w:rPr>
        <w:t>不</w:t>
      </w:r>
      <w:proofErr w:type="gramEnd"/>
      <w:r>
        <w:rPr>
          <w:rFonts w:ascii="宋体" w:hAnsi="宋体" w:hint="eastAsia"/>
          <w:bCs/>
          <w:sz w:val="18"/>
          <w:szCs w:val="18"/>
        </w:rPr>
        <w:t>持有金融牌照的机构发行的产品或管理的资产，金融资产投资公司的附属机构依法依规设立的私</w:t>
      </w:r>
      <w:proofErr w:type="gramStart"/>
      <w:r>
        <w:rPr>
          <w:rFonts w:ascii="宋体" w:hAnsi="宋体" w:hint="eastAsia"/>
          <w:bCs/>
          <w:sz w:val="18"/>
          <w:szCs w:val="18"/>
        </w:rPr>
        <w:t>募股权投资</w:t>
      </w:r>
      <w:proofErr w:type="gramEnd"/>
      <w:r>
        <w:rPr>
          <w:rFonts w:ascii="宋体" w:hAnsi="宋体" w:hint="eastAsia"/>
          <w:bCs/>
          <w:sz w:val="18"/>
          <w:szCs w:val="18"/>
        </w:rPr>
        <w:t>基金以及国务院银行业监督管理机构另有规定的除外。</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lastRenderedPageBreak/>
        <w:t>（</w:t>
      </w:r>
      <w:r>
        <w:rPr>
          <w:rFonts w:ascii="宋体" w:hAnsi="宋体"/>
          <w:bCs/>
          <w:sz w:val="18"/>
          <w:szCs w:val="18"/>
        </w:rPr>
        <w:t>4</w:t>
      </w:r>
      <w:r>
        <w:rPr>
          <w:rFonts w:ascii="宋体" w:hAnsi="宋体" w:hint="eastAsia"/>
          <w:bCs/>
          <w:sz w:val="18"/>
          <w:szCs w:val="18"/>
        </w:rPr>
        <w:t>）不得直接或间接投资于兴业银行信贷资产受（收）益权，面向</w:t>
      </w:r>
      <w:proofErr w:type="gramStart"/>
      <w:r>
        <w:rPr>
          <w:rFonts w:ascii="宋体" w:hAnsi="宋体" w:hint="eastAsia"/>
          <w:bCs/>
          <w:sz w:val="18"/>
          <w:szCs w:val="18"/>
        </w:rPr>
        <w:t>非机构</w:t>
      </w:r>
      <w:proofErr w:type="gramEnd"/>
      <w:r>
        <w:rPr>
          <w:rFonts w:ascii="宋体" w:hAnsi="宋体" w:hint="eastAsia"/>
          <w:bCs/>
          <w:sz w:val="18"/>
          <w:szCs w:val="18"/>
        </w:rPr>
        <w:t>投资者发行的理财产品不得直接或间接投资于不良资产受（收）益权。</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5</w:t>
      </w:r>
      <w:r>
        <w:rPr>
          <w:rFonts w:ascii="宋体" w:hAnsi="宋体" w:hint="eastAsia"/>
          <w:bCs/>
          <w:sz w:val="18"/>
          <w:szCs w:val="18"/>
        </w:rPr>
        <w:t>）其他法律法规规定或监管规定禁止或限制理财产品投资的情形。</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如果法律法规对本</w:t>
      </w:r>
      <w:r>
        <w:rPr>
          <w:rFonts w:asciiTheme="majorEastAsia" w:eastAsiaTheme="majorEastAsia" w:hAnsiTheme="majorEastAsia" w:hint="eastAsia"/>
          <w:bCs/>
          <w:sz w:val="18"/>
          <w:szCs w:val="18"/>
        </w:rPr>
        <w:t>协议</w:t>
      </w:r>
      <w:r>
        <w:rPr>
          <w:rFonts w:asciiTheme="majorEastAsia" w:eastAsiaTheme="majorEastAsia" w:hAnsiTheme="majorEastAsia"/>
          <w:bCs/>
          <w:sz w:val="18"/>
          <w:szCs w:val="18"/>
        </w:rPr>
        <w:t>约定的投资限制进行变更的，以变更后的规定为准。</w:t>
      </w:r>
    </w:p>
    <w:p w:rsidR="004A6D8C" w:rsidRDefault="00C1729C">
      <w:pPr>
        <w:spacing w:line="360" w:lineRule="auto"/>
        <w:ind w:firstLineChars="200" w:firstLine="361"/>
        <w:outlineLvl w:val="1"/>
        <w:rPr>
          <w:rFonts w:asciiTheme="majorEastAsia" w:eastAsiaTheme="majorEastAsia" w:hAnsiTheme="majorEastAsia"/>
          <w:b/>
          <w:bCs/>
          <w:sz w:val="18"/>
          <w:szCs w:val="18"/>
        </w:rPr>
      </w:pPr>
      <w:r>
        <w:rPr>
          <w:rFonts w:asciiTheme="majorEastAsia" w:eastAsiaTheme="majorEastAsia" w:hAnsiTheme="majorEastAsia"/>
          <w:b/>
          <w:bCs/>
          <w:sz w:val="18"/>
          <w:szCs w:val="18"/>
        </w:rPr>
        <w:t>（</w:t>
      </w:r>
      <w:r>
        <w:rPr>
          <w:rFonts w:asciiTheme="majorEastAsia" w:eastAsiaTheme="majorEastAsia" w:hAnsiTheme="majorEastAsia" w:hint="eastAsia"/>
          <w:b/>
          <w:bCs/>
          <w:sz w:val="18"/>
          <w:szCs w:val="18"/>
        </w:rPr>
        <w:t>四</w:t>
      </w:r>
      <w:r>
        <w:rPr>
          <w:rFonts w:asciiTheme="majorEastAsia" w:eastAsiaTheme="majorEastAsia" w:hAnsiTheme="majorEastAsia"/>
          <w:b/>
          <w:bCs/>
          <w:sz w:val="18"/>
          <w:szCs w:val="18"/>
        </w:rPr>
        <w:t>）</w:t>
      </w:r>
      <w:r>
        <w:rPr>
          <w:rFonts w:asciiTheme="majorEastAsia" w:eastAsiaTheme="majorEastAsia" w:hAnsiTheme="majorEastAsia" w:hint="eastAsia"/>
          <w:b/>
          <w:bCs/>
          <w:sz w:val="18"/>
          <w:szCs w:val="18"/>
        </w:rPr>
        <w:t>投资策略</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本产品采取债券配置策略，判断债券在经济和货币周期不同阶段的相对投资价值，确定不同期限和不同类型债券的配置价值，实现组合的稳健增值。产品整体以稳定类固定收益资产为主要投资标的、获取票息作为基础收益，同时参与债券资产的交易类机会、博取一定的弹性收益，是以低波动、绝对收益为目标进行投资管理。</w:t>
      </w:r>
    </w:p>
    <w:p w:rsidR="004A6D8C" w:rsidRDefault="00C1729C">
      <w:pPr>
        <w:spacing w:line="360" w:lineRule="auto"/>
        <w:ind w:firstLineChars="200" w:firstLine="361"/>
        <w:outlineLvl w:val="1"/>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 xml:space="preserve">（五）业绩比较基准 </w:t>
      </w:r>
    </w:p>
    <w:p w:rsidR="004A6D8C" w:rsidRDefault="00C1729C">
      <w:pPr>
        <w:pStyle w:val="HTML"/>
        <w:shd w:val="clear" w:color="auto" w:fill="FFFFFF"/>
        <w:spacing w:line="360" w:lineRule="auto"/>
        <w:ind w:firstLineChars="200" w:firstLine="360"/>
        <w:rPr>
          <w:rFonts w:asciiTheme="majorEastAsia" w:eastAsiaTheme="majorEastAsia" w:hAnsiTheme="majorEastAsia"/>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hint="eastAsia"/>
          <w:sz w:val="18"/>
          <w:szCs w:val="18"/>
        </w:rPr>
        <w:t xml:space="preserve"> </w:t>
      </w:r>
      <w:r>
        <w:rPr>
          <w:rFonts w:asciiTheme="majorEastAsia" w:eastAsiaTheme="majorEastAsia" w:hAnsiTheme="majorEastAsia" w:hint="eastAsia"/>
          <w:bCs/>
          <w:sz w:val="18"/>
          <w:szCs w:val="18"/>
        </w:rPr>
        <w:t>产品管理人</w:t>
      </w:r>
      <w:r>
        <w:rPr>
          <w:rFonts w:asciiTheme="majorEastAsia" w:eastAsiaTheme="majorEastAsia" w:hAnsiTheme="majorEastAsia" w:hint="eastAsia"/>
          <w:sz w:val="18"/>
          <w:szCs w:val="18"/>
        </w:rPr>
        <w:t>设置</w:t>
      </w:r>
      <w:r>
        <w:rPr>
          <w:rFonts w:asciiTheme="majorEastAsia" w:eastAsiaTheme="majorEastAsia" w:hAnsiTheme="majorEastAsia"/>
          <w:sz w:val="18"/>
          <w:szCs w:val="18"/>
        </w:rPr>
        <w:t>业绩比较基准</w:t>
      </w:r>
      <w:r>
        <w:rPr>
          <w:rFonts w:asciiTheme="majorEastAsia" w:eastAsiaTheme="majorEastAsia" w:hAnsiTheme="majorEastAsia" w:hint="eastAsia"/>
          <w:sz w:val="18"/>
          <w:szCs w:val="18"/>
        </w:rPr>
        <w:t>。</w:t>
      </w:r>
    </w:p>
    <w:p w:rsidR="004A6D8C" w:rsidRDefault="00C1729C">
      <w:pPr>
        <w:pStyle w:val="HTML"/>
        <w:shd w:val="clear" w:color="auto" w:fill="FFFFFF"/>
        <w:spacing w:line="360" w:lineRule="auto"/>
        <w:ind w:firstLineChars="200" w:firstLine="360"/>
        <w:rPr>
          <w:rFonts w:asciiTheme="majorEastAsia" w:eastAsiaTheme="majorEastAsia" w:hAnsiTheme="majorEastAsia"/>
          <w:sz w:val="18"/>
          <w:szCs w:val="18"/>
        </w:rPr>
      </w:pPr>
      <w:r>
        <w:rPr>
          <w:rFonts w:asciiTheme="majorEastAsia" w:eastAsiaTheme="majorEastAsia" w:hAnsiTheme="majorEastAsia" w:hint="eastAsia"/>
          <w:sz w:val="18"/>
          <w:szCs w:val="18"/>
        </w:rPr>
        <w:t>1.产品管理人设置业绩比较基准</w:t>
      </w:r>
      <w:r>
        <w:rPr>
          <w:rFonts w:asciiTheme="majorEastAsia" w:eastAsiaTheme="majorEastAsia" w:hAnsiTheme="majorEastAsia"/>
          <w:sz w:val="18"/>
          <w:szCs w:val="18"/>
        </w:rPr>
        <w:t>并</w:t>
      </w:r>
      <w:r>
        <w:rPr>
          <w:rFonts w:asciiTheme="majorEastAsia" w:eastAsiaTheme="majorEastAsia" w:hAnsiTheme="majorEastAsia" w:hint="eastAsia"/>
          <w:sz w:val="18"/>
          <w:szCs w:val="18"/>
        </w:rPr>
        <w:t>进行</w:t>
      </w:r>
      <w:r>
        <w:rPr>
          <w:rFonts w:asciiTheme="majorEastAsia" w:eastAsiaTheme="majorEastAsia" w:hAnsiTheme="majorEastAsia"/>
          <w:sz w:val="18"/>
          <w:szCs w:val="18"/>
        </w:rPr>
        <w:t>公告，</w:t>
      </w:r>
      <w:r>
        <w:rPr>
          <w:rFonts w:asciiTheme="majorEastAsia" w:eastAsiaTheme="majorEastAsia" w:hAnsiTheme="majorEastAsia" w:hint="eastAsia"/>
          <w:sz w:val="18"/>
          <w:szCs w:val="18"/>
        </w:rPr>
        <w:t>具体以当期《产品说明书》</w:t>
      </w:r>
      <w:r>
        <w:rPr>
          <w:rFonts w:asciiTheme="minorEastAsia" w:eastAsiaTheme="minorEastAsia" w:hAnsiTheme="minorEastAsia" w:hint="eastAsia"/>
          <w:sz w:val="18"/>
          <w:szCs w:val="18"/>
        </w:rPr>
        <w:t xml:space="preserve"> “第二条 理财产品基本情况”</w:t>
      </w:r>
      <w:r>
        <w:rPr>
          <w:rFonts w:asciiTheme="majorEastAsia" w:eastAsiaTheme="majorEastAsia" w:hAnsiTheme="majorEastAsia" w:hint="eastAsia"/>
          <w:sz w:val="18"/>
          <w:szCs w:val="18"/>
        </w:rPr>
        <w:t>为准。</w:t>
      </w:r>
    </w:p>
    <w:p w:rsidR="004A6D8C" w:rsidRDefault="00C1729C">
      <w:pPr>
        <w:pStyle w:val="HTML"/>
        <w:shd w:val="clear" w:color="auto" w:fill="FFFFFF"/>
        <w:spacing w:line="360" w:lineRule="auto"/>
        <w:ind w:firstLineChars="200" w:firstLine="360"/>
        <w:rPr>
          <w:rFonts w:ascii="黑体" w:eastAsia="黑体" w:hAnsi="黑体"/>
          <w:sz w:val="18"/>
          <w:szCs w:val="18"/>
        </w:rPr>
      </w:pPr>
      <w:r>
        <w:rPr>
          <w:rFonts w:ascii="黑体" w:eastAsia="黑体" w:hAnsi="黑体"/>
          <w:sz w:val="18"/>
          <w:szCs w:val="18"/>
        </w:rPr>
        <w:t>2</w:t>
      </w:r>
      <w:r>
        <w:rPr>
          <w:rFonts w:ascii="黑体" w:eastAsia="黑体" w:hAnsi="黑体" w:hint="eastAsia"/>
          <w:sz w:val="18"/>
          <w:szCs w:val="18"/>
        </w:rPr>
        <w:t>.</w:t>
      </w:r>
      <w:r>
        <w:rPr>
          <w:rFonts w:ascii="黑体" w:eastAsia="黑体" w:hAnsi="黑体" w:cs="仿宋_GB2312" w:hint="eastAsia"/>
          <w:bCs/>
          <w:sz w:val="18"/>
          <w:szCs w:val="18"/>
        </w:rPr>
        <w:t>★</w:t>
      </w:r>
      <w:r>
        <w:rPr>
          <w:rFonts w:ascii="黑体" w:eastAsia="黑体" w:hAnsi="黑体" w:hint="eastAsia"/>
          <w:sz w:val="18"/>
          <w:szCs w:val="18"/>
        </w:rPr>
        <w:t>业绩比较基准</w:t>
      </w:r>
      <w:r>
        <w:rPr>
          <w:rFonts w:ascii="黑体" w:eastAsia="黑体" w:hAnsi="黑体" w:hint="eastAsia"/>
          <w:bCs/>
          <w:sz w:val="18"/>
          <w:szCs w:val="18"/>
        </w:rPr>
        <w:t>不代表理财产品未来表现，不等于理财产品实际收益，不作为产品收益的业绩保证，投资须谨慎。</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kern w:val="0"/>
          <w:sz w:val="18"/>
          <w:szCs w:val="18"/>
        </w:rPr>
      </w:pPr>
      <w:r>
        <w:rPr>
          <w:rFonts w:asciiTheme="majorEastAsia" w:eastAsiaTheme="majorEastAsia" w:hAnsiTheme="majorEastAsia"/>
          <w:sz w:val="18"/>
          <w:szCs w:val="18"/>
        </w:rPr>
        <w:t>3.</w:t>
      </w:r>
      <w:r>
        <w:rPr>
          <w:rFonts w:asciiTheme="majorEastAsia" w:eastAsiaTheme="majorEastAsia" w:hAnsiTheme="majorEastAsia" w:hint="eastAsia"/>
          <w:kern w:val="0"/>
          <w:sz w:val="18"/>
          <w:szCs w:val="18"/>
        </w:rPr>
        <w:t>如果今后法律法规发生变化，或者有其他代表性更强、更科学客观的业绩比较基准适用于本产品时，经产品管理人和产品托管人协商一致后，本产品可以变更业绩比较基准并及时公告。</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kern w:val="0"/>
          <w:sz w:val="18"/>
          <w:szCs w:val="18"/>
        </w:rPr>
      </w:pPr>
      <w:r>
        <w:rPr>
          <w:rFonts w:asciiTheme="majorEastAsia" w:eastAsiaTheme="majorEastAsia" w:hAnsiTheme="majorEastAsia" w:hint="eastAsia"/>
          <w:kern w:val="0"/>
          <w:sz w:val="18"/>
          <w:szCs w:val="18"/>
        </w:rPr>
        <w:t>□ 产品管理人不设立业绩比较基准。</w:t>
      </w:r>
    </w:p>
    <w:p w:rsidR="004A6D8C" w:rsidRDefault="00C1729C">
      <w:pPr>
        <w:autoSpaceDE w:val="0"/>
        <w:autoSpaceDN w:val="0"/>
        <w:adjustRightInd w:val="0"/>
        <w:spacing w:line="360" w:lineRule="auto"/>
        <w:ind w:firstLineChars="200" w:firstLine="361"/>
        <w:jc w:val="left"/>
        <w:outlineLvl w:val="1"/>
        <w:rPr>
          <w:rFonts w:asciiTheme="majorEastAsia" w:eastAsiaTheme="majorEastAsia" w:hAnsiTheme="majorEastAsia"/>
          <w:b/>
          <w:kern w:val="0"/>
          <w:sz w:val="18"/>
          <w:szCs w:val="18"/>
        </w:rPr>
      </w:pPr>
      <w:r>
        <w:rPr>
          <w:rFonts w:asciiTheme="majorEastAsia" w:eastAsiaTheme="majorEastAsia" w:hAnsiTheme="majorEastAsia" w:hint="eastAsia"/>
          <w:b/>
          <w:kern w:val="0"/>
          <w:sz w:val="18"/>
          <w:szCs w:val="18"/>
        </w:rPr>
        <w:t>（六）业绩报酬计提</w:t>
      </w:r>
      <w:r>
        <w:rPr>
          <w:rFonts w:asciiTheme="majorEastAsia" w:eastAsiaTheme="majorEastAsia" w:hAnsiTheme="majorEastAsia"/>
          <w:b/>
          <w:kern w:val="0"/>
          <w:sz w:val="18"/>
          <w:szCs w:val="18"/>
        </w:rPr>
        <w:t>基准</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kern w:val="0"/>
          <w:sz w:val="18"/>
          <w:szCs w:val="18"/>
        </w:rPr>
      </w:pPr>
      <w:r>
        <w:rPr>
          <w:rFonts w:asciiTheme="majorEastAsia" w:eastAsiaTheme="majorEastAsia" w:hAnsiTheme="majorEastAsia" w:hint="eastAsia"/>
          <w:kern w:val="0"/>
          <w:sz w:val="18"/>
          <w:szCs w:val="18"/>
        </w:rPr>
        <w:t>□ 产品管理人设置业绩报酬计提</w:t>
      </w:r>
      <w:r>
        <w:rPr>
          <w:rFonts w:asciiTheme="majorEastAsia" w:eastAsiaTheme="majorEastAsia" w:hAnsiTheme="majorEastAsia"/>
          <w:kern w:val="0"/>
          <w:sz w:val="18"/>
          <w:szCs w:val="18"/>
        </w:rPr>
        <w:t>基准</w:t>
      </w:r>
      <w:r>
        <w:rPr>
          <w:rFonts w:asciiTheme="majorEastAsia" w:eastAsiaTheme="majorEastAsia" w:hAnsiTheme="majorEastAsia" w:hint="eastAsia"/>
          <w:kern w:val="0"/>
          <w:sz w:val="18"/>
          <w:szCs w:val="18"/>
        </w:rPr>
        <w:t>。</w:t>
      </w:r>
    </w:p>
    <w:p w:rsidR="004A6D8C" w:rsidRDefault="00C1729C">
      <w:pPr>
        <w:pStyle w:val="HTML"/>
        <w:shd w:val="clear" w:color="auto" w:fill="FFFFFF"/>
        <w:spacing w:line="360" w:lineRule="auto"/>
        <w:ind w:firstLineChars="200" w:firstLine="360"/>
        <w:rPr>
          <w:rFonts w:asciiTheme="majorEastAsia" w:eastAsiaTheme="majorEastAsia" w:hAnsiTheme="majorEastAsia"/>
          <w:sz w:val="18"/>
          <w:szCs w:val="18"/>
        </w:rPr>
      </w:pPr>
      <w:r>
        <w:rPr>
          <w:rFonts w:asciiTheme="majorEastAsia" w:eastAsiaTheme="majorEastAsia" w:hAnsiTheme="majorEastAsia" w:hint="eastAsia"/>
          <w:sz w:val="18"/>
          <w:szCs w:val="18"/>
        </w:rPr>
        <w:t>1.产品管理人设置业绩报酬计提</w:t>
      </w:r>
      <w:r>
        <w:rPr>
          <w:rFonts w:asciiTheme="majorEastAsia" w:eastAsiaTheme="majorEastAsia" w:hAnsiTheme="majorEastAsia"/>
          <w:sz w:val="18"/>
          <w:szCs w:val="18"/>
        </w:rPr>
        <w:t>基准</w:t>
      </w:r>
      <w:r>
        <w:rPr>
          <w:rFonts w:asciiTheme="majorEastAsia" w:eastAsiaTheme="majorEastAsia" w:hAnsiTheme="majorEastAsia" w:hint="eastAsia"/>
          <w:sz w:val="18"/>
          <w:szCs w:val="18"/>
        </w:rPr>
        <w:t>并进行公告，具体以当期《产品说明书》</w:t>
      </w:r>
      <w:r>
        <w:rPr>
          <w:rFonts w:asciiTheme="minorEastAsia" w:eastAsiaTheme="minorEastAsia" w:hAnsiTheme="minorEastAsia" w:hint="eastAsia"/>
          <w:sz w:val="18"/>
          <w:szCs w:val="18"/>
        </w:rPr>
        <w:t>“第二条 理财产品基本情况”</w:t>
      </w:r>
      <w:r>
        <w:rPr>
          <w:rFonts w:asciiTheme="majorEastAsia" w:eastAsiaTheme="majorEastAsia" w:hAnsiTheme="majorEastAsia" w:hint="eastAsia"/>
          <w:sz w:val="18"/>
          <w:szCs w:val="18"/>
        </w:rPr>
        <w:t>为准。</w:t>
      </w:r>
    </w:p>
    <w:p w:rsidR="004A6D8C" w:rsidRDefault="00C1729C">
      <w:pPr>
        <w:pStyle w:val="HTML"/>
        <w:shd w:val="clear" w:color="auto" w:fill="FFFFFF"/>
        <w:spacing w:line="360" w:lineRule="auto"/>
        <w:ind w:firstLineChars="200" w:firstLine="360"/>
        <w:rPr>
          <w:rFonts w:ascii="黑体" w:eastAsia="黑体" w:hAnsi="黑体"/>
          <w:sz w:val="18"/>
          <w:szCs w:val="18"/>
        </w:rPr>
      </w:pPr>
      <w:r>
        <w:rPr>
          <w:rFonts w:ascii="黑体" w:eastAsia="黑体" w:hAnsi="黑体" w:hint="eastAsia"/>
          <w:sz w:val="18"/>
          <w:szCs w:val="18"/>
        </w:rPr>
        <w:t>2.★业绩报酬计提</w:t>
      </w:r>
      <w:r>
        <w:rPr>
          <w:rFonts w:ascii="黑体" w:eastAsia="黑体" w:hAnsi="黑体"/>
          <w:sz w:val="18"/>
          <w:szCs w:val="18"/>
        </w:rPr>
        <w:t>基准</w:t>
      </w:r>
      <w:r>
        <w:rPr>
          <w:rFonts w:ascii="黑体" w:eastAsia="黑体" w:hAnsi="黑体" w:hint="eastAsia"/>
          <w:sz w:val="18"/>
          <w:szCs w:val="18"/>
        </w:rPr>
        <w:t>仅作为管理人收取超额业绩报酬的参照，不代表理财产品未来表现，不等于理财产品实际收益，不作为产品收益的业绩保证，投资须谨慎。</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kern w:val="0"/>
          <w:sz w:val="18"/>
          <w:szCs w:val="18"/>
        </w:rPr>
      </w:pPr>
      <w:r>
        <w:rPr>
          <w:rFonts w:asciiTheme="majorEastAsia" w:eastAsiaTheme="majorEastAsia" w:hAnsiTheme="majorEastAsia" w:hint="eastAsia"/>
          <w:kern w:val="0"/>
          <w:sz w:val="18"/>
          <w:szCs w:val="18"/>
        </w:rPr>
        <w:t>3.如果今后法律法规发生变化，或者有其他代表性更强、更科学客观的业绩报酬计提</w:t>
      </w:r>
      <w:r>
        <w:rPr>
          <w:rFonts w:asciiTheme="majorEastAsia" w:eastAsiaTheme="majorEastAsia" w:hAnsiTheme="majorEastAsia"/>
          <w:kern w:val="0"/>
          <w:sz w:val="18"/>
          <w:szCs w:val="18"/>
        </w:rPr>
        <w:t>基准</w:t>
      </w:r>
      <w:r>
        <w:rPr>
          <w:rFonts w:asciiTheme="majorEastAsia" w:eastAsiaTheme="majorEastAsia" w:hAnsiTheme="majorEastAsia" w:hint="eastAsia"/>
          <w:kern w:val="0"/>
          <w:sz w:val="18"/>
          <w:szCs w:val="18"/>
        </w:rPr>
        <w:t>适用于本产品时，经产品管理人和产品托管人协商一致后，本产品可以变更业绩报酬计提</w:t>
      </w:r>
      <w:r>
        <w:rPr>
          <w:rFonts w:asciiTheme="majorEastAsia" w:eastAsiaTheme="majorEastAsia" w:hAnsiTheme="majorEastAsia"/>
          <w:kern w:val="0"/>
          <w:sz w:val="18"/>
          <w:szCs w:val="18"/>
        </w:rPr>
        <w:t>基准</w:t>
      </w:r>
      <w:r>
        <w:rPr>
          <w:rFonts w:asciiTheme="majorEastAsia" w:eastAsiaTheme="majorEastAsia" w:hAnsiTheme="majorEastAsia" w:hint="eastAsia"/>
          <w:kern w:val="0"/>
          <w:sz w:val="18"/>
          <w:szCs w:val="18"/>
        </w:rPr>
        <w:t>并及时公告。</w:t>
      </w:r>
    </w:p>
    <w:p w:rsidR="004A6D8C" w:rsidRDefault="00C1729C">
      <w:pPr>
        <w:autoSpaceDE w:val="0"/>
        <w:autoSpaceDN w:val="0"/>
        <w:adjustRightInd w:val="0"/>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hint="eastAsia"/>
          <w:kern w:val="0"/>
          <w:sz w:val="18"/>
          <w:szCs w:val="18"/>
        </w:rPr>
        <w:t xml:space="preserve"> 产品管理人不设立业绩报酬计提</w:t>
      </w:r>
      <w:r>
        <w:rPr>
          <w:rFonts w:asciiTheme="majorEastAsia" w:eastAsiaTheme="majorEastAsia" w:hAnsiTheme="majorEastAsia"/>
          <w:kern w:val="0"/>
          <w:sz w:val="18"/>
          <w:szCs w:val="18"/>
        </w:rPr>
        <w:t>基准</w:t>
      </w:r>
      <w:r>
        <w:rPr>
          <w:rFonts w:asciiTheme="majorEastAsia" w:eastAsiaTheme="majorEastAsia" w:hAnsiTheme="majorEastAsia" w:hint="eastAsia"/>
          <w:kern w:val="0"/>
          <w:sz w:val="18"/>
          <w:szCs w:val="18"/>
        </w:rPr>
        <w:t>。</w:t>
      </w:r>
      <w:r>
        <w:rPr>
          <w:rFonts w:asciiTheme="majorEastAsia" w:eastAsiaTheme="majorEastAsia" w:hAnsiTheme="majorEastAsia"/>
          <w:sz w:val="18"/>
          <w:szCs w:val="18"/>
        </w:rPr>
        <w:br w:type="page"/>
      </w:r>
    </w:p>
    <w:p w:rsidR="004A6D8C" w:rsidRDefault="00C1729C">
      <w:pPr>
        <w:pStyle w:val="1"/>
        <w:spacing w:before="0" w:after="0" w:line="360" w:lineRule="auto"/>
        <w:jc w:val="center"/>
        <w:rPr>
          <w:rFonts w:ascii="Times New Roman"/>
          <w:sz w:val="30"/>
        </w:rPr>
      </w:pPr>
      <w:bookmarkStart w:id="28" w:name="_Toc17912"/>
      <w:bookmarkStart w:id="29" w:name="_Toc141703885"/>
      <w:bookmarkStart w:id="30" w:name="_Toc79154669"/>
      <w:bookmarkStart w:id="31" w:name="_Toc21988"/>
      <w:bookmarkStart w:id="32" w:name="_Toc18329"/>
      <w:bookmarkStart w:id="33" w:name="_Toc18526"/>
      <w:bookmarkStart w:id="34" w:name="_Toc74065742"/>
      <w:bookmarkStart w:id="35" w:name="_Toc1823"/>
      <w:bookmarkStart w:id="36" w:name="_Toc14893"/>
      <w:bookmarkStart w:id="37" w:name="_Toc4741"/>
      <w:bookmarkStart w:id="38" w:name="_Toc88747125"/>
      <w:bookmarkStart w:id="39" w:name="_Toc26986"/>
      <w:bookmarkStart w:id="40" w:name="_Toc18797"/>
      <w:bookmarkStart w:id="41" w:name="_Toc7848"/>
      <w:bookmarkStart w:id="42" w:name="_Toc139991735"/>
      <w:r>
        <w:rPr>
          <w:rFonts w:ascii="Times New Roman"/>
          <w:sz w:val="30"/>
        </w:rPr>
        <w:lastRenderedPageBreak/>
        <w:t>第六</w:t>
      </w:r>
      <w:r>
        <w:rPr>
          <w:rFonts w:ascii="Times New Roman" w:hint="eastAsia"/>
          <w:sz w:val="30"/>
        </w:rPr>
        <w:t>条</w:t>
      </w:r>
      <w:r>
        <w:rPr>
          <w:rFonts w:ascii="Times New Roman"/>
          <w:sz w:val="30"/>
        </w:rPr>
        <w:t xml:space="preserve">  </w:t>
      </w:r>
      <w:r>
        <w:rPr>
          <w:rFonts w:ascii="Times New Roman" w:hint="eastAsia"/>
          <w:sz w:val="30"/>
        </w:rPr>
        <w:t>理财产品的资产</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p w:rsidR="004A6D8C" w:rsidRDefault="00C1729C">
      <w:pPr>
        <w:pStyle w:val="Default"/>
        <w:spacing w:line="360" w:lineRule="auto"/>
        <w:ind w:firstLineChars="200" w:firstLine="361"/>
        <w:outlineLvl w:val="1"/>
        <w:rPr>
          <w:rFonts w:asciiTheme="majorEastAsia" w:eastAsiaTheme="majorEastAsia" w:hAnsiTheme="majorEastAsia"/>
          <w:b/>
          <w:color w:val="auto"/>
          <w:sz w:val="18"/>
          <w:szCs w:val="18"/>
        </w:rPr>
      </w:pPr>
      <w:bookmarkStart w:id="43" w:name="_Hlk490214295"/>
      <w:r>
        <w:rPr>
          <w:rFonts w:asciiTheme="majorEastAsia" w:eastAsiaTheme="majorEastAsia" w:hAnsiTheme="majorEastAsia" w:hint="eastAsia"/>
          <w:b/>
          <w:color w:val="auto"/>
          <w:sz w:val="18"/>
          <w:szCs w:val="18"/>
        </w:rPr>
        <w:t>（一）理财产品的资产的保管和处分</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本理财产品的资产独立于产品管理人和产品托管人的财产，并由产品托管人保管。</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产品管理人和产品托管人以其自有的财产承担其自身的法律责任，其债权人不得对本产品财产行使请求冻结、扣押或其他权利。除依法</w:t>
      </w:r>
      <w:proofErr w:type="gramStart"/>
      <w:r>
        <w:rPr>
          <w:rFonts w:asciiTheme="majorEastAsia" w:eastAsiaTheme="majorEastAsia" w:hAnsiTheme="majorEastAsia" w:hint="eastAsia"/>
          <w:color w:val="auto"/>
          <w:sz w:val="18"/>
          <w:szCs w:val="18"/>
        </w:rPr>
        <w:t>律法规</w:t>
      </w:r>
      <w:proofErr w:type="gramEnd"/>
      <w:r>
        <w:rPr>
          <w:rFonts w:asciiTheme="majorEastAsia" w:eastAsiaTheme="majorEastAsia" w:hAnsiTheme="majorEastAsia" w:hint="eastAsia"/>
          <w:color w:val="auto"/>
          <w:sz w:val="18"/>
          <w:szCs w:val="18"/>
        </w:rPr>
        <w:t>规定的处分外，理财产品的资产不得被处分。</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3.</w:t>
      </w:r>
      <w:r>
        <w:rPr>
          <w:rFonts w:asciiTheme="majorEastAsia" w:eastAsiaTheme="majorEastAsia" w:hAnsiTheme="majorEastAsia" w:hint="eastAsia"/>
          <w:color w:val="auto"/>
          <w:sz w:val="18"/>
          <w:szCs w:val="18"/>
        </w:rPr>
        <w:t>产品管理人和产品托管人因依法解散、被依法撤销或者被依法宣告破产等原因进行清算的，理财产品的资产不属于其清算财产。产品管理人管理运作理财财产所产生的债权，不得与其固有资产产生的债务相互</w:t>
      </w:r>
      <w:proofErr w:type="gramStart"/>
      <w:r>
        <w:rPr>
          <w:rFonts w:asciiTheme="majorEastAsia" w:eastAsiaTheme="majorEastAsia" w:hAnsiTheme="majorEastAsia" w:hint="eastAsia"/>
          <w:color w:val="auto"/>
          <w:sz w:val="18"/>
          <w:szCs w:val="18"/>
        </w:rPr>
        <w:t>抵销</w:t>
      </w:r>
      <w:proofErr w:type="gramEnd"/>
      <w:r>
        <w:rPr>
          <w:rFonts w:asciiTheme="majorEastAsia" w:eastAsiaTheme="majorEastAsia" w:hAnsiTheme="majorEastAsia" w:hint="eastAsia"/>
          <w:color w:val="auto"/>
          <w:sz w:val="18"/>
          <w:szCs w:val="18"/>
        </w:rPr>
        <w:t>；产品管理人管理运作不同产品的理财财产所产生的债权债务不得相互</w:t>
      </w:r>
      <w:proofErr w:type="gramStart"/>
      <w:r>
        <w:rPr>
          <w:rFonts w:asciiTheme="majorEastAsia" w:eastAsiaTheme="majorEastAsia" w:hAnsiTheme="majorEastAsia" w:hint="eastAsia"/>
          <w:color w:val="auto"/>
          <w:sz w:val="18"/>
          <w:szCs w:val="18"/>
        </w:rPr>
        <w:t>抵销</w:t>
      </w:r>
      <w:proofErr w:type="gramEnd"/>
      <w:r>
        <w:rPr>
          <w:rFonts w:asciiTheme="majorEastAsia" w:eastAsiaTheme="majorEastAsia" w:hAnsiTheme="majorEastAsia" w:hint="eastAsia"/>
          <w:color w:val="auto"/>
          <w:sz w:val="18"/>
          <w:szCs w:val="18"/>
        </w:rPr>
        <w:t>。</w:t>
      </w:r>
    </w:p>
    <w:p w:rsidR="004A6D8C" w:rsidRDefault="00C1729C">
      <w:pPr>
        <w:pStyle w:val="Default"/>
        <w:spacing w:line="360" w:lineRule="auto"/>
        <w:ind w:firstLineChars="200" w:firstLine="361"/>
        <w:outlineLvl w:val="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（二）理财产品的有关账户</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产品管理人和产品托管人根据相关法律法规、规范性文件为本产品开立资金账户、证券账户以及投资所需的其他专用账户。</w:t>
      </w:r>
    </w:p>
    <w:p w:rsidR="004A6D8C" w:rsidRDefault="00C1729C">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开立的理财专用账户与产品管理人和产品托管人自有的财产账户以及其他理财产品的有关账户相独立。</w:t>
      </w:r>
    </w:p>
    <w:p w:rsidR="004A6D8C" w:rsidRDefault="00C1729C">
      <w:pPr>
        <w:widowControl/>
        <w:spacing w:line="360" w:lineRule="auto"/>
        <w:jc w:val="left"/>
        <w:rPr>
          <w:rFonts w:asciiTheme="majorEastAsia" w:eastAsiaTheme="majorEastAsia" w:hAnsiTheme="majorEastAsia"/>
          <w:kern w:val="0"/>
          <w:sz w:val="18"/>
          <w:szCs w:val="18"/>
        </w:rPr>
      </w:pPr>
      <w:r>
        <w:rPr>
          <w:rFonts w:asciiTheme="majorEastAsia" w:eastAsiaTheme="majorEastAsia" w:hAnsiTheme="majorEastAsia"/>
          <w:sz w:val="18"/>
          <w:szCs w:val="18"/>
        </w:rPr>
        <w:br w:type="page"/>
      </w:r>
    </w:p>
    <w:p w:rsidR="004A6D8C" w:rsidRDefault="00C1729C">
      <w:pPr>
        <w:pStyle w:val="1"/>
        <w:spacing w:before="0" w:after="0" w:line="360" w:lineRule="auto"/>
        <w:jc w:val="center"/>
        <w:rPr>
          <w:rFonts w:ascii="Times New Roman"/>
          <w:sz w:val="30"/>
        </w:rPr>
      </w:pPr>
      <w:bookmarkStart w:id="44" w:name="_Toc23822"/>
      <w:bookmarkStart w:id="45" w:name="_Toc88747126"/>
      <w:bookmarkStart w:id="46" w:name="_Toc48649707"/>
      <w:bookmarkStart w:id="47" w:name="_Toc20733"/>
      <w:bookmarkStart w:id="48" w:name="_Toc79154670"/>
      <w:bookmarkStart w:id="49" w:name="_Toc98560352"/>
      <w:bookmarkStart w:id="50" w:name="_Toc123051452"/>
      <w:bookmarkStart w:id="51" w:name="_Toc141703886"/>
      <w:bookmarkStart w:id="52" w:name="_Toc610"/>
      <w:bookmarkStart w:id="53" w:name="_Toc7920"/>
      <w:bookmarkStart w:id="54" w:name="_Toc1427"/>
      <w:bookmarkStart w:id="55" w:name="_Toc1270"/>
      <w:bookmarkStart w:id="56" w:name="_Toc139991736"/>
      <w:bookmarkStart w:id="57" w:name="_Toc79392606"/>
      <w:bookmarkStart w:id="58" w:name="_Toc4003"/>
      <w:bookmarkStart w:id="59" w:name="_Toc23261"/>
      <w:bookmarkStart w:id="60" w:name="_Toc123102453"/>
      <w:bookmarkStart w:id="61" w:name="_Toc123112234"/>
      <w:bookmarkStart w:id="62" w:name="_Toc10463"/>
      <w:bookmarkStart w:id="63" w:name="_Toc74065743"/>
      <w:bookmarkStart w:id="64" w:name="_Toc17244"/>
      <w:bookmarkEnd w:id="43"/>
      <w:r>
        <w:rPr>
          <w:rFonts w:ascii="Times New Roman"/>
          <w:sz w:val="30"/>
        </w:rPr>
        <w:lastRenderedPageBreak/>
        <w:t>第七</w:t>
      </w:r>
      <w:r>
        <w:rPr>
          <w:rFonts w:ascii="Times New Roman" w:hint="eastAsia"/>
          <w:sz w:val="30"/>
        </w:rPr>
        <w:t>条</w:t>
      </w:r>
      <w:r>
        <w:rPr>
          <w:rFonts w:ascii="Times New Roman"/>
          <w:sz w:val="30"/>
        </w:rPr>
        <w:t xml:space="preserve">  </w:t>
      </w:r>
      <w:r>
        <w:rPr>
          <w:rFonts w:ascii="Times New Roman" w:hint="eastAsia"/>
          <w:sz w:val="30"/>
        </w:rPr>
        <w:t>理财产品项下资产的估值</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rsidR="004A6D8C" w:rsidRDefault="00C1729C">
      <w:pPr>
        <w:pStyle w:val="Default"/>
        <w:spacing w:line="360" w:lineRule="auto"/>
        <w:ind w:firstLineChars="200" w:firstLine="360"/>
        <w:rPr>
          <w:rFonts w:ascii="黑体" w:eastAsia="黑体" w:hAnsi="黑体"/>
          <w:color w:val="auto"/>
          <w:sz w:val="18"/>
          <w:szCs w:val="18"/>
        </w:rPr>
      </w:pPr>
      <w:r>
        <w:rPr>
          <w:rFonts w:ascii="黑体" w:eastAsia="黑体" w:hAnsi="黑体" w:hint="eastAsia"/>
          <w:color w:val="auto"/>
          <w:sz w:val="18"/>
          <w:szCs w:val="18"/>
        </w:rPr>
        <w:t>★注：本说明书估值条款所涉及的资产相关描述，仅为估值条款完备性而设计，并不代表本产品投资范围涉及该资产。本产品的投资范围仍应以</w:t>
      </w:r>
      <w:proofErr w:type="gramStart"/>
      <w:r>
        <w:rPr>
          <w:rFonts w:ascii="黑体" w:eastAsia="黑体" w:hAnsi="黑体" w:hint="eastAsia"/>
          <w:color w:val="auto"/>
          <w:sz w:val="18"/>
          <w:szCs w:val="18"/>
        </w:rPr>
        <w:t>“</w:t>
      </w:r>
      <w:proofErr w:type="gramEnd"/>
      <w:r>
        <w:rPr>
          <w:rFonts w:ascii="黑体" w:eastAsia="黑体" w:hAnsi="黑体" w:hint="eastAsia"/>
          <w:color w:val="auto"/>
          <w:sz w:val="18"/>
          <w:szCs w:val="18"/>
        </w:rPr>
        <w:t>第五条 理财产品的投资“约定为准。</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（一）估值目的</w:t>
      </w:r>
    </w:p>
    <w:p w:rsidR="004A6D8C" w:rsidRDefault="00C1729C">
      <w:pPr>
        <w:pStyle w:val="Default"/>
        <w:spacing w:line="360" w:lineRule="auto"/>
        <w:ind w:firstLineChars="200" w:firstLine="360"/>
        <w:rPr>
          <w:rFonts w:hAnsi="宋体"/>
          <w:sz w:val="18"/>
          <w:szCs w:val="18"/>
        </w:rPr>
      </w:pPr>
      <w:r>
        <w:rPr>
          <w:rFonts w:hAnsi="宋体" w:hint="eastAsia"/>
          <w:sz w:val="18"/>
          <w:szCs w:val="18"/>
        </w:rPr>
        <w:t>理财资产估值的目的是客观、准确地反映理财资产是否保值、增值。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（二）估值频率</w:t>
      </w:r>
    </w:p>
    <w:p w:rsidR="004A6D8C" w:rsidRDefault="00C1729C">
      <w:pPr>
        <w:pStyle w:val="Default"/>
        <w:spacing w:line="360" w:lineRule="auto"/>
        <w:ind w:firstLineChars="250" w:firstLine="450"/>
        <w:rPr>
          <w:sz w:val="18"/>
          <w:szCs w:val="18"/>
        </w:rPr>
      </w:pPr>
      <w:permStart w:id="1445464983" w:edGrp="everyone"/>
      <w:r>
        <w:rPr>
          <w:rFonts w:hAnsi="宋体" w:hint="eastAsia"/>
          <w:sz w:val="18"/>
          <w:szCs w:val="18"/>
        </w:rPr>
        <w:t>本产品存续期间，每【周】进行一次估值。如</w:t>
      </w:r>
      <w:proofErr w:type="gramStart"/>
      <w:r>
        <w:rPr>
          <w:rFonts w:hAnsi="宋体" w:hint="eastAsia"/>
          <w:sz w:val="18"/>
          <w:szCs w:val="18"/>
        </w:rPr>
        <w:t>遇产品</w:t>
      </w:r>
      <w:proofErr w:type="gramEnd"/>
      <w:r>
        <w:rPr>
          <w:rFonts w:hAnsi="宋体" w:hint="eastAsia"/>
          <w:sz w:val="18"/>
          <w:szCs w:val="18"/>
        </w:rPr>
        <w:t>到期日、季度末、半年度末、年度末等时间节点管理人将增加估值日。</w:t>
      </w:r>
    </w:p>
    <w:permEnd w:id="1445464983"/>
    <w:p w:rsidR="004A6D8C" w:rsidRDefault="00C1729C">
      <w:pPr>
        <w:pStyle w:val="Default"/>
        <w:spacing w:line="360" w:lineRule="auto"/>
        <w:ind w:firstLineChars="250" w:firstLine="452"/>
        <w:rPr>
          <w:rFonts w:hAnsi="宋体"/>
          <w:b/>
          <w:bCs/>
          <w:sz w:val="18"/>
          <w:szCs w:val="18"/>
        </w:rPr>
      </w:pPr>
      <w:r>
        <w:rPr>
          <w:rFonts w:hAnsi="宋体" w:hint="eastAsia"/>
          <w:b/>
          <w:bCs/>
          <w:sz w:val="18"/>
          <w:szCs w:val="18"/>
        </w:rPr>
        <w:t>（三）估值对象</w:t>
      </w:r>
    </w:p>
    <w:p w:rsidR="004A6D8C" w:rsidRDefault="00C1729C">
      <w:pPr>
        <w:pStyle w:val="Default"/>
        <w:spacing w:line="360" w:lineRule="auto"/>
        <w:ind w:firstLineChars="200" w:firstLine="360"/>
        <w:rPr>
          <w:rFonts w:hAnsi="宋体"/>
          <w:sz w:val="18"/>
          <w:szCs w:val="18"/>
        </w:rPr>
      </w:pPr>
      <w:r>
        <w:rPr>
          <w:rFonts w:hAnsi="宋体" w:hint="eastAsia"/>
          <w:sz w:val="18"/>
          <w:szCs w:val="18"/>
        </w:rPr>
        <w:t>本产品所拥有的各类证券、资产管理产品、银行存款、应收款项、其它投资等资产及负债。</w:t>
      </w:r>
    </w:p>
    <w:p w:rsidR="004A6D8C" w:rsidRDefault="00C1729C">
      <w:pPr>
        <w:pStyle w:val="Default"/>
        <w:spacing w:line="360" w:lineRule="auto"/>
        <w:ind w:firstLineChars="250" w:firstLine="452"/>
        <w:rPr>
          <w:rFonts w:hAnsi="宋体"/>
          <w:b/>
          <w:bCs/>
          <w:sz w:val="18"/>
          <w:szCs w:val="18"/>
        </w:rPr>
      </w:pPr>
      <w:r>
        <w:rPr>
          <w:rFonts w:hAnsi="宋体" w:hint="eastAsia"/>
          <w:b/>
          <w:bCs/>
          <w:sz w:val="18"/>
          <w:szCs w:val="18"/>
        </w:rPr>
        <w:t>（四）估值方法</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1.标准化债权类资产估值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标准化债权类资产，是指满足中国人民银行制定的标准化债权类资产具体认定规则的债权类资产。主要包括：证券交易所与银行间市场发行的债券、资产支持证券、资产支持票据等。估值方法具体如下：</w:t>
      </w:r>
    </w:p>
    <w:p w:rsidR="004A6D8C" w:rsidRDefault="00C1729C">
      <w:pPr>
        <w:pStyle w:val="Default"/>
        <w:spacing w:line="360" w:lineRule="auto"/>
        <w:ind w:firstLineChars="200" w:firstLine="360"/>
        <w:rPr>
          <w:rFonts w:hAnsi="宋体"/>
          <w:sz w:val="18"/>
          <w:szCs w:val="18"/>
        </w:rPr>
      </w:pPr>
      <w:r>
        <w:rPr>
          <w:rFonts w:hAnsi="宋体" w:hint="eastAsia"/>
          <w:sz w:val="18"/>
          <w:szCs w:val="18"/>
        </w:rPr>
        <w:t>（1）投资以收取合同现金流量为目的并持有到期的债券，可使用摊</w:t>
      </w:r>
      <w:proofErr w:type="gramStart"/>
      <w:r>
        <w:rPr>
          <w:rFonts w:hAnsi="宋体" w:hint="eastAsia"/>
          <w:sz w:val="18"/>
          <w:szCs w:val="18"/>
        </w:rPr>
        <w:t>余成本</w:t>
      </w:r>
      <w:proofErr w:type="gramEnd"/>
      <w:r>
        <w:rPr>
          <w:rFonts w:hAnsi="宋体" w:hint="eastAsia"/>
          <w:sz w:val="18"/>
          <w:szCs w:val="18"/>
        </w:rPr>
        <w:t>计量。</w:t>
      </w:r>
    </w:p>
    <w:p w:rsidR="004A6D8C" w:rsidRDefault="00C1729C">
      <w:pPr>
        <w:pStyle w:val="Default"/>
        <w:spacing w:line="360" w:lineRule="auto"/>
        <w:ind w:firstLineChars="200" w:firstLine="360"/>
        <w:rPr>
          <w:rFonts w:hAnsi="宋体"/>
          <w:sz w:val="18"/>
          <w:szCs w:val="18"/>
        </w:rPr>
      </w:pPr>
      <w:r>
        <w:rPr>
          <w:rFonts w:hAnsi="宋体" w:hint="eastAsia"/>
          <w:sz w:val="18"/>
          <w:szCs w:val="18"/>
        </w:rPr>
        <w:t>（2）除（1）以外的标准化债权类资产以公允价值计量，主要依据为第三方估值机构提供的价格数据。第三方估值机构包括：中央国债登记结算公司和中证指数有限公司。</w:t>
      </w:r>
    </w:p>
    <w:p w:rsidR="004A6D8C" w:rsidRDefault="00C1729C">
      <w:pPr>
        <w:pStyle w:val="Default"/>
        <w:spacing w:line="360" w:lineRule="auto"/>
        <w:ind w:firstLineChars="200" w:firstLine="360"/>
        <w:rPr>
          <w:rFonts w:hAnsi="宋体"/>
          <w:sz w:val="18"/>
          <w:szCs w:val="18"/>
        </w:rPr>
      </w:pPr>
      <w:r>
        <w:rPr>
          <w:rFonts w:hAnsi="宋体" w:hint="eastAsia"/>
          <w:sz w:val="18"/>
          <w:szCs w:val="18"/>
        </w:rPr>
        <w:t>（3）在证券交易所上市的债券，如第三方估值机构提供的估值价格与市场收盘价存在差异，且管理人认为收盘价更能体现其公允价值，可与托管人协商一致后采用收盘价进行估值。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（4）对在交易所市场挂牌交易的资产支持证券和私募债券，鉴于其不存在活跃市场或未来现金</w:t>
      </w:r>
      <w:proofErr w:type="gramStart"/>
      <w:r>
        <w:rPr>
          <w:rFonts w:hAnsi="宋体" w:hint="eastAsia"/>
          <w:sz w:val="18"/>
          <w:szCs w:val="18"/>
        </w:rPr>
        <w:t>流难以</w:t>
      </w:r>
      <w:proofErr w:type="gramEnd"/>
      <w:r>
        <w:rPr>
          <w:rFonts w:hAnsi="宋体" w:hint="eastAsia"/>
          <w:sz w:val="18"/>
          <w:szCs w:val="18"/>
        </w:rPr>
        <w:t>确定，导致第三方估值数据和市场收盘价均无法准确反映其公允价值的，可采用估值技术对其进行估值，管理人会对估值模型的有效性进行持续有效评估，并尽可能予以修正。</w:t>
      </w:r>
    </w:p>
    <w:p w:rsidR="004A6D8C" w:rsidRDefault="00C1729C">
      <w:pPr>
        <w:pStyle w:val="Default"/>
        <w:spacing w:line="360" w:lineRule="auto"/>
        <w:ind w:firstLineChars="200" w:firstLine="360"/>
        <w:rPr>
          <w:rFonts w:hAnsi="宋体"/>
          <w:sz w:val="18"/>
          <w:szCs w:val="18"/>
        </w:rPr>
      </w:pPr>
      <w:r>
        <w:rPr>
          <w:rFonts w:hAnsi="宋体" w:hint="eastAsia"/>
          <w:sz w:val="18"/>
          <w:szCs w:val="18"/>
        </w:rPr>
        <w:t>（5）对在银行间市场或交易所市场已发行未上市的债券，且第三方估值机构未提供估值数据，采用估值技术确定其公允价值。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（6）同一债券同时在两个或两个以上市场交易的，按债券所处的市场及相应的估值标准，分别进行估值。</w:t>
      </w:r>
    </w:p>
    <w:p w:rsidR="004A6D8C" w:rsidRDefault="00C1729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hAnsiTheme="majorEastAsia" w:hint="eastAsia"/>
          <w:b/>
          <w:color w:val="auto"/>
          <w:sz w:val="18"/>
        </w:rPr>
        <w:t>2.</w:t>
      </w:r>
      <w:r>
        <w:rPr>
          <w:rFonts w:asciiTheme="majorEastAsia" w:eastAsiaTheme="majorEastAsia" w:hAnsiTheme="majorEastAsia" w:hint="eastAsia"/>
          <w:b/>
          <w:bCs/>
          <w:color w:val="auto"/>
          <w:sz w:val="18"/>
          <w:szCs w:val="18"/>
        </w:rPr>
        <w:t>境外债券</w:t>
      </w:r>
    </w:p>
    <w:p w:rsidR="004A6D8C" w:rsidRDefault="00C1729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对于境外发行的债券，</w:t>
      </w:r>
      <w:r>
        <w:rPr>
          <w:rFonts w:hAnsi="宋体" w:hint="eastAsia"/>
          <w:color w:val="auto"/>
          <w:sz w:val="18"/>
          <w:szCs w:val="18"/>
        </w:rPr>
        <w:t>参照主要做市商或其他权威价格提供机构的报价进行估值，若估值日债券价格无法通过公开信息取得，参照最近一个交易日可取得的主要做市商或其他权威价格提供机构的报价进行估</w:t>
      </w:r>
      <w:r>
        <w:rPr>
          <w:rFonts w:hAnsi="宋体" w:hint="eastAsia"/>
          <w:color w:val="auto"/>
          <w:sz w:val="18"/>
          <w:szCs w:val="18"/>
        </w:rPr>
        <w:lastRenderedPageBreak/>
        <w:t>值。</w:t>
      </w:r>
    </w:p>
    <w:p w:rsidR="004A6D8C" w:rsidRDefault="00C1729C">
      <w:pPr>
        <w:pStyle w:val="Default"/>
        <w:spacing w:line="360" w:lineRule="auto"/>
        <w:ind w:firstLineChars="200" w:firstLine="361"/>
        <w:rPr>
          <w:rFonts w:hAnsi="宋体"/>
          <w:sz w:val="18"/>
          <w:szCs w:val="18"/>
        </w:rPr>
      </w:pPr>
      <w:r>
        <w:rPr>
          <w:rFonts w:hAnsi="宋体" w:hint="eastAsia"/>
          <w:b/>
          <w:bCs/>
          <w:sz w:val="18"/>
          <w:szCs w:val="18"/>
        </w:rPr>
        <w:t>3.非标准化债权类资产</w:t>
      </w:r>
    </w:p>
    <w:p w:rsidR="004A6D8C" w:rsidRDefault="00C1729C">
      <w:pPr>
        <w:pStyle w:val="Default"/>
        <w:spacing w:line="360" w:lineRule="auto"/>
        <w:ind w:firstLineChars="200" w:firstLine="360"/>
        <w:rPr>
          <w:rFonts w:hAnsi="宋体"/>
          <w:sz w:val="18"/>
          <w:szCs w:val="18"/>
        </w:rPr>
      </w:pPr>
      <w:r>
        <w:rPr>
          <w:rFonts w:hAnsi="宋体" w:hint="eastAsia"/>
          <w:sz w:val="18"/>
          <w:szCs w:val="18"/>
        </w:rPr>
        <w:t>非标准化债权类资产，是指不满足中国人民银行制定的标准化债权类资产认定标准的债权类资产。可选取第三方估值机构的价格数据或采用估值技术进行估值；若无法采用估值技术可靠计量公允价值，可</w:t>
      </w:r>
      <w:proofErr w:type="gramStart"/>
      <w:r>
        <w:rPr>
          <w:rFonts w:hAnsi="宋体" w:hint="eastAsia"/>
          <w:sz w:val="18"/>
          <w:szCs w:val="18"/>
        </w:rPr>
        <w:t>按摊余成本</w:t>
      </w:r>
      <w:proofErr w:type="gramEnd"/>
      <w:r>
        <w:rPr>
          <w:rFonts w:hAnsi="宋体" w:hint="eastAsia"/>
          <w:sz w:val="18"/>
          <w:szCs w:val="18"/>
        </w:rPr>
        <w:t>计量。</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4.上市公司股票估值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上市公司股票包括正常流通普通股、流通受限股票、长期停牌股票和新发行未上市股票。具体估值方法如下：</w:t>
      </w:r>
    </w:p>
    <w:p w:rsidR="004A6D8C" w:rsidRDefault="00C1729C">
      <w:pPr>
        <w:pStyle w:val="Default"/>
        <w:spacing w:line="360" w:lineRule="auto"/>
        <w:ind w:firstLineChars="200" w:firstLine="360"/>
        <w:rPr>
          <w:rFonts w:hAnsi="宋体"/>
          <w:sz w:val="18"/>
          <w:szCs w:val="18"/>
        </w:rPr>
      </w:pPr>
      <w:r>
        <w:rPr>
          <w:rFonts w:hAnsi="宋体" w:hint="eastAsia"/>
          <w:sz w:val="18"/>
          <w:szCs w:val="18"/>
        </w:rPr>
        <w:t>（1）在证券交易所上市流通的股票，估值日有交易的，按估值日收盘价估值；估值日无交易，且最近交易日后未发生影响公允价值计量的重大事件的，按最近交易日的收盘价估值；估值日无交易，且最近交易日后发生影响公允价值计量的重大事件的，应参考类似投资品种的现行价格及重大变化因素，调整最近交易日的收盘价确定公允价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（2）送股、转增股、配股和公开增发新股等发行未上市的股票，按估值日在证券交易所上市的同一股票的收盘价或最近交易日的收盘价确定公允价值。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3）通过公开、非公开等方式取得且有明确限售期的股票，在限售期内，应以证券交易所上市交易的同一股票的公允价值为基础，引入流动性折扣进行估值。流动性折扣可依据第三方估值机构提供的数据，或采用看跌期权法以及其他合理的估值方法分析确定。</w:t>
      </w:r>
    </w:p>
    <w:p w:rsidR="004A6D8C" w:rsidRDefault="00C1729C">
      <w:pPr>
        <w:pStyle w:val="Default"/>
        <w:spacing w:line="360" w:lineRule="auto"/>
        <w:ind w:firstLineChars="200" w:firstLine="360"/>
        <w:rPr>
          <w:rFonts w:hAnsi="宋体"/>
          <w:sz w:val="18"/>
          <w:szCs w:val="18"/>
        </w:rPr>
      </w:pPr>
      <w:r>
        <w:rPr>
          <w:rFonts w:hAnsi="宋体" w:hint="eastAsia"/>
          <w:sz w:val="18"/>
          <w:szCs w:val="18"/>
        </w:rPr>
        <w:t>（4）长期停牌股票，根据停牌原因、停牌时间及停牌公司公告等信息，采用估值技术确定公允价值。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（5）新发行未上市股票，如果发行日后未发生影响公允价值计量的重大事件的，应采用发行价作为公允价值的最佳估计，已发生影响公允价值计量重大事件的应采用估值技术确定公允价值。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5.未上市公司股权</w:t>
      </w:r>
    </w:p>
    <w:p w:rsidR="004A6D8C" w:rsidRDefault="00C1729C">
      <w:pPr>
        <w:pStyle w:val="Default"/>
        <w:spacing w:line="360" w:lineRule="auto"/>
        <w:ind w:firstLineChars="200" w:firstLine="360"/>
        <w:rPr>
          <w:rFonts w:hAnsi="宋体"/>
          <w:sz w:val="18"/>
          <w:szCs w:val="18"/>
        </w:rPr>
      </w:pPr>
      <w:r>
        <w:rPr>
          <w:rFonts w:hAnsi="宋体" w:hint="eastAsia"/>
          <w:sz w:val="18"/>
          <w:szCs w:val="18"/>
        </w:rPr>
        <w:t>以公允价值计量，应综合考虑被评估企业实际情况、市场交易情况及其他可获得的信息，采用市场法、收益法、重置成本法等估值技术，结合流动性折扣等因素评估公允价值。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6.优先股</w:t>
      </w:r>
    </w:p>
    <w:p w:rsidR="004A6D8C" w:rsidRDefault="00C1729C">
      <w:pPr>
        <w:pStyle w:val="Default"/>
        <w:spacing w:line="360" w:lineRule="auto"/>
        <w:ind w:firstLineChars="200" w:firstLine="360"/>
        <w:rPr>
          <w:rFonts w:hAnsi="宋体"/>
          <w:sz w:val="18"/>
          <w:szCs w:val="18"/>
        </w:rPr>
      </w:pPr>
      <w:r>
        <w:rPr>
          <w:rFonts w:hAnsi="宋体" w:hint="eastAsia"/>
          <w:sz w:val="18"/>
          <w:szCs w:val="18"/>
        </w:rPr>
        <w:t>优先股交易量及交易频率足以持续提供定价信息的，可按估值日或最近交易日的收盘价估值；不满足上述条件的，可根据优先股股息支付条款，采用估值模型或依据第三方估值机构提供的价格数据估值。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7.证券投资基金估值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（1）非上市基金估值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1)本产品投资的境内非货币市场基金，按所投资基金估值日的基金份额净值估值；估值日基金净值未</w:t>
      </w:r>
      <w:r>
        <w:rPr>
          <w:rFonts w:hAnsi="宋体" w:hint="eastAsia"/>
          <w:sz w:val="18"/>
          <w:szCs w:val="18"/>
        </w:rPr>
        <w:lastRenderedPageBreak/>
        <w:t>公布的，以基金管理人公布的最近一个工作日基金份额净值计算。</w:t>
      </w:r>
    </w:p>
    <w:p w:rsidR="004A6D8C" w:rsidRDefault="00C1729C">
      <w:pPr>
        <w:pStyle w:val="Default"/>
        <w:spacing w:line="360" w:lineRule="auto"/>
        <w:ind w:firstLineChars="200" w:firstLine="360"/>
        <w:rPr>
          <w:rFonts w:hAnsi="宋体"/>
          <w:sz w:val="18"/>
          <w:szCs w:val="18"/>
        </w:rPr>
      </w:pPr>
      <w:r>
        <w:rPr>
          <w:rFonts w:hAnsi="宋体" w:hint="eastAsia"/>
          <w:sz w:val="18"/>
          <w:szCs w:val="18"/>
        </w:rPr>
        <w:t>2)本产品投资的境内货币市场基金，按所投资基金前一估值日后至估值日期间（含节假日）的万份收益计提估值日基金收益。</w:t>
      </w:r>
    </w:p>
    <w:p w:rsidR="004A6D8C" w:rsidRDefault="00C1729C">
      <w:pPr>
        <w:pStyle w:val="Default"/>
        <w:spacing w:line="360" w:lineRule="auto"/>
        <w:ind w:firstLineChars="200" w:firstLine="360"/>
        <w:rPr>
          <w:rFonts w:hAnsi="宋体"/>
          <w:sz w:val="18"/>
          <w:szCs w:val="18"/>
        </w:rPr>
      </w:pPr>
      <w:r>
        <w:rPr>
          <w:rFonts w:hAnsi="宋体" w:hint="eastAsia"/>
          <w:sz w:val="18"/>
          <w:szCs w:val="18"/>
        </w:rPr>
        <w:t>（2）上市基金估值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1)本产品投资的ETF基金、境内上市定期开放式基金、封闭式基金，按照所投资基金估值日的收盘价估值；估值日无交易的，以最近交易日的收盘价估值。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2)本产品投资的境内上市开放式基金（LOF），按所投资基金估值日的基金份额净值估值；估值日基金净值未公布的，以基金管理人公布的最近一个工作日基金份额净值计算。</w:t>
      </w:r>
    </w:p>
    <w:p w:rsidR="004A6D8C" w:rsidRDefault="00C1729C">
      <w:pPr>
        <w:pStyle w:val="Default"/>
        <w:spacing w:line="360" w:lineRule="auto"/>
        <w:ind w:firstLineChars="200" w:firstLine="360"/>
        <w:rPr>
          <w:rFonts w:hAnsi="宋体"/>
          <w:sz w:val="18"/>
          <w:szCs w:val="18"/>
        </w:rPr>
      </w:pPr>
      <w:r>
        <w:rPr>
          <w:rFonts w:hAnsi="宋体" w:hint="eastAsia"/>
          <w:sz w:val="18"/>
          <w:szCs w:val="18"/>
        </w:rPr>
        <w:t>3)本产品投资的境内上市交易型货币市场基金，如所投资基金披露份额净值，则按所投资基金估值日的份额净值估值；如所投资基金披露万份（百份）收益，则按所投资基金前一估值日后至估值日期间（含节假日）的万份（百份）收益计提估值日基金收益。</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8.其他资产管理产品的估值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其他资产管理产品，指理财产品投资的除证券投资基金以外的其他资产管理产品，主要包括：资金信托，证券公司、证券公司子公司、基金管理公司、基金管理子公司、期货公司、期货公司子公司、保险资产管理机构、金融资产投资公司发行的资产管理产品。其他资产管理产品以估值</w:t>
      </w:r>
      <w:proofErr w:type="gramStart"/>
      <w:r>
        <w:rPr>
          <w:rFonts w:hAnsi="宋体" w:hint="eastAsia"/>
          <w:sz w:val="18"/>
          <w:szCs w:val="18"/>
        </w:rPr>
        <w:t>日资产</w:t>
      </w:r>
      <w:proofErr w:type="gramEnd"/>
      <w:r>
        <w:rPr>
          <w:rFonts w:hAnsi="宋体" w:hint="eastAsia"/>
          <w:sz w:val="18"/>
          <w:szCs w:val="18"/>
        </w:rPr>
        <w:t>管理人提供的单位净值进行估值，估值</w:t>
      </w:r>
      <w:proofErr w:type="gramStart"/>
      <w:r>
        <w:rPr>
          <w:rFonts w:hAnsi="宋体" w:hint="eastAsia"/>
          <w:sz w:val="18"/>
          <w:szCs w:val="18"/>
        </w:rPr>
        <w:t>日产品</w:t>
      </w:r>
      <w:proofErr w:type="gramEnd"/>
      <w:r>
        <w:rPr>
          <w:rFonts w:hAnsi="宋体" w:hint="eastAsia"/>
          <w:sz w:val="18"/>
          <w:szCs w:val="18"/>
        </w:rPr>
        <w:t>单位净值未提供的，可参考最近可获取的净值确定公允价值。</w:t>
      </w:r>
      <w:r>
        <w:rPr>
          <w:rFonts w:asciiTheme="minorEastAsia" w:eastAsiaTheme="minorEastAsia" w:hAnsiTheme="minorEastAsia" w:hint="eastAsia"/>
          <w:bCs/>
          <w:sz w:val="18"/>
          <w:szCs w:val="18"/>
        </w:rPr>
        <w:t>若无法获取净值，产品管理人可与托管人商定后，采用在当前情况下适用的估值技术确定公允价值。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9.衍生金融工具估值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 xml:space="preserve">期货、互换、期权、远期、权证等衍生金融工具场内交易的，按估值日交易所公布的当日结算价估值；如估值日无交易，且最近交易日后未发生影响公允价值计量的重大事件的，按交易所最近交易日结算价进行估值。上述衍生金融工具场外交易的，按照第三方机构提供的估值数据或采取相应的衍生金融工具估值模型进行估值。 </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10.存款、拆借、回购等货币市场工具的估值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以本金列示，按商定利率在实际持有期间内逐日计提利息。如有估值技术能更准确反映其公允价值的，采用估值技术进行估值。</w:t>
      </w:r>
    </w:p>
    <w:p w:rsidR="004A6D8C" w:rsidRDefault="00C1729C">
      <w:pPr>
        <w:pStyle w:val="Default"/>
        <w:spacing w:line="360" w:lineRule="auto"/>
        <w:ind w:firstLineChars="200" w:firstLine="360"/>
        <w:rPr>
          <w:rFonts w:hAnsi="宋体"/>
          <w:sz w:val="18"/>
          <w:szCs w:val="18"/>
        </w:rPr>
      </w:pPr>
      <w:r>
        <w:rPr>
          <w:rFonts w:hAnsi="宋体" w:hint="eastAsia"/>
          <w:sz w:val="18"/>
          <w:szCs w:val="18"/>
        </w:rPr>
        <w:t>11.如有确凿证据表明按上述方法进行估值不能客观反映其公允价值的，产品管理人可根据具体情况与产品托管人商定后，在综合考虑市场成交、市场报价、流动性、收益率曲线等因素基础上，按最能反映公允价值的价格估值。</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12.★估值方法的调整</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若因相关法律法规以及监管部门有规定，需要调整估值方法的，管理人应按相关规定要求使用调整后</w:t>
      </w:r>
      <w:r>
        <w:rPr>
          <w:rFonts w:ascii="黑体" w:eastAsia="黑体" w:hAnsi="黑体" w:hint="eastAsia"/>
          <w:sz w:val="18"/>
          <w:szCs w:val="18"/>
        </w:rPr>
        <w:lastRenderedPageBreak/>
        <w:t>的估值方法进行估值。</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（五）估值程序</w:t>
      </w:r>
    </w:p>
    <w:p w:rsidR="004A6D8C" w:rsidRDefault="00C1729C">
      <w:pPr>
        <w:pStyle w:val="Default"/>
        <w:spacing w:line="360" w:lineRule="auto"/>
        <w:ind w:firstLineChars="200" w:firstLine="360"/>
        <w:rPr>
          <w:rFonts w:hAnsi="宋体"/>
          <w:sz w:val="18"/>
          <w:szCs w:val="18"/>
        </w:rPr>
      </w:pPr>
      <w:r>
        <w:rPr>
          <w:rFonts w:hAnsi="宋体" w:hint="eastAsia"/>
          <w:sz w:val="18"/>
          <w:szCs w:val="18"/>
        </w:rPr>
        <w:t>1.产品份额净值是按照估值</w:t>
      </w:r>
      <w:proofErr w:type="gramStart"/>
      <w:r>
        <w:rPr>
          <w:rFonts w:hAnsi="宋体" w:hint="eastAsia"/>
          <w:sz w:val="18"/>
          <w:szCs w:val="18"/>
        </w:rPr>
        <w:t>日产品</w:t>
      </w:r>
      <w:proofErr w:type="gramEnd"/>
      <w:r>
        <w:rPr>
          <w:rFonts w:hAnsi="宋体" w:hint="eastAsia"/>
          <w:sz w:val="18"/>
          <w:szCs w:val="18"/>
        </w:rPr>
        <w:t>资产净值除以当日产品总份额计算，四舍五入保留5位小数。国家另有规定的，从其规定。</w:t>
      </w:r>
    </w:p>
    <w:p w:rsidR="004A6D8C" w:rsidRDefault="00C1729C">
      <w:pPr>
        <w:pStyle w:val="Default"/>
        <w:spacing w:line="360" w:lineRule="auto"/>
        <w:ind w:firstLineChars="200" w:firstLine="360"/>
        <w:rPr>
          <w:rFonts w:hAnsi="宋体"/>
          <w:sz w:val="18"/>
          <w:szCs w:val="18"/>
        </w:rPr>
      </w:pPr>
      <w:r>
        <w:rPr>
          <w:rFonts w:hAnsi="宋体" w:hint="eastAsia"/>
          <w:sz w:val="18"/>
          <w:szCs w:val="18"/>
        </w:rPr>
        <w:t xml:space="preserve">2.产品管理人对理财资产估值后，将产品份额净值发送产品托管人，经产品托管人复核无误后，由产品管理人按规定对外公布。 </w:t>
      </w:r>
    </w:p>
    <w:p w:rsidR="004A6D8C" w:rsidRDefault="00C1729C">
      <w:pPr>
        <w:pStyle w:val="Default"/>
        <w:spacing w:line="360" w:lineRule="auto"/>
        <w:ind w:firstLineChars="200" w:firstLine="360"/>
        <w:rPr>
          <w:rFonts w:hAnsi="宋体"/>
          <w:sz w:val="18"/>
          <w:szCs w:val="18"/>
        </w:rPr>
      </w:pPr>
      <w:r>
        <w:rPr>
          <w:rFonts w:hAnsi="宋体" w:hint="eastAsia"/>
          <w:sz w:val="18"/>
          <w:szCs w:val="18"/>
        </w:rPr>
        <w:t xml:space="preserve">3. 如产品管理人或产品托管人发现理财估值违反本说明书约定的估值方法、程序及相关法律法规的规定或者未能充分维护理财份额持有人权益时，应立即通知对方，共同查明原因，双方协商解决。 </w:t>
      </w:r>
    </w:p>
    <w:p w:rsidR="004A6D8C" w:rsidRDefault="00C1729C">
      <w:pPr>
        <w:pStyle w:val="Default"/>
        <w:spacing w:line="360" w:lineRule="auto"/>
        <w:ind w:firstLineChars="200" w:firstLine="361"/>
        <w:rPr>
          <w:rFonts w:hAnsi="宋体"/>
          <w:b/>
          <w:bCs/>
          <w:sz w:val="18"/>
          <w:szCs w:val="18"/>
        </w:rPr>
      </w:pPr>
      <w:r>
        <w:rPr>
          <w:rFonts w:hAnsi="宋体" w:hint="eastAsia"/>
          <w:b/>
          <w:bCs/>
          <w:sz w:val="18"/>
          <w:szCs w:val="18"/>
        </w:rPr>
        <w:t>（六）估值主体</w:t>
      </w:r>
    </w:p>
    <w:p w:rsidR="004A6D8C" w:rsidRDefault="00C1729C">
      <w:pPr>
        <w:pStyle w:val="Default"/>
        <w:spacing w:line="360" w:lineRule="auto"/>
        <w:ind w:firstLineChars="200" w:firstLine="360"/>
        <w:rPr>
          <w:rFonts w:hAnsi="宋体"/>
          <w:sz w:val="18"/>
          <w:szCs w:val="18"/>
        </w:rPr>
      </w:pPr>
      <w:r>
        <w:rPr>
          <w:rFonts w:hAnsi="宋体" w:hint="eastAsia"/>
          <w:sz w:val="18"/>
          <w:szCs w:val="18"/>
        </w:rPr>
        <w:t>理财会计责任方根据有关法律法规，理财资产净值计算和理财会计核算的义务由产品管理人承担。本产品的理财会计责任方由产品管理人担任。因此，就与本产品有关的会计问题，如经相关各方在平等基础上充分讨论后，仍无法达成一致的意见，按照产品管理人对理财资产净值的计算结果对外予以公布。</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（七）★暂停估值</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当发生以下情况时，产品管理人可暂停估值。估值条件恢复时，将按规定完成估值工作：</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1.理财产品投资涉及的交易市场遇法定节假日或其他原因暂停营业时；</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2.因任何不可抗力致使理财产品管理人、托管人无法准确评估资产价值时；</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3.开放式理财产品在前一估值日内理财产品资产净值50%以上的资产不具备活跃交易市场或者在活跃市场中无报价，且不能采用估值技术可靠计量公允价值的；</w:t>
      </w:r>
    </w:p>
    <w:p w:rsidR="004A6D8C" w:rsidRDefault="00C1729C">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4.监管机构规定的其他情形。</w:t>
      </w:r>
    </w:p>
    <w:p w:rsidR="004A6D8C" w:rsidRDefault="00C1729C">
      <w:pPr>
        <w:widowControl/>
        <w:spacing w:line="360" w:lineRule="auto"/>
        <w:jc w:val="left"/>
        <w:rPr>
          <w:rFonts w:ascii="宋体" w:hAnsi="宋体"/>
          <w:kern w:val="0"/>
          <w:sz w:val="18"/>
          <w:szCs w:val="18"/>
        </w:rPr>
      </w:pPr>
      <w:r>
        <w:rPr>
          <w:rFonts w:hAnsi="宋体"/>
          <w:sz w:val="18"/>
          <w:szCs w:val="18"/>
        </w:rPr>
        <w:br w:type="page"/>
      </w:r>
    </w:p>
    <w:p w:rsidR="004A6D8C" w:rsidRDefault="00C1729C">
      <w:pPr>
        <w:pStyle w:val="1"/>
        <w:spacing w:before="0" w:after="0" w:line="360" w:lineRule="auto"/>
        <w:ind w:left="60" w:firstLine="10"/>
        <w:jc w:val="center"/>
        <w:rPr>
          <w:rFonts w:ascii="Times New Roman"/>
          <w:sz w:val="30"/>
        </w:rPr>
      </w:pPr>
      <w:bookmarkStart w:id="65" w:name="_Hlt70481650"/>
      <w:bookmarkStart w:id="66" w:name="_Toc139991737"/>
      <w:bookmarkStart w:id="67" w:name="_Toc79154671"/>
      <w:bookmarkStart w:id="68" w:name="_Toc141703887"/>
      <w:bookmarkStart w:id="69" w:name="_Toc123102454"/>
      <w:bookmarkStart w:id="70" w:name="_Toc12245"/>
      <w:bookmarkStart w:id="71" w:name="_Toc3601"/>
      <w:bookmarkStart w:id="72" w:name="_Toc29251"/>
      <w:bookmarkStart w:id="73" w:name="_Toc31235"/>
      <w:bookmarkStart w:id="74" w:name="_Toc123112235"/>
      <w:bookmarkStart w:id="75" w:name="_Toc98560353"/>
      <w:bookmarkStart w:id="76" w:name="_Toc15143"/>
      <w:bookmarkStart w:id="77" w:name="_Toc6405"/>
      <w:bookmarkStart w:id="78" w:name="_Toc88747127"/>
      <w:bookmarkStart w:id="79" w:name="_Toc14835"/>
      <w:bookmarkStart w:id="80" w:name="_Toc123051453"/>
      <w:bookmarkStart w:id="81" w:name="_Toc26207"/>
      <w:bookmarkStart w:id="82" w:name="_Toc31644"/>
      <w:bookmarkStart w:id="83" w:name="_Toc74065744"/>
      <w:bookmarkStart w:id="84" w:name="_Toc31653"/>
      <w:bookmarkEnd w:id="65"/>
      <w:r>
        <w:rPr>
          <w:rFonts w:ascii="Times New Roman"/>
          <w:sz w:val="30"/>
        </w:rPr>
        <w:lastRenderedPageBreak/>
        <w:t>第八</w:t>
      </w:r>
      <w:r>
        <w:rPr>
          <w:rFonts w:ascii="Times New Roman" w:hint="eastAsia"/>
          <w:sz w:val="30"/>
        </w:rPr>
        <w:t>条</w:t>
      </w:r>
      <w:r>
        <w:rPr>
          <w:rFonts w:ascii="Times New Roman"/>
          <w:sz w:val="30"/>
        </w:rPr>
        <w:t xml:space="preserve">  </w:t>
      </w:r>
      <w:r>
        <w:rPr>
          <w:rFonts w:ascii="Times New Roman" w:hint="eastAsia"/>
          <w:sz w:val="30"/>
        </w:rPr>
        <w:t>理财产品的利益分配</w:t>
      </w:r>
      <w:bookmarkStart w:id="85" w:name="_Hlt55355235"/>
      <w:bookmarkStart w:id="86" w:name="_Toc57530239"/>
      <w:bookmarkStart w:id="87" w:name="_Toc79392580"/>
      <w:bookmarkStart w:id="88" w:name="_Toc15118234"/>
      <w:bookmarkStart w:id="89" w:name="_Toc523711668"/>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rsidR="004A6D8C" w:rsidRDefault="00C1729C">
      <w:pPr>
        <w:pStyle w:val="Default"/>
        <w:spacing w:line="360" w:lineRule="auto"/>
        <w:ind w:firstLineChars="200" w:firstLine="361"/>
        <w:rPr>
          <w:rFonts w:hAnsi="宋体"/>
          <w:b/>
          <w:color w:val="auto"/>
          <w:sz w:val="18"/>
          <w:szCs w:val="18"/>
        </w:rPr>
      </w:pPr>
      <w:r>
        <w:rPr>
          <w:rFonts w:hAnsi="宋体" w:hint="eastAsia"/>
          <w:b/>
          <w:color w:val="auto"/>
          <w:sz w:val="18"/>
          <w:szCs w:val="18"/>
        </w:rPr>
        <w:t>（一）理财利益的分配类型</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1. 依据分配时点，理财利益的分配可分为“期间分配”与“终止分配”。</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2. 依据分配方式，理财利益的分配可分为“现金分配”与“非现金分配”。</w:t>
      </w:r>
    </w:p>
    <w:p w:rsidR="004A6D8C" w:rsidRDefault="00C1729C">
      <w:pPr>
        <w:pStyle w:val="Default"/>
        <w:spacing w:line="360" w:lineRule="auto"/>
        <w:ind w:firstLineChars="200" w:firstLine="361"/>
        <w:rPr>
          <w:rFonts w:hAnsi="宋体"/>
          <w:color w:val="auto"/>
          <w:sz w:val="18"/>
          <w:szCs w:val="18"/>
        </w:rPr>
      </w:pPr>
      <w:r>
        <w:rPr>
          <w:rFonts w:hAnsi="宋体" w:hint="eastAsia"/>
          <w:b/>
          <w:color w:val="auto"/>
          <w:sz w:val="18"/>
          <w:szCs w:val="18"/>
        </w:rPr>
        <w:t>（二）理财利益的分配原则</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 xml:space="preserve">1.本产品利益分配应遵循下列原则： </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每一产品份额享有同等分配权。</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2.在不违反法律法规、理财产品销售文件约定以及对份额持有人权益无实质性不利影响的情况下，</w:t>
      </w:r>
      <w:r>
        <w:rPr>
          <w:rFonts w:asciiTheme="majorEastAsia" w:eastAsiaTheme="majorEastAsia" w:hAnsiTheme="majorEastAsia" w:hint="eastAsia"/>
          <w:bCs/>
          <w:color w:val="auto"/>
          <w:sz w:val="18"/>
          <w:szCs w:val="18"/>
        </w:rPr>
        <w:t>产品管理人</w:t>
      </w:r>
      <w:r>
        <w:rPr>
          <w:rFonts w:hAnsi="宋体" w:hint="eastAsia"/>
          <w:color w:val="auto"/>
          <w:sz w:val="18"/>
          <w:szCs w:val="18"/>
        </w:rPr>
        <w:t>可调整本产品利益的分配原则和支付方式。法律法规或监管机构另有规定的从其规定。</w:t>
      </w:r>
    </w:p>
    <w:p w:rsidR="004A6D8C" w:rsidRDefault="00C1729C">
      <w:pPr>
        <w:pStyle w:val="Default"/>
        <w:spacing w:line="360" w:lineRule="auto"/>
        <w:ind w:firstLineChars="200" w:firstLine="361"/>
        <w:rPr>
          <w:rFonts w:hAnsi="宋体"/>
          <w:b/>
          <w:bCs/>
          <w:color w:val="auto"/>
          <w:sz w:val="18"/>
          <w:szCs w:val="18"/>
        </w:rPr>
      </w:pPr>
      <w:r>
        <w:rPr>
          <w:rFonts w:hAnsi="宋体" w:hint="eastAsia"/>
          <w:b/>
          <w:bCs/>
          <w:color w:val="auto"/>
          <w:sz w:val="18"/>
          <w:szCs w:val="18"/>
        </w:rPr>
        <w:t>（三）理财利益的分配方案</w:t>
      </w:r>
    </w:p>
    <w:p w:rsidR="004A6D8C" w:rsidRDefault="00C1729C">
      <w:pPr>
        <w:pStyle w:val="Default"/>
        <w:spacing w:line="360" w:lineRule="auto"/>
        <w:ind w:firstLineChars="200" w:firstLine="361"/>
        <w:rPr>
          <w:rFonts w:hAnsi="宋体"/>
          <w:b/>
          <w:bCs/>
          <w:color w:val="auto"/>
          <w:sz w:val="18"/>
          <w:szCs w:val="18"/>
        </w:rPr>
      </w:pPr>
      <w:permStart w:id="34633185" w:edGrp="everyone"/>
      <w:r>
        <w:rPr>
          <w:rFonts w:hAnsi="宋体" w:hint="eastAsia"/>
          <w:b/>
          <w:bCs/>
          <w:color w:val="auto"/>
          <w:sz w:val="18"/>
          <w:szCs w:val="18"/>
        </w:rPr>
        <w:t>1.分配方案要点：</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（1）本产品的分配时点包括“期间分配”和“终止分配”。</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（2）本产品的分配方式仅采取“现金分配”。</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2.具体理财利益分配方案由产品管理人拟定，并由产品托管人复核后确定。</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3.理财产品存续期间，产品管理人有权视理财产品收益情况进行主动分配，相应分配基准日、分配方案由管理人及时披露。</w:t>
      </w:r>
    </w:p>
    <w:permEnd w:id="34633185"/>
    <w:p w:rsidR="004A6D8C" w:rsidRDefault="00C1729C">
      <w:pPr>
        <w:spacing w:line="360" w:lineRule="auto"/>
        <w:ind w:firstLine="360"/>
        <w:rPr>
          <w:rFonts w:ascii="宋体" w:hAnsi="宋体"/>
          <w:b/>
          <w:sz w:val="18"/>
          <w:szCs w:val="18"/>
        </w:rPr>
      </w:pPr>
      <w:r>
        <w:rPr>
          <w:rFonts w:ascii="宋体" w:hAnsi="宋体" w:hint="eastAsia"/>
          <w:b/>
          <w:kern w:val="0"/>
          <w:sz w:val="18"/>
          <w:szCs w:val="18"/>
        </w:rPr>
        <w:t>（四）理财利益的分配</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1.理财利益的分配日</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（1）若为期间分配的，原则上产品管理人应于分配基准日后【5】</w:t>
      </w:r>
      <w:proofErr w:type="gramStart"/>
      <w:r>
        <w:rPr>
          <w:rFonts w:hAnsi="宋体" w:hint="eastAsia"/>
          <w:color w:val="auto"/>
          <w:sz w:val="18"/>
          <w:szCs w:val="18"/>
        </w:rPr>
        <w:t>个</w:t>
      </w:r>
      <w:proofErr w:type="gramEnd"/>
      <w:r>
        <w:rPr>
          <w:rFonts w:hAnsi="宋体" w:hint="eastAsia"/>
          <w:color w:val="auto"/>
          <w:sz w:val="18"/>
          <w:szCs w:val="18"/>
        </w:rPr>
        <w:t>工作日内分配理财利益（如有）。</w:t>
      </w:r>
    </w:p>
    <w:p w:rsidR="004A6D8C" w:rsidRDefault="00C1729C">
      <w:pPr>
        <w:pStyle w:val="Default"/>
        <w:spacing w:line="360" w:lineRule="auto"/>
        <w:ind w:firstLineChars="200" w:firstLine="360"/>
        <w:rPr>
          <w:rFonts w:hAnsi="宋体"/>
          <w:color w:val="auto"/>
          <w:sz w:val="18"/>
          <w:szCs w:val="18"/>
        </w:rPr>
      </w:pPr>
      <w:r>
        <w:rPr>
          <w:rFonts w:hAnsi="宋体" w:hint="eastAsia"/>
          <w:color w:val="auto"/>
          <w:sz w:val="18"/>
          <w:szCs w:val="18"/>
        </w:rPr>
        <w:t>（2）若为终止分配的，产品管理人应按“第十条 理财产品的终止与清算”中产品清算期的相关约定向投资者分配理财利益（如有）。</w:t>
      </w:r>
    </w:p>
    <w:p w:rsidR="004A6D8C" w:rsidRDefault="00C1729C">
      <w:pPr>
        <w:widowControl/>
        <w:spacing w:line="360" w:lineRule="auto"/>
        <w:ind w:firstLine="420"/>
        <w:jc w:val="left"/>
        <w:rPr>
          <w:rFonts w:ascii="宋体" w:hAnsi="宋体"/>
          <w:kern w:val="0"/>
          <w:sz w:val="18"/>
          <w:szCs w:val="18"/>
        </w:rPr>
      </w:pPr>
      <w:r>
        <w:rPr>
          <w:rFonts w:hAnsi="宋体"/>
          <w:sz w:val="18"/>
          <w:szCs w:val="18"/>
        </w:rPr>
        <w:t>2.</w:t>
      </w:r>
      <w:r>
        <w:rPr>
          <w:rFonts w:hAnsi="宋体" w:hint="eastAsia"/>
          <w:sz w:val="18"/>
          <w:szCs w:val="18"/>
        </w:rPr>
        <w:t>具体的理财利益分配以管理人实际分配的为准。</w:t>
      </w:r>
      <w:r>
        <w:rPr>
          <w:rFonts w:hAnsi="宋体"/>
          <w:sz w:val="18"/>
          <w:szCs w:val="18"/>
        </w:rPr>
        <w:br w:type="page"/>
      </w:r>
    </w:p>
    <w:p w:rsidR="004A6D8C" w:rsidRDefault="00C1729C">
      <w:pPr>
        <w:pStyle w:val="1"/>
        <w:spacing w:before="0" w:after="0" w:line="360" w:lineRule="auto"/>
        <w:jc w:val="center"/>
        <w:rPr>
          <w:rFonts w:ascii="Times New Roman"/>
          <w:sz w:val="30"/>
        </w:rPr>
      </w:pPr>
      <w:bookmarkStart w:id="90" w:name="_Hlt88825574"/>
      <w:bookmarkStart w:id="91" w:name="_Hlt88897298"/>
      <w:bookmarkStart w:id="92" w:name="_Toc79154672"/>
      <w:bookmarkStart w:id="93" w:name="_Toc123102455"/>
      <w:bookmarkStart w:id="94" w:name="_Toc79392583"/>
      <w:bookmarkStart w:id="95" w:name="_Toc6447"/>
      <w:bookmarkStart w:id="96" w:name="_Toc18567"/>
      <w:bookmarkStart w:id="97" w:name="_Toc4559"/>
      <w:bookmarkStart w:id="98" w:name="_Toc139991738"/>
      <w:bookmarkStart w:id="99" w:name="_Toc11030"/>
      <w:bookmarkStart w:id="100" w:name="_Toc3771"/>
      <w:bookmarkStart w:id="101" w:name="_Toc98560354"/>
      <w:bookmarkStart w:id="102" w:name="_Toc7058"/>
      <w:bookmarkStart w:id="103" w:name="_Toc141703888"/>
      <w:bookmarkStart w:id="104" w:name="_Toc88747128"/>
      <w:bookmarkStart w:id="105" w:name="_Toc74065745"/>
      <w:bookmarkStart w:id="106" w:name="_Toc123051454"/>
      <w:bookmarkStart w:id="107" w:name="_Toc123112236"/>
      <w:bookmarkStart w:id="108" w:name="_Toc25783"/>
      <w:bookmarkStart w:id="109" w:name="_Toc9706"/>
      <w:bookmarkStart w:id="110" w:name="_Toc3321"/>
      <w:bookmarkStart w:id="111" w:name="_Toc10650"/>
      <w:bookmarkEnd w:id="86"/>
      <w:bookmarkEnd w:id="87"/>
      <w:bookmarkEnd w:id="88"/>
      <w:bookmarkEnd w:id="89"/>
      <w:bookmarkEnd w:id="90"/>
      <w:bookmarkEnd w:id="91"/>
      <w:r>
        <w:rPr>
          <w:rFonts w:ascii="Times New Roman"/>
          <w:sz w:val="30"/>
        </w:rPr>
        <w:lastRenderedPageBreak/>
        <w:t>第九</w:t>
      </w:r>
      <w:r>
        <w:rPr>
          <w:rFonts w:ascii="Times New Roman" w:hint="eastAsia"/>
          <w:sz w:val="30"/>
        </w:rPr>
        <w:t>条</w:t>
      </w:r>
      <w:r>
        <w:rPr>
          <w:rFonts w:ascii="Times New Roman"/>
          <w:sz w:val="30"/>
        </w:rPr>
        <w:t xml:space="preserve">  </w:t>
      </w:r>
      <w:r>
        <w:rPr>
          <w:rFonts w:ascii="Times New Roman" w:hint="eastAsia"/>
          <w:sz w:val="30"/>
        </w:rPr>
        <w:t>理财产品的费用与税收</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rsidR="004A6D8C" w:rsidRDefault="00C1729C">
      <w:pPr>
        <w:pStyle w:val="Default"/>
        <w:spacing w:line="360" w:lineRule="auto"/>
        <w:ind w:firstLineChars="200" w:firstLine="361"/>
        <w:rPr>
          <w:rFonts w:asciiTheme="majorEastAsia" w:eastAsiaTheme="majorEastAsia" w:hAnsiTheme="majorEastAsia"/>
          <w:b/>
          <w:color w:val="auto"/>
          <w:sz w:val="18"/>
          <w:szCs w:val="18"/>
        </w:rPr>
      </w:pPr>
      <w:bookmarkStart w:id="112" w:name="_Toc3963"/>
      <w:bookmarkStart w:id="113" w:name="_Toc1745"/>
      <w:r>
        <w:rPr>
          <w:rFonts w:asciiTheme="majorEastAsia" w:eastAsiaTheme="majorEastAsia" w:hAnsiTheme="majorEastAsia" w:hint="eastAsia"/>
          <w:b/>
          <w:color w:val="auto"/>
          <w:sz w:val="18"/>
          <w:szCs w:val="18"/>
        </w:rPr>
        <w:t>（一）理财产品的费用</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1.理财产品费用的种类</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（1）理财产品的认购费；</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（2）理财产品的销售服务费；</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（3）理财产品的投资管理费及超额业绩报酬；</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（4）理财产品的产品托管费；</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（5）理财产品的证券交易费用；</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（6）理财产品</w:t>
      </w:r>
      <w:proofErr w:type="gramStart"/>
      <w:r>
        <w:rPr>
          <w:rFonts w:ascii="宋体" w:hAnsi="宋体" w:hint="eastAsia"/>
          <w:kern w:val="0"/>
          <w:sz w:val="18"/>
          <w:szCs w:val="18"/>
        </w:rPr>
        <w:t>验</w:t>
      </w:r>
      <w:proofErr w:type="gramEnd"/>
      <w:r>
        <w:rPr>
          <w:rFonts w:ascii="宋体" w:hAnsi="宋体" w:hint="eastAsia"/>
          <w:kern w:val="0"/>
          <w:sz w:val="18"/>
          <w:szCs w:val="18"/>
        </w:rPr>
        <w:t>资费、审计费、律师费、信息披露费、清算费、执行费用等相关费用；</w:t>
      </w:r>
    </w:p>
    <w:p w:rsidR="004A6D8C" w:rsidRDefault="00C1729C">
      <w:pPr>
        <w:widowControl/>
        <w:spacing w:line="360" w:lineRule="auto"/>
        <w:ind w:firstLineChars="200" w:firstLine="360"/>
        <w:jc w:val="left"/>
        <w:rPr>
          <w:rFonts w:hAnsi="宋体"/>
          <w:sz w:val="18"/>
          <w:szCs w:val="18"/>
        </w:rPr>
      </w:pPr>
      <w:r>
        <w:rPr>
          <w:rFonts w:ascii="宋体" w:hAnsi="宋体" w:hint="eastAsia"/>
          <w:kern w:val="0"/>
          <w:sz w:val="18"/>
          <w:szCs w:val="18"/>
        </w:rPr>
        <w:t>（7）按照国家法律法规规定可以列入的其他费用。</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2.理财产品费用计提方法、计提标准和支付方式</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（1）理财产品的认购费</w:t>
      </w:r>
    </w:p>
    <w:p w:rsidR="004A6D8C" w:rsidRDefault="00C1729C">
      <w:pPr>
        <w:widowControl/>
        <w:spacing w:line="360" w:lineRule="auto"/>
        <w:ind w:firstLineChars="200" w:firstLine="360"/>
        <w:jc w:val="left"/>
        <w:rPr>
          <w:rFonts w:ascii="宋体" w:hAnsi="宋体"/>
          <w:sz w:val="18"/>
          <w:szCs w:val="18"/>
        </w:rPr>
      </w:pPr>
      <w:r>
        <w:rPr>
          <w:rFonts w:asciiTheme="majorEastAsia" w:eastAsiaTheme="majorEastAsia" w:hAnsiTheme="majorEastAsia" w:hint="eastAsia"/>
          <w:bCs/>
          <w:sz w:val="18"/>
          <w:szCs w:val="18"/>
        </w:rPr>
        <w:t>费率具体数值以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bCs/>
          <w:sz w:val="18"/>
          <w:szCs w:val="18"/>
        </w:rPr>
        <w:t>为准</w:t>
      </w:r>
      <w:r>
        <w:rPr>
          <w:rFonts w:ascii="宋体" w:hAnsi="宋体" w:hint="eastAsia"/>
          <w:kern w:val="0"/>
          <w:sz w:val="18"/>
          <w:szCs w:val="18"/>
        </w:rPr>
        <w:t>。</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（2）理财产品的销售服务费</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本产品的销售服务费按前一日理财资产净值与销售服务费每日费率每日计提。销售服务费的计算方法如下：</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H＝E×销售服务费年费率÷365</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H为每日应计提的销售服务费</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E为前一日的理财资产净值</w:t>
      </w:r>
    </w:p>
    <w:p w:rsidR="004A6D8C" w:rsidRDefault="00C1729C">
      <w:pPr>
        <w:pStyle w:val="Default"/>
        <w:spacing w:line="360" w:lineRule="auto"/>
        <w:ind w:firstLineChars="200" w:firstLine="360"/>
        <w:rPr>
          <w:rFonts w:asciiTheme="majorEastAsia" w:eastAsiaTheme="majorEastAsia" w:hAnsiTheme="majorEastAsia"/>
          <w:color w:val="auto"/>
          <w:kern w:val="2"/>
          <w:sz w:val="18"/>
          <w:szCs w:val="18"/>
        </w:rPr>
      </w:pPr>
      <w:r>
        <w:rPr>
          <w:rFonts w:hAnsi="宋体" w:hint="eastAsia"/>
          <w:color w:val="auto"/>
          <w:sz w:val="18"/>
          <w:szCs w:val="18"/>
        </w:rPr>
        <w:t>销售服务费依照上述约定，从理财财产中支付。</w:t>
      </w:r>
      <w:r>
        <w:rPr>
          <w:rFonts w:asciiTheme="majorEastAsia" w:eastAsiaTheme="majorEastAsia" w:hAnsiTheme="majorEastAsia" w:hint="eastAsia"/>
          <w:color w:val="auto"/>
          <w:kern w:val="2"/>
          <w:sz w:val="18"/>
          <w:szCs w:val="18"/>
        </w:rPr>
        <w:t>费率具体数值以</w:t>
      </w:r>
      <w:r>
        <w:rPr>
          <w:rFonts w:asciiTheme="minorEastAsia" w:eastAsiaTheme="minorEastAsia" w:hAnsiTheme="minorEastAsia" w:hint="eastAsia"/>
          <w:color w:val="auto"/>
          <w:sz w:val="18"/>
          <w:szCs w:val="18"/>
        </w:rPr>
        <w:t>《产品说明书》“第二条 理财产品基本情况”</w:t>
      </w:r>
      <w:r>
        <w:rPr>
          <w:rFonts w:asciiTheme="majorEastAsia" w:eastAsiaTheme="majorEastAsia" w:hAnsiTheme="majorEastAsia" w:hint="eastAsia"/>
          <w:color w:val="auto"/>
          <w:kern w:val="2"/>
          <w:sz w:val="18"/>
          <w:szCs w:val="18"/>
        </w:rPr>
        <w:t>为准。</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（3）理财产品的投资管理费</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sz w:val="18"/>
          <w:szCs w:val="18"/>
        </w:rPr>
        <w:t>本产品的投资管理费按前一日理财资产净值与投资管理费每日费率每日计提。</w:t>
      </w:r>
      <w:r>
        <w:rPr>
          <w:rFonts w:ascii="宋体" w:hAnsi="宋体" w:hint="eastAsia"/>
          <w:kern w:val="0"/>
          <w:sz w:val="18"/>
          <w:szCs w:val="18"/>
        </w:rPr>
        <w:t>投资管理费的计算方法如下：</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H＝E×投资管理费年费率÷365</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H为每日应计提的产品投资管理费</w:t>
      </w:r>
    </w:p>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E为前一日的理财资产净值</w:t>
      </w:r>
    </w:p>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投资管理费依照上述约定，从理财财产中支付。</w:t>
      </w:r>
      <w:r>
        <w:rPr>
          <w:rFonts w:asciiTheme="majorEastAsia" w:eastAsiaTheme="majorEastAsia" w:hAnsiTheme="majorEastAsia" w:hint="eastAsia"/>
          <w:sz w:val="18"/>
          <w:szCs w:val="18"/>
        </w:rPr>
        <w:t>费率具体数值以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sz w:val="18"/>
          <w:szCs w:val="18"/>
        </w:rPr>
        <w:t>为准</w:t>
      </w:r>
      <w:r>
        <w:rPr>
          <w:rFonts w:ascii="宋体" w:hAnsi="宋体" w:hint="eastAsia"/>
          <w:kern w:val="0"/>
          <w:sz w:val="18"/>
          <w:szCs w:val="18"/>
        </w:rPr>
        <w:t>。</w:t>
      </w:r>
    </w:p>
    <w:p w:rsidR="004A6D8C" w:rsidRDefault="00C1729C">
      <w:pPr>
        <w:widowControl/>
        <w:spacing w:line="360" w:lineRule="auto"/>
        <w:ind w:firstLineChars="200" w:firstLine="360"/>
        <w:jc w:val="left"/>
        <w:rPr>
          <w:rFonts w:ascii="宋体" w:hAnsi="宋体"/>
          <w:kern w:val="0"/>
          <w:sz w:val="18"/>
          <w:szCs w:val="18"/>
        </w:rPr>
      </w:pPr>
      <w:permStart w:id="1968265968" w:edGrp="everyone"/>
      <w:r>
        <w:rPr>
          <w:rFonts w:ascii="宋体" w:hAnsi="宋体" w:hint="eastAsia"/>
          <w:kern w:val="0"/>
          <w:sz w:val="18"/>
          <w:szCs w:val="18"/>
        </w:rPr>
        <w:lastRenderedPageBreak/>
        <w:t>（4）超额业绩报酬</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在超额业绩报酬计提日时，若理财资产扣除销售服务费、产品托管费和投资管理费等相关费用和税收后，超额业绩报酬计提日产品份额净值折算的</w:t>
      </w:r>
      <w:proofErr w:type="gramStart"/>
      <w:r>
        <w:rPr>
          <w:rFonts w:asciiTheme="majorEastAsia" w:eastAsiaTheme="majorEastAsia" w:hAnsiTheme="majorEastAsia" w:hint="eastAsia"/>
          <w:sz w:val="18"/>
          <w:szCs w:val="18"/>
        </w:rPr>
        <w:t>当前年化收益率</w:t>
      </w:r>
      <w:proofErr w:type="gramEnd"/>
      <w:r>
        <w:rPr>
          <w:rFonts w:asciiTheme="majorEastAsia" w:eastAsiaTheme="majorEastAsia" w:hAnsiTheme="majorEastAsia" w:hint="eastAsia"/>
          <w:sz w:val="18"/>
          <w:szCs w:val="18"/>
        </w:rPr>
        <w:t>超过</w:t>
      </w:r>
      <w:proofErr w:type="gramStart"/>
      <w:r>
        <w:rPr>
          <w:rFonts w:asciiTheme="majorEastAsia" w:eastAsiaTheme="majorEastAsia" w:hAnsiTheme="majorEastAsia" w:hint="eastAsia"/>
          <w:sz w:val="18"/>
          <w:szCs w:val="18"/>
        </w:rPr>
        <w:t>当前业绩</w:t>
      </w:r>
      <w:proofErr w:type="gramEnd"/>
      <w:r>
        <w:rPr>
          <w:rFonts w:asciiTheme="majorEastAsia" w:eastAsiaTheme="majorEastAsia" w:hAnsiTheme="majorEastAsia" w:hint="eastAsia"/>
          <w:sz w:val="18"/>
          <w:szCs w:val="18"/>
        </w:rPr>
        <w:t>报酬计提基准，则产品管理人收取超出部分的一定比例作为超额业绩报酬。</w:t>
      </w:r>
      <w:r>
        <w:rPr>
          <w:rFonts w:ascii="黑体" w:eastAsia="黑体" w:hAnsi="黑体" w:hint="eastAsia"/>
          <w:sz w:val="18"/>
          <w:szCs w:val="18"/>
        </w:rPr>
        <w:t>★</w:t>
      </w:r>
      <w:r>
        <w:rPr>
          <w:rFonts w:asciiTheme="majorEastAsia" w:eastAsiaTheme="majorEastAsia" w:hAnsiTheme="majorEastAsia" w:hint="eastAsia"/>
          <w:sz w:val="18"/>
          <w:szCs w:val="18"/>
        </w:rPr>
        <w:t>由此造成超额业绩报酬计提日产品份额净值调整的，以调整后的数值为准进行利益分配。</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业绩报酬计提基准的设置、超额业绩报酬的具体比例数值以《</w:t>
      </w:r>
      <w:r>
        <w:rPr>
          <w:rFonts w:asciiTheme="majorEastAsia" w:eastAsiaTheme="majorEastAsia" w:hAnsiTheme="majorEastAsia" w:hint="eastAsia"/>
          <w:bCs/>
          <w:sz w:val="18"/>
          <w:szCs w:val="18"/>
        </w:rPr>
        <w:t>产品说明</w:t>
      </w:r>
      <w:r>
        <w:rPr>
          <w:rFonts w:asciiTheme="majorEastAsia" w:eastAsiaTheme="majorEastAsia" w:hAnsiTheme="majorEastAsia" w:hint="eastAsia"/>
          <w:sz w:val="18"/>
          <w:szCs w:val="18"/>
        </w:rPr>
        <w:t>书》</w:t>
      </w:r>
      <w:r>
        <w:rPr>
          <w:rFonts w:asciiTheme="minorEastAsia" w:eastAsiaTheme="minorEastAsia" w:hAnsiTheme="minorEastAsia" w:hint="eastAsia"/>
          <w:sz w:val="18"/>
          <w:szCs w:val="18"/>
        </w:rPr>
        <w:t>“第二条 理财产品基本情况”</w:t>
      </w:r>
      <w:r>
        <w:rPr>
          <w:rFonts w:asciiTheme="majorEastAsia" w:eastAsiaTheme="majorEastAsia" w:hAnsiTheme="majorEastAsia" w:hint="eastAsia"/>
          <w:sz w:val="18"/>
          <w:szCs w:val="18"/>
        </w:rPr>
        <w:t>为准。</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1）收取超额业绩报酬的原则：</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①按投资者每份产品份额分别</w:t>
      </w:r>
      <w:proofErr w:type="gramStart"/>
      <w:r>
        <w:rPr>
          <w:rFonts w:asciiTheme="majorEastAsia" w:eastAsiaTheme="majorEastAsia" w:hAnsiTheme="majorEastAsia" w:hint="eastAsia"/>
          <w:sz w:val="18"/>
          <w:szCs w:val="18"/>
        </w:rPr>
        <w:t>计算年化收益率</w:t>
      </w:r>
      <w:proofErr w:type="gramEnd"/>
      <w:r>
        <w:rPr>
          <w:rFonts w:asciiTheme="majorEastAsia" w:eastAsiaTheme="majorEastAsia" w:hAnsiTheme="majorEastAsia" w:hint="eastAsia"/>
          <w:sz w:val="18"/>
          <w:szCs w:val="18"/>
        </w:rPr>
        <w:t>并计提超额业绩报酬；</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②在超额业绩报酬计提日，本产品对符合超额业绩报酬提取条件的产品份额计提超额业绩报酬；</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③在产品终止日提取超额业绩报酬的，超额业绩报酬从清算资金中扣除；</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2）超额业绩报酬计提方法</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①超额业绩报酬计提起始日</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每份产品份额超额业绩报酬计提起始日为：募集期内认购的产品份额，以产品成立日为该份产品份额超额业绩报酬计提起始日。</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②超额业绩报酬计提日</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每份产品份额超额业绩报酬每日计提，产品终止日结算。</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③超额业绩报酬的计算</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产品管理人对每份份额</w:t>
      </w:r>
      <w:proofErr w:type="gramStart"/>
      <w:r>
        <w:rPr>
          <w:rFonts w:asciiTheme="majorEastAsia" w:eastAsiaTheme="majorEastAsia" w:hAnsiTheme="majorEastAsia" w:hint="eastAsia"/>
          <w:sz w:val="18"/>
          <w:szCs w:val="18"/>
        </w:rPr>
        <w:t>当前年化收益率</w:t>
      </w:r>
      <w:proofErr w:type="gramEnd"/>
      <w:r>
        <w:rPr>
          <w:rFonts w:asciiTheme="majorEastAsia" w:eastAsiaTheme="majorEastAsia" w:hAnsiTheme="majorEastAsia" w:hint="eastAsia"/>
          <w:sz w:val="18"/>
          <w:szCs w:val="18"/>
        </w:rPr>
        <w:t>（R）超过</w:t>
      </w:r>
      <w:proofErr w:type="gramStart"/>
      <w:r>
        <w:rPr>
          <w:rFonts w:asciiTheme="majorEastAsia" w:eastAsiaTheme="majorEastAsia" w:hAnsiTheme="majorEastAsia" w:hint="eastAsia"/>
          <w:sz w:val="18"/>
          <w:szCs w:val="18"/>
        </w:rPr>
        <w:t>当前业绩</w:t>
      </w:r>
      <w:proofErr w:type="gramEnd"/>
      <w:r>
        <w:rPr>
          <w:rFonts w:asciiTheme="majorEastAsia" w:eastAsiaTheme="majorEastAsia" w:hAnsiTheme="majorEastAsia" w:hint="eastAsia"/>
          <w:sz w:val="18"/>
          <w:szCs w:val="18"/>
        </w:rPr>
        <w:t>报酬计提基准的部分，按比例（N）以及产品份额持有天数（D）提取超额业绩报酬，计算方法如下：</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当R≤</w:t>
      </w:r>
      <w:proofErr w:type="gramStart"/>
      <w:r>
        <w:rPr>
          <w:rFonts w:asciiTheme="majorEastAsia" w:eastAsiaTheme="majorEastAsia" w:hAnsiTheme="majorEastAsia" w:hint="eastAsia"/>
          <w:sz w:val="18"/>
          <w:szCs w:val="18"/>
        </w:rPr>
        <w:t>当前业绩</w:t>
      </w:r>
      <w:proofErr w:type="gramEnd"/>
      <w:r>
        <w:rPr>
          <w:rFonts w:asciiTheme="majorEastAsia" w:eastAsiaTheme="majorEastAsia" w:hAnsiTheme="majorEastAsia" w:hint="eastAsia"/>
          <w:sz w:val="18"/>
          <w:szCs w:val="18"/>
        </w:rPr>
        <w:t>报酬计提基准，超额业绩报酬=0；</w:t>
      </w:r>
    </w:p>
    <w:p w:rsidR="004A6D8C" w:rsidRDefault="00C1729C">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当R＞</w:t>
      </w:r>
      <w:proofErr w:type="gramStart"/>
      <w:r>
        <w:rPr>
          <w:rFonts w:asciiTheme="majorEastAsia" w:eastAsiaTheme="majorEastAsia" w:hAnsiTheme="majorEastAsia" w:hint="eastAsia"/>
          <w:sz w:val="18"/>
          <w:szCs w:val="18"/>
        </w:rPr>
        <w:t>当前业绩</w:t>
      </w:r>
      <w:proofErr w:type="gramEnd"/>
      <w:r>
        <w:rPr>
          <w:rFonts w:asciiTheme="majorEastAsia" w:eastAsiaTheme="majorEastAsia" w:hAnsiTheme="majorEastAsia" w:hint="eastAsia"/>
          <w:sz w:val="18"/>
          <w:szCs w:val="18"/>
        </w:rPr>
        <w:t>报酬计提基准，超额业绩报酬=产品终止时投资者持有的产品份额×产品成立日产品份额净值×（R-</w:t>
      </w:r>
      <w:proofErr w:type="gramStart"/>
      <w:r>
        <w:rPr>
          <w:rFonts w:asciiTheme="majorEastAsia" w:eastAsiaTheme="majorEastAsia" w:hAnsiTheme="majorEastAsia" w:hint="eastAsia"/>
          <w:sz w:val="18"/>
          <w:szCs w:val="18"/>
        </w:rPr>
        <w:t>当前业绩</w:t>
      </w:r>
      <w:proofErr w:type="gramEnd"/>
      <w:r>
        <w:rPr>
          <w:rFonts w:asciiTheme="majorEastAsia" w:eastAsiaTheme="majorEastAsia" w:hAnsiTheme="majorEastAsia" w:hint="eastAsia"/>
          <w:sz w:val="18"/>
          <w:szCs w:val="18"/>
        </w:rPr>
        <w:t>报酬计提基准）×N×D/365。</w:t>
      </w:r>
    </w:p>
    <w:permEnd w:id="1968265968"/>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（5）理财产品的产品托管费</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sz w:val="18"/>
          <w:szCs w:val="18"/>
        </w:rPr>
        <w:t>本产品的产品托管费按前一日理财资产净值与产品托管费每日费率每日计提。</w:t>
      </w:r>
      <w:r>
        <w:rPr>
          <w:rFonts w:ascii="宋体" w:hAnsi="宋体" w:hint="eastAsia"/>
          <w:kern w:val="0"/>
          <w:sz w:val="18"/>
          <w:szCs w:val="18"/>
        </w:rPr>
        <w:t>产品托管费的计算方法如下：</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H＝E×产品</w:t>
      </w:r>
      <w:proofErr w:type="gramStart"/>
      <w:r>
        <w:rPr>
          <w:rFonts w:ascii="宋体" w:hAnsi="宋体" w:hint="eastAsia"/>
          <w:kern w:val="0"/>
          <w:sz w:val="18"/>
          <w:szCs w:val="18"/>
        </w:rPr>
        <w:t>托管费年费率</w:t>
      </w:r>
      <w:proofErr w:type="gramEnd"/>
      <w:r>
        <w:rPr>
          <w:rFonts w:ascii="宋体" w:hAnsi="宋体" w:hint="eastAsia"/>
          <w:kern w:val="0"/>
          <w:sz w:val="18"/>
          <w:szCs w:val="18"/>
        </w:rPr>
        <w:t>÷365</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H为每日应计提的产品托管费</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E为前一日的理财资产净值</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lastRenderedPageBreak/>
        <w:t>产品托管费依照上述约定，从理财财产中支付。</w:t>
      </w:r>
      <w:r>
        <w:rPr>
          <w:rFonts w:asciiTheme="majorEastAsia" w:eastAsiaTheme="majorEastAsia" w:hAnsiTheme="majorEastAsia" w:hint="eastAsia"/>
          <w:sz w:val="18"/>
          <w:szCs w:val="18"/>
        </w:rPr>
        <w:t>费率具体数值以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sz w:val="18"/>
          <w:szCs w:val="18"/>
        </w:rPr>
        <w:t>为准。</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（6）上述理财产品的证券交易费用</w:t>
      </w:r>
    </w:p>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按费用实际支出金额列入当期费用，从理财财产中支付。</w:t>
      </w:r>
    </w:p>
    <w:p w:rsidR="004A6D8C" w:rsidRDefault="00C1729C">
      <w:pPr>
        <w:widowControl/>
        <w:spacing w:line="360" w:lineRule="auto"/>
        <w:ind w:firstLineChars="200" w:firstLine="360"/>
        <w:jc w:val="left"/>
        <w:rPr>
          <w:rFonts w:ascii="宋体" w:hAnsi="宋体"/>
          <w:sz w:val="18"/>
          <w:szCs w:val="18"/>
        </w:rPr>
      </w:pPr>
      <w:r>
        <w:rPr>
          <w:rFonts w:ascii="宋体" w:hAnsi="宋体" w:hint="eastAsia"/>
          <w:kern w:val="0"/>
          <w:sz w:val="18"/>
          <w:szCs w:val="18"/>
        </w:rPr>
        <w:t>（7）上述理财产品</w:t>
      </w:r>
      <w:proofErr w:type="gramStart"/>
      <w:r>
        <w:rPr>
          <w:rFonts w:ascii="宋体" w:hAnsi="宋体" w:hint="eastAsia"/>
          <w:kern w:val="0"/>
          <w:sz w:val="18"/>
          <w:szCs w:val="18"/>
        </w:rPr>
        <w:t>验</w:t>
      </w:r>
      <w:proofErr w:type="gramEnd"/>
      <w:r>
        <w:rPr>
          <w:rFonts w:ascii="宋体" w:hAnsi="宋体" w:hint="eastAsia"/>
          <w:kern w:val="0"/>
          <w:sz w:val="18"/>
          <w:szCs w:val="18"/>
        </w:rPr>
        <w:t>资费、审计费、律师费、信息披露费、清算费、执行费用等相关费用</w:t>
      </w:r>
    </w:p>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按费用实际支出金额列入当期费用，从理财财产中支付。产品管理人因处理上述事务而先行垫付上述费用的，管理人有权从理财产品资产中优先受偿。</w:t>
      </w:r>
    </w:p>
    <w:p w:rsidR="004A6D8C" w:rsidRDefault="00C1729C">
      <w:pPr>
        <w:pStyle w:val="Default"/>
        <w:spacing w:line="360" w:lineRule="auto"/>
        <w:ind w:firstLineChars="200" w:firstLine="360"/>
        <w:rPr>
          <w:rFonts w:ascii="黑体" w:eastAsia="黑体" w:hAnsi="黑体"/>
          <w:color w:val="auto"/>
          <w:sz w:val="18"/>
        </w:rPr>
      </w:pPr>
      <w:r>
        <w:rPr>
          <w:rFonts w:ascii="黑体" w:eastAsia="黑体" w:hAnsi="黑体" w:hint="eastAsia"/>
          <w:color w:val="auto"/>
          <w:sz w:val="18"/>
        </w:rPr>
        <w:t>3.</w:t>
      </w:r>
      <w:r>
        <w:rPr>
          <w:rFonts w:hAnsi="宋体" w:hint="eastAsia"/>
          <w:color w:val="auto"/>
          <w:sz w:val="18"/>
          <w:szCs w:val="18"/>
        </w:rPr>
        <w:t>★</w:t>
      </w:r>
      <w:r>
        <w:rPr>
          <w:rFonts w:ascii="黑体" w:eastAsia="黑体" w:hAnsi="黑体" w:hint="eastAsia"/>
          <w:color w:val="auto"/>
          <w:sz w:val="18"/>
          <w:szCs w:val="18"/>
        </w:rPr>
        <w:t>理财产品费用</w:t>
      </w:r>
      <w:r>
        <w:rPr>
          <w:rFonts w:ascii="黑体" w:eastAsia="黑体" w:hAnsi="黑体" w:hint="eastAsia"/>
          <w:color w:val="auto"/>
          <w:sz w:val="18"/>
        </w:rPr>
        <w:t>的调整</w:t>
      </w:r>
    </w:p>
    <w:p w:rsidR="004A6D8C" w:rsidRDefault="00C1729C">
      <w:pPr>
        <w:pStyle w:val="Default"/>
        <w:spacing w:line="360" w:lineRule="auto"/>
        <w:ind w:firstLineChars="200" w:firstLine="360"/>
        <w:rPr>
          <w:rFonts w:ascii="黑体" w:eastAsia="黑体" w:hAnsi="黑体"/>
          <w:b/>
          <w:color w:val="auto"/>
          <w:sz w:val="18"/>
        </w:rPr>
      </w:pPr>
      <w:r>
        <w:rPr>
          <w:rFonts w:ascii="黑体" w:eastAsia="黑体" w:hAnsi="黑体" w:hint="eastAsia"/>
          <w:color w:val="auto"/>
          <w:sz w:val="18"/>
        </w:rPr>
        <w:t>产品管理人有权</w:t>
      </w:r>
      <w:r>
        <w:rPr>
          <w:rFonts w:ascii="黑体" w:eastAsia="黑体" w:hAnsi="黑体" w:hint="eastAsia"/>
          <w:color w:val="auto"/>
          <w:sz w:val="18"/>
          <w:szCs w:val="18"/>
        </w:rPr>
        <w:t>根据相关法律和国家政策规定，</w:t>
      </w:r>
      <w:r>
        <w:rPr>
          <w:rFonts w:ascii="黑体" w:eastAsia="黑体" w:hAnsi="黑体" w:hint="eastAsia"/>
          <w:color w:val="auto"/>
          <w:sz w:val="18"/>
        </w:rPr>
        <w:t>对理财产品费用的收费项目、收费条件、收费标准和收费方式等进行调整。产品管理人对费用的调整</w:t>
      </w:r>
      <w:r>
        <w:rPr>
          <w:rFonts w:ascii="黑体" w:eastAsia="黑体" w:hAnsi="黑体" w:hint="eastAsia"/>
          <w:bCs/>
          <w:color w:val="auto"/>
          <w:sz w:val="18"/>
        </w:rPr>
        <w:t>将依约</w:t>
      </w:r>
      <w:proofErr w:type="gramStart"/>
      <w:r>
        <w:rPr>
          <w:rFonts w:ascii="黑体" w:eastAsia="黑体" w:hAnsi="黑体" w:hint="eastAsia"/>
          <w:bCs/>
          <w:color w:val="auto"/>
          <w:sz w:val="18"/>
        </w:rPr>
        <w:t>定进行</w:t>
      </w:r>
      <w:proofErr w:type="gramEnd"/>
      <w:r>
        <w:rPr>
          <w:rFonts w:ascii="黑体" w:eastAsia="黑体" w:hAnsi="黑体" w:hint="eastAsia"/>
          <w:bCs/>
          <w:color w:val="auto"/>
          <w:sz w:val="18"/>
        </w:rPr>
        <w:t>公告。</w:t>
      </w:r>
    </w:p>
    <w:p w:rsidR="004A6D8C" w:rsidRDefault="00C1729C">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（二）理财产品的税收</w:t>
      </w:r>
    </w:p>
    <w:p w:rsidR="004A6D8C" w:rsidRDefault="00C1729C">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本产品运作过程中涉及的各纳税主体的纳税义务按国家税收法律、法规执行。除法律法规特别要求外，投资者应缴纳的税收由投资者负责，产品管理人不承担代扣代缴或纳税的义务。理财产品运营过程中发生的增值税应税行为，由理财产品承担增值税及附加税费，该等税款直接从理财产品账户中扣付，由产品管理人进行申报和缴纳。</w:t>
      </w:r>
    </w:p>
    <w:p w:rsidR="004A6D8C" w:rsidRDefault="00C1729C">
      <w:pPr>
        <w:pStyle w:val="1"/>
        <w:spacing w:line="360" w:lineRule="auto"/>
        <w:jc w:val="center"/>
      </w:pPr>
      <w:r>
        <w:br w:type="page"/>
      </w:r>
      <w:bookmarkStart w:id="114" w:name="_Toc141703889"/>
      <w:bookmarkStart w:id="115" w:name="_Toc3572"/>
      <w:bookmarkStart w:id="116" w:name="_Toc21735"/>
      <w:bookmarkStart w:id="117" w:name="_Toc123112237"/>
      <w:bookmarkStart w:id="118" w:name="_Toc88747129"/>
      <w:bookmarkStart w:id="119" w:name="_Toc725"/>
      <w:bookmarkStart w:id="120" w:name="_Toc79154673"/>
      <w:bookmarkStart w:id="121" w:name="_Toc139991739"/>
      <w:bookmarkStart w:id="122" w:name="_Toc74065746"/>
      <w:bookmarkStart w:id="123" w:name="_Toc123051455"/>
      <w:bookmarkStart w:id="124" w:name="_Toc10398"/>
      <w:bookmarkStart w:id="125" w:name="_Toc3080"/>
      <w:bookmarkStart w:id="126" w:name="_Toc18206"/>
      <w:bookmarkStart w:id="127" w:name="_Toc123102456"/>
      <w:bookmarkStart w:id="128" w:name="_Toc31821"/>
      <w:bookmarkStart w:id="129" w:name="_Toc98560355"/>
      <w:bookmarkStart w:id="130" w:name="_Toc16164"/>
      <w:r>
        <w:rPr>
          <w:rFonts w:hint="eastAsia"/>
          <w:sz w:val="30"/>
        </w:rPr>
        <w:lastRenderedPageBreak/>
        <w:t>第</w:t>
      </w:r>
      <w:r>
        <w:rPr>
          <w:sz w:val="30"/>
        </w:rPr>
        <w:t>十</w:t>
      </w:r>
      <w:r>
        <w:rPr>
          <w:rFonts w:hint="eastAsia"/>
          <w:sz w:val="30"/>
        </w:rPr>
        <w:t>条</w:t>
      </w:r>
      <w:r>
        <w:rPr>
          <w:sz w:val="30"/>
        </w:rPr>
        <w:t xml:space="preserve">  </w:t>
      </w:r>
      <w:r>
        <w:rPr>
          <w:rFonts w:hint="eastAsia"/>
          <w:sz w:val="30"/>
        </w:rPr>
        <w:t>理财产品的终止与清算</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rsidR="004A6D8C" w:rsidRDefault="00C1729C">
      <w:pPr>
        <w:spacing w:line="360" w:lineRule="auto"/>
        <w:ind w:firstLineChars="200" w:firstLine="361"/>
        <w:rPr>
          <w:rFonts w:asciiTheme="majorEastAsia" w:eastAsiaTheme="majorEastAsia" w:hAnsiTheme="majorEastAsia"/>
          <w:b/>
          <w:bCs/>
          <w:sz w:val="18"/>
          <w:szCs w:val="18"/>
        </w:rPr>
      </w:pPr>
      <w:bookmarkStart w:id="131" w:name="_Toc15118245"/>
      <w:bookmarkStart w:id="132" w:name="_Toc57530252"/>
      <w:bookmarkStart w:id="133" w:name="_Toc79392593"/>
      <w:r>
        <w:rPr>
          <w:rFonts w:asciiTheme="majorEastAsia" w:eastAsiaTheme="majorEastAsia" w:hAnsiTheme="majorEastAsia" w:hint="eastAsia"/>
          <w:b/>
          <w:bCs/>
          <w:sz w:val="18"/>
          <w:szCs w:val="18"/>
        </w:rPr>
        <w:t>（一）理财产品的终止</w:t>
      </w:r>
    </w:p>
    <w:p w:rsidR="004A6D8C" w:rsidRDefault="00C1729C">
      <w:pPr>
        <w:spacing w:line="360" w:lineRule="auto"/>
        <w:ind w:firstLineChars="200" w:firstLine="360"/>
        <w:rPr>
          <w:rFonts w:ascii="黑体" w:eastAsia="黑体" w:hAnsi="黑体"/>
          <w:bCs/>
          <w:sz w:val="18"/>
          <w:szCs w:val="18"/>
        </w:rPr>
      </w:pPr>
      <w:r>
        <w:rPr>
          <w:rFonts w:ascii="黑体" w:eastAsia="黑体" w:hAnsi="黑体"/>
          <w:bCs/>
          <w:sz w:val="18"/>
          <w:szCs w:val="18"/>
        </w:rPr>
        <w:t>1.</w:t>
      </w:r>
      <w:r>
        <w:rPr>
          <w:rFonts w:ascii="黑体" w:eastAsia="黑体" w:hAnsi="黑体" w:hint="eastAsia"/>
          <w:bCs/>
          <w:sz w:val="18"/>
          <w:szCs w:val="18"/>
        </w:rPr>
        <w:t>★提前终止</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在理财产品投资运作期间内，投资者无权要求提前终止该理财产品</w:t>
      </w:r>
      <w:r>
        <w:rPr>
          <w:rFonts w:asciiTheme="majorEastAsia" w:eastAsiaTheme="majorEastAsia" w:hAnsiTheme="majorEastAsia" w:hint="eastAsia"/>
          <w:bCs/>
          <w:sz w:val="18"/>
          <w:szCs w:val="18"/>
        </w:rPr>
        <w:t>。在理财产品投资运作期间内，</w:t>
      </w:r>
      <w:r>
        <w:rPr>
          <w:rFonts w:ascii="黑体" w:eastAsia="黑体" w:hAnsi="黑体" w:hint="eastAsia"/>
          <w:bCs/>
          <w:sz w:val="18"/>
          <w:szCs w:val="18"/>
        </w:rPr>
        <w:t>当出现下列情形之一时，产品管理人有权部分或全部提前终止本产品：</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因不可抗力原因导致理财产品无法继续运作。</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遇有市场出现剧烈波动、异常风险事件等情形导致理财产品收益出现大幅波动或严重影响理财产品的资产安全。</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因投资者理财资金被有权机关扣划等原因导致理财产品剩余资产无法满足相关法律法规规定、所投资市场要求或协议等相关法律文件约定，或者继续存续无法实现投资目标。</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因相关投资管理机构解散、破产、撤销、被取消业务资格等原因无法继续履行相应职责导致产品无法继续运作。</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相关投资管理机构或运用理财资金的第三</w:t>
      </w:r>
      <w:proofErr w:type="gramStart"/>
      <w:r>
        <w:rPr>
          <w:rFonts w:asciiTheme="majorEastAsia" w:eastAsiaTheme="majorEastAsia" w:hAnsiTheme="majorEastAsia" w:hint="eastAsia"/>
          <w:bCs/>
          <w:sz w:val="18"/>
          <w:szCs w:val="18"/>
        </w:rPr>
        <w:t>方主体</w:t>
      </w:r>
      <w:proofErr w:type="gramEnd"/>
      <w:r>
        <w:rPr>
          <w:rFonts w:asciiTheme="majorEastAsia" w:eastAsiaTheme="majorEastAsia" w:hAnsiTheme="majorEastAsia" w:hint="eastAsia"/>
          <w:bCs/>
          <w:sz w:val="18"/>
          <w:szCs w:val="18"/>
        </w:rPr>
        <w:t>实施符合法律法规规定或协议等相关文件约定的行为导致理财产品被动提前终止。</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6）</w:t>
      </w:r>
      <w:r>
        <w:rPr>
          <w:rFonts w:asciiTheme="majorEastAsia" w:eastAsiaTheme="majorEastAsia" w:hAnsiTheme="majorEastAsia" w:hint="eastAsia"/>
          <w:bCs/>
          <w:sz w:val="18"/>
          <w:szCs w:val="18"/>
        </w:rPr>
        <w:t>因法律法规变化或国家金融政策调整、紧急措施出台影响产品继续正常运作。</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7）</w:t>
      </w:r>
      <w:r>
        <w:rPr>
          <w:rFonts w:ascii="宋体" w:hAnsi="宋体" w:hint="eastAsia"/>
          <w:bCs/>
          <w:sz w:val="18"/>
          <w:szCs w:val="18"/>
        </w:rPr>
        <w:t>所投资资产部分或全部提前偿付。</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8）提前终止产品比维持产品运作更有利于保护产品持有人的</w:t>
      </w:r>
      <w:r>
        <w:rPr>
          <w:rFonts w:asciiTheme="majorEastAsia" w:eastAsiaTheme="majorEastAsia" w:hAnsiTheme="majorEastAsia" w:hint="eastAsia"/>
          <w:bCs/>
          <w:sz w:val="18"/>
          <w:szCs w:val="18"/>
        </w:rPr>
        <w:t>权益。</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9）</w:t>
      </w:r>
      <w:r>
        <w:rPr>
          <w:rFonts w:asciiTheme="majorEastAsia" w:eastAsiaTheme="majorEastAsia" w:hAnsiTheme="majorEastAsia" w:hint="eastAsia"/>
          <w:bCs/>
          <w:sz w:val="18"/>
          <w:szCs w:val="18"/>
        </w:rPr>
        <w:t>法律法规规定或监管部门认定的其他情形。</w:t>
      </w:r>
    </w:p>
    <w:p w:rsidR="004A6D8C" w:rsidRDefault="00C1729C">
      <w:pPr>
        <w:spacing w:line="360" w:lineRule="auto"/>
        <w:ind w:firstLineChars="200" w:firstLine="360"/>
        <w:rPr>
          <w:rFonts w:ascii="黑体" w:eastAsia="黑体" w:hAnsi="黑体"/>
          <w:bCs/>
          <w:sz w:val="18"/>
          <w:szCs w:val="18"/>
        </w:rPr>
      </w:pPr>
      <w:r>
        <w:rPr>
          <w:rFonts w:ascii="黑体" w:eastAsia="黑体" w:hAnsi="黑体"/>
          <w:bCs/>
          <w:sz w:val="18"/>
          <w:szCs w:val="18"/>
        </w:rPr>
        <w:t>2.</w:t>
      </w:r>
      <w:r>
        <w:rPr>
          <w:rFonts w:ascii="黑体" w:eastAsia="黑体" w:hAnsi="黑体" w:hint="eastAsia"/>
          <w:bCs/>
          <w:sz w:val="18"/>
          <w:szCs w:val="18"/>
        </w:rPr>
        <w:t>★延期</w:t>
      </w:r>
      <w:r>
        <w:rPr>
          <w:rFonts w:ascii="黑体" w:eastAsia="黑体" w:hAnsi="黑体"/>
          <w:bCs/>
          <w:sz w:val="18"/>
          <w:szCs w:val="18"/>
        </w:rPr>
        <w:t>终止</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出现以下情况，产品管理人有权延长本理财产品的</w:t>
      </w:r>
      <w:r>
        <w:rPr>
          <w:rFonts w:ascii="黑体" w:eastAsia="黑体" w:hAnsi="黑体"/>
          <w:bCs/>
          <w:sz w:val="18"/>
          <w:szCs w:val="18"/>
        </w:rPr>
        <w:t>终止</w:t>
      </w:r>
      <w:r>
        <w:rPr>
          <w:rFonts w:ascii="黑体" w:eastAsia="黑体" w:hAnsi="黑体" w:hint="eastAsia"/>
          <w:bCs/>
          <w:sz w:val="18"/>
          <w:szCs w:val="18"/>
        </w:rPr>
        <w:t>日：</w:t>
      </w:r>
      <w:r>
        <w:rPr>
          <w:rFonts w:ascii="黑体" w:eastAsia="黑体" w:hAnsi="黑体"/>
          <w:bCs/>
          <w:sz w:val="18"/>
          <w:szCs w:val="18"/>
        </w:rPr>
        <w:t xml:space="preserve"> </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1）</w:t>
      </w:r>
      <w:r>
        <w:rPr>
          <w:rFonts w:ascii="黑体" w:eastAsia="黑体" w:hAnsi="黑体" w:hint="eastAsia"/>
          <w:bCs/>
          <w:sz w:val="18"/>
          <w:szCs w:val="18"/>
        </w:rPr>
        <w:t>因市场成交量不足、资产限制赎回、暂停交易、缺乏意愿交易对手等原因，导致产品项下对应的投资标的无法及时变现；</w:t>
      </w:r>
      <w:r>
        <w:rPr>
          <w:rFonts w:ascii="黑体" w:eastAsia="黑体" w:hAnsi="黑体"/>
          <w:bCs/>
          <w:sz w:val="18"/>
          <w:szCs w:val="18"/>
        </w:rPr>
        <w:t xml:space="preserve"> </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2）</w:t>
      </w:r>
      <w:r>
        <w:rPr>
          <w:rFonts w:ascii="黑体" w:eastAsia="黑体" w:hAnsi="黑体" w:hint="eastAsia"/>
          <w:bCs/>
          <w:sz w:val="18"/>
          <w:szCs w:val="18"/>
        </w:rPr>
        <w:t>因资金在途等原因，导致未能及时收回资金；</w:t>
      </w:r>
      <w:r>
        <w:rPr>
          <w:rFonts w:ascii="黑体" w:eastAsia="黑体" w:hAnsi="黑体"/>
          <w:bCs/>
          <w:sz w:val="18"/>
          <w:szCs w:val="18"/>
        </w:rPr>
        <w:t xml:space="preserve"> </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3）</w:t>
      </w:r>
      <w:r>
        <w:rPr>
          <w:rFonts w:ascii="黑体" w:eastAsia="黑体" w:hAnsi="黑体" w:hint="eastAsia"/>
          <w:bCs/>
          <w:sz w:val="18"/>
          <w:szCs w:val="18"/>
        </w:rPr>
        <w:t>因不可抗力等原因，导致产品管理人接受赎回申请后无法分配；</w:t>
      </w:r>
      <w:r>
        <w:rPr>
          <w:rFonts w:ascii="黑体" w:eastAsia="黑体" w:hAnsi="黑体"/>
          <w:bCs/>
          <w:sz w:val="18"/>
          <w:szCs w:val="18"/>
        </w:rPr>
        <w:t xml:space="preserve"> </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4）</w:t>
      </w:r>
      <w:r>
        <w:rPr>
          <w:rFonts w:ascii="黑体" w:eastAsia="黑体" w:hAnsi="黑体" w:hint="eastAsia"/>
          <w:bCs/>
          <w:sz w:val="18"/>
          <w:szCs w:val="18"/>
        </w:rPr>
        <w:t>其他产品管理人认为需要延期终止的情形。</w:t>
      </w:r>
      <w:r>
        <w:rPr>
          <w:rFonts w:ascii="黑体" w:eastAsia="黑体" w:hAnsi="黑体"/>
          <w:bCs/>
          <w:sz w:val="18"/>
          <w:szCs w:val="18"/>
        </w:rPr>
        <w:t xml:space="preserve"> </w:t>
      </w:r>
    </w:p>
    <w:p w:rsidR="004A6D8C" w:rsidRDefault="00C1729C">
      <w:pPr>
        <w:spacing w:line="360" w:lineRule="auto"/>
        <w:ind w:firstLineChars="200" w:firstLine="360"/>
        <w:rPr>
          <w:rFonts w:ascii="黑体" w:eastAsia="黑体" w:hAnsi="黑体"/>
          <w:bCs/>
          <w:sz w:val="18"/>
          <w:szCs w:val="18"/>
        </w:rPr>
      </w:pPr>
      <w:r>
        <w:rPr>
          <w:rFonts w:ascii="黑体" w:eastAsia="黑体" w:hAnsi="黑体" w:hint="eastAsia"/>
          <w:bCs/>
          <w:sz w:val="18"/>
          <w:szCs w:val="18"/>
        </w:rPr>
        <w:t>产品管理人决定延期</w:t>
      </w:r>
      <w:r>
        <w:rPr>
          <w:rFonts w:ascii="黑体" w:eastAsia="黑体" w:hAnsi="黑体"/>
          <w:bCs/>
          <w:sz w:val="18"/>
          <w:szCs w:val="18"/>
        </w:rPr>
        <w:t>终止</w:t>
      </w:r>
      <w:r>
        <w:rPr>
          <w:rFonts w:ascii="黑体" w:eastAsia="黑体" w:hAnsi="黑体" w:hint="eastAsia"/>
          <w:bCs/>
          <w:sz w:val="18"/>
          <w:szCs w:val="18"/>
        </w:rPr>
        <w:t>的，应依据约定进行公告。</w:t>
      </w:r>
      <w:r>
        <w:rPr>
          <w:rFonts w:ascii="黑体" w:eastAsia="黑体" w:hAnsi="黑体"/>
          <w:bCs/>
          <w:sz w:val="18"/>
          <w:szCs w:val="18"/>
        </w:rPr>
        <w:t xml:space="preserve"> </w:t>
      </w:r>
    </w:p>
    <w:p w:rsidR="004A6D8C" w:rsidRDefault="00C1729C">
      <w:pPr>
        <w:spacing w:line="360" w:lineRule="auto"/>
        <w:ind w:firstLineChars="200" w:firstLine="361"/>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（二）理财产品的清算</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理财产品到期日为理财产品终止日（含提前终止）。产品到期后，理财产品终止运作，进入清算期，清算期不计算投资收益。理财资产清算后扣除理财相关费用、缴纳所欠税款并清偿理财产品负债后，理财</w:t>
      </w:r>
      <w:r>
        <w:rPr>
          <w:rFonts w:asciiTheme="majorEastAsia" w:eastAsiaTheme="majorEastAsia" w:hAnsiTheme="majorEastAsia" w:hint="eastAsia"/>
          <w:bCs/>
          <w:sz w:val="18"/>
          <w:szCs w:val="18"/>
        </w:rPr>
        <w:lastRenderedPageBreak/>
        <w:t>利益按投资者持有的理财产品份额比例进行分配。清算期原则上不得超过【</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w:t>
      </w:r>
      <w:proofErr w:type="gramStart"/>
      <w:r>
        <w:rPr>
          <w:rFonts w:asciiTheme="majorEastAsia" w:eastAsiaTheme="majorEastAsia" w:hAnsiTheme="majorEastAsia" w:hint="eastAsia"/>
          <w:bCs/>
          <w:sz w:val="18"/>
          <w:szCs w:val="18"/>
        </w:rPr>
        <w:t>个</w:t>
      </w:r>
      <w:proofErr w:type="gramEnd"/>
      <w:r>
        <w:rPr>
          <w:rFonts w:asciiTheme="majorEastAsia" w:eastAsiaTheme="majorEastAsia" w:hAnsiTheme="majorEastAsia" w:hint="eastAsia"/>
          <w:bCs/>
          <w:sz w:val="18"/>
          <w:szCs w:val="18"/>
        </w:rPr>
        <w:t>工作日，清算期超过【</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w:t>
      </w:r>
      <w:proofErr w:type="gramStart"/>
      <w:r>
        <w:rPr>
          <w:rFonts w:asciiTheme="majorEastAsia" w:eastAsiaTheme="majorEastAsia" w:hAnsiTheme="majorEastAsia" w:hint="eastAsia"/>
          <w:bCs/>
          <w:sz w:val="18"/>
          <w:szCs w:val="18"/>
        </w:rPr>
        <w:t>个</w:t>
      </w:r>
      <w:proofErr w:type="gramEnd"/>
      <w:r>
        <w:rPr>
          <w:rFonts w:asciiTheme="majorEastAsia" w:eastAsiaTheme="majorEastAsia" w:hAnsiTheme="majorEastAsia" w:hint="eastAsia"/>
          <w:bCs/>
          <w:sz w:val="18"/>
          <w:szCs w:val="18"/>
        </w:rPr>
        <w:t>工作日的，</w:t>
      </w:r>
      <w:r>
        <w:rPr>
          <w:rFonts w:asciiTheme="majorEastAsia" w:eastAsiaTheme="majorEastAsia" w:hAnsiTheme="majorEastAsia"/>
          <w:bCs/>
          <w:sz w:val="18"/>
          <w:szCs w:val="18"/>
        </w:rPr>
        <w:t>将依约</w:t>
      </w:r>
      <w:proofErr w:type="gramStart"/>
      <w:r>
        <w:rPr>
          <w:rFonts w:asciiTheme="majorEastAsia" w:eastAsiaTheme="majorEastAsia" w:hAnsiTheme="majorEastAsia" w:hint="eastAsia"/>
          <w:bCs/>
          <w:sz w:val="18"/>
          <w:szCs w:val="18"/>
        </w:rPr>
        <w:t>定进行</w:t>
      </w:r>
      <w:proofErr w:type="gramEnd"/>
      <w:r>
        <w:rPr>
          <w:rFonts w:asciiTheme="majorEastAsia" w:eastAsiaTheme="majorEastAsia" w:hAnsiTheme="majorEastAsia" w:hint="eastAsia"/>
          <w:bCs/>
          <w:sz w:val="18"/>
          <w:szCs w:val="18"/>
        </w:rPr>
        <w:t>公告。</w:t>
      </w:r>
      <w:r>
        <w:rPr>
          <w:rFonts w:asciiTheme="majorEastAsia" w:eastAsiaTheme="majorEastAsia" w:hAnsiTheme="majorEastAsia"/>
          <w:bCs/>
          <w:sz w:val="18"/>
          <w:szCs w:val="18"/>
        </w:rPr>
        <w:t xml:space="preserve"> </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产品管理人决定部分提前终止理财产品的，按以下约定处理：</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部分提前终止的比例：理财产品将按比例（已变现资产</w:t>
      </w:r>
      <w:r>
        <w:rPr>
          <w:rFonts w:asciiTheme="majorEastAsia" w:eastAsiaTheme="majorEastAsia" w:hAnsiTheme="majorEastAsia"/>
          <w:bCs/>
          <w:sz w:val="18"/>
          <w:szCs w:val="18"/>
        </w:rPr>
        <w:t>/理财产品净资产）</w:t>
      </w:r>
      <w:r>
        <w:rPr>
          <w:rFonts w:asciiTheme="majorEastAsia" w:eastAsiaTheme="majorEastAsia" w:hAnsiTheme="majorEastAsia" w:hint="eastAsia"/>
          <w:bCs/>
          <w:sz w:val="18"/>
          <w:szCs w:val="18"/>
        </w:rPr>
        <w:t>部分提前终止，同时根据产品最新的理财产品份额净值和份额计算并支付投资者相应的理财利益，投资者所持有的理财份额则按比例注销。</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部分提前终止的利益分配：产品管理人将依照协议约定公布部分提前终止日并指定利益分配日（一般为部分提前终止日之后的【</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w:t>
      </w:r>
      <w:proofErr w:type="gramStart"/>
      <w:r>
        <w:rPr>
          <w:rFonts w:asciiTheme="majorEastAsia" w:eastAsiaTheme="majorEastAsia" w:hAnsiTheme="majorEastAsia" w:hint="eastAsia"/>
          <w:bCs/>
          <w:sz w:val="18"/>
          <w:szCs w:val="18"/>
        </w:rPr>
        <w:t>个</w:t>
      </w:r>
      <w:proofErr w:type="gramEnd"/>
      <w:r>
        <w:rPr>
          <w:rFonts w:asciiTheme="majorEastAsia" w:eastAsiaTheme="majorEastAsia" w:hAnsiTheme="majorEastAsia" w:hint="eastAsia"/>
          <w:bCs/>
          <w:sz w:val="18"/>
          <w:szCs w:val="18"/>
        </w:rPr>
        <w:t>工作日以内）。产品管理人应将理财利益于指定的利益分配</w:t>
      </w:r>
      <w:r>
        <w:rPr>
          <w:rFonts w:asciiTheme="majorEastAsia" w:eastAsiaTheme="majorEastAsia" w:hAnsiTheme="majorEastAsia"/>
          <w:bCs/>
          <w:sz w:val="18"/>
          <w:szCs w:val="18"/>
        </w:rPr>
        <w:t>日</w:t>
      </w:r>
      <w:r>
        <w:rPr>
          <w:rFonts w:asciiTheme="majorEastAsia" w:eastAsiaTheme="majorEastAsia" w:hAnsiTheme="majorEastAsia" w:hint="eastAsia"/>
          <w:bCs/>
          <w:sz w:val="18"/>
          <w:szCs w:val="18"/>
        </w:rPr>
        <w:t>（遇节假日顺延）向投资者分配。</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理财产品部分提前终止日（含当日）至理财</w:t>
      </w:r>
      <w:r>
        <w:rPr>
          <w:rFonts w:asciiTheme="majorEastAsia" w:eastAsiaTheme="majorEastAsia" w:hAnsiTheme="majorEastAsia"/>
          <w:bCs/>
          <w:sz w:val="18"/>
          <w:szCs w:val="18"/>
        </w:rPr>
        <w:t>利益</w:t>
      </w:r>
      <w:r>
        <w:rPr>
          <w:rFonts w:asciiTheme="majorEastAsia" w:eastAsiaTheme="majorEastAsia" w:hAnsiTheme="majorEastAsia" w:hint="eastAsia"/>
          <w:bCs/>
          <w:sz w:val="18"/>
          <w:szCs w:val="18"/>
        </w:rPr>
        <w:t>实际到账日之间，理财资金不计算</w:t>
      </w:r>
      <w:r>
        <w:rPr>
          <w:rFonts w:asciiTheme="majorEastAsia" w:eastAsiaTheme="majorEastAsia" w:hAnsiTheme="majorEastAsia"/>
          <w:bCs/>
          <w:sz w:val="18"/>
          <w:szCs w:val="18"/>
        </w:rPr>
        <w:t>收益</w:t>
      </w:r>
      <w:r>
        <w:rPr>
          <w:rFonts w:asciiTheme="majorEastAsia" w:eastAsiaTheme="majorEastAsia" w:hAnsiTheme="majorEastAsia" w:hint="eastAsia"/>
          <w:bCs/>
          <w:sz w:val="18"/>
          <w:szCs w:val="18"/>
        </w:rPr>
        <w:t>。</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3.理财</w:t>
      </w:r>
      <w:r>
        <w:rPr>
          <w:rFonts w:asciiTheme="majorEastAsia" w:eastAsiaTheme="majorEastAsia" w:hAnsiTheme="majorEastAsia" w:hint="eastAsia"/>
          <w:bCs/>
          <w:sz w:val="18"/>
          <w:szCs w:val="18"/>
        </w:rPr>
        <w:t>产品到期日产品管理人按照《产品说明书》“第十条 理财产品的终止与清算”中延期终止的事项延长本理财产品终止日的，产品管理人应在原产品到期日后【5】</w:t>
      </w:r>
      <w:proofErr w:type="gramStart"/>
      <w:r>
        <w:rPr>
          <w:rFonts w:asciiTheme="majorEastAsia" w:eastAsiaTheme="majorEastAsia" w:hAnsiTheme="majorEastAsia" w:hint="eastAsia"/>
          <w:bCs/>
          <w:sz w:val="18"/>
          <w:szCs w:val="18"/>
        </w:rPr>
        <w:t>个</w:t>
      </w:r>
      <w:proofErr w:type="gramEnd"/>
      <w:r>
        <w:rPr>
          <w:rFonts w:asciiTheme="majorEastAsia" w:eastAsiaTheme="majorEastAsia" w:hAnsiTheme="majorEastAsia" w:hint="eastAsia"/>
          <w:bCs/>
          <w:sz w:val="18"/>
          <w:szCs w:val="18"/>
        </w:rPr>
        <w:t>工作日内将已变现资产按投资者持有理财产品份额比例分配。理财产品终止</w:t>
      </w:r>
      <w:proofErr w:type="gramStart"/>
      <w:r>
        <w:rPr>
          <w:rFonts w:asciiTheme="majorEastAsia" w:eastAsiaTheme="majorEastAsia" w:hAnsiTheme="majorEastAsia" w:hint="eastAsia"/>
          <w:bCs/>
          <w:sz w:val="18"/>
          <w:szCs w:val="18"/>
        </w:rPr>
        <w:t>日相应</w:t>
      </w:r>
      <w:proofErr w:type="gramEnd"/>
      <w:r>
        <w:rPr>
          <w:rFonts w:asciiTheme="majorEastAsia" w:eastAsiaTheme="majorEastAsia" w:hAnsiTheme="majorEastAsia" w:hint="eastAsia"/>
          <w:bCs/>
          <w:sz w:val="18"/>
          <w:szCs w:val="18"/>
        </w:rPr>
        <w:t>顺延至理财产品全部变现之日。待全部资产变现后，产品管理人依照清算条款分配理财利益至投资者账户。</w:t>
      </w:r>
    </w:p>
    <w:p w:rsidR="004A6D8C" w:rsidRDefault="00C1729C">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此外，在投资者与管理人另行协商一致延期终止本产品的情况下，相应延期期间理财产品的投资运作，费用等事宜由双方另行约定。</w:t>
      </w:r>
    </w:p>
    <w:bookmarkEnd w:id="131"/>
    <w:bookmarkEnd w:id="132"/>
    <w:bookmarkEnd w:id="133"/>
    <w:p w:rsidR="004A6D8C" w:rsidRDefault="00C1729C">
      <w:pPr>
        <w:pStyle w:val="1"/>
        <w:spacing w:before="0" w:after="0" w:line="360" w:lineRule="auto"/>
        <w:jc w:val="center"/>
        <w:rPr>
          <w:rFonts w:ascii="Times New Roman"/>
          <w:sz w:val="30"/>
        </w:rPr>
      </w:pPr>
      <w:r>
        <w:rPr>
          <w:rFonts w:ascii="Times New Roman"/>
          <w:b w:val="0"/>
          <w:bCs w:val="0"/>
          <w:kern w:val="2"/>
        </w:rPr>
        <w:br w:type="page"/>
      </w:r>
      <w:bookmarkStart w:id="134" w:name="_Toc21237"/>
      <w:bookmarkStart w:id="135" w:name="_Toc88747130"/>
      <w:bookmarkStart w:id="136" w:name="_Toc17920"/>
      <w:bookmarkStart w:id="137" w:name="_Toc3329"/>
      <w:bookmarkStart w:id="138" w:name="_Toc79392622"/>
      <w:bookmarkStart w:id="139" w:name="_Toc141703890"/>
      <w:bookmarkStart w:id="140" w:name="_Toc139991740"/>
      <w:bookmarkStart w:id="141" w:name="_Toc8791"/>
      <w:bookmarkStart w:id="142" w:name="_Toc739"/>
      <w:bookmarkStart w:id="143" w:name="_Toc5170"/>
      <w:bookmarkStart w:id="144" w:name="_Toc48649708"/>
      <w:bookmarkStart w:id="145" w:name="_Toc79154674"/>
      <w:bookmarkStart w:id="146" w:name="_Toc123102457"/>
      <w:bookmarkStart w:id="147" w:name="_Toc32092"/>
      <w:bookmarkStart w:id="148" w:name="_Toc98560356"/>
      <w:bookmarkStart w:id="149" w:name="_Toc123051456"/>
      <w:bookmarkStart w:id="150" w:name="_Toc123112238"/>
      <w:bookmarkStart w:id="151" w:name="_Toc32584"/>
      <w:bookmarkStart w:id="152" w:name="_Toc74065747"/>
      <w:bookmarkStart w:id="153" w:name="_Toc17198"/>
      <w:bookmarkStart w:id="154" w:name="_Toc29408"/>
      <w:r>
        <w:rPr>
          <w:rFonts w:ascii="Times New Roman"/>
          <w:sz w:val="30"/>
        </w:rPr>
        <w:lastRenderedPageBreak/>
        <w:t>第十一</w:t>
      </w:r>
      <w:r>
        <w:rPr>
          <w:rFonts w:ascii="Times New Roman" w:hint="eastAsia"/>
          <w:sz w:val="30"/>
        </w:rPr>
        <w:t>条</w:t>
      </w:r>
      <w:r>
        <w:rPr>
          <w:rFonts w:ascii="Times New Roman"/>
          <w:sz w:val="30"/>
        </w:rPr>
        <w:t xml:space="preserve">  </w:t>
      </w:r>
      <w:r>
        <w:rPr>
          <w:rFonts w:ascii="Times New Roman" w:hint="eastAsia"/>
          <w:sz w:val="30"/>
        </w:rPr>
        <w:t>理财产品的信息披露</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rsidR="004A6D8C" w:rsidRDefault="00C1729C">
      <w:pPr>
        <w:spacing w:line="360" w:lineRule="auto"/>
        <w:ind w:firstLine="361"/>
        <w:rPr>
          <w:rFonts w:ascii="宋体" w:hAnsi="宋体"/>
          <w:b/>
          <w:bCs/>
          <w:sz w:val="18"/>
          <w:szCs w:val="18"/>
        </w:rPr>
      </w:pPr>
      <w:r>
        <w:rPr>
          <w:rFonts w:ascii="宋体" w:hAnsi="宋体" w:hint="eastAsia"/>
          <w:b/>
          <w:bCs/>
          <w:sz w:val="18"/>
          <w:szCs w:val="18"/>
        </w:rPr>
        <w:t>（一）信息披露的原则</w:t>
      </w:r>
    </w:p>
    <w:p w:rsidR="004A6D8C" w:rsidRDefault="00C1729C">
      <w:pPr>
        <w:spacing w:line="360" w:lineRule="auto"/>
        <w:ind w:firstLine="360"/>
        <w:rPr>
          <w:rFonts w:ascii="宋体" w:hAnsi="宋体"/>
          <w:b/>
          <w:bCs/>
          <w:sz w:val="18"/>
          <w:szCs w:val="18"/>
        </w:rPr>
      </w:pPr>
      <w:r>
        <w:rPr>
          <w:rFonts w:ascii="宋体" w:hAnsi="宋体" w:hint="eastAsia"/>
          <w:bCs/>
          <w:sz w:val="18"/>
          <w:szCs w:val="18"/>
        </w:rPr>
        <w:t>产品管理人遵循真实性、准确性、完整性和及时性原则进行信息披露。</w:t>
      </w:r>
    </w:p>
    <w:p w:rsidR="004A6D8C" w:rsidRDefault="00C1729C">
      <w:pPr>
        <w:spacing w:line="360" w:lineRule="auto"/>
        <w:ind w:firstLine="361"/>
        <w:rPr>
          <w:rFonts w:ascii="宋体" w:hAnsi="宋体"/>
          <w:b/>
          <w:bCs/>
          <w:sz w:val="18"/>
          <w:szCs w:val="18"/>
        </w:rPr>
      </w:pPr>
      <w:r>
        <w:rPr>
          <w:rFonts w:ascii="宋体" w:hAnsi="宋体" w:hint="eastAsia"/>
          <w:b/>
          <w:bCs/>
          <w:sz w:val="18"/>
          <w:szCs w:val="18"/>
        </w:rPr>
        <w:t>（二）信息披露的渠道</w:t>
      </w:r>
    </w:p>
    <w:p w:rsidR="004A6D8C" w:rsidRDefault="00C1729C">
      <w:pPr>
        <w:spacing w:line="360" w:lineRule="auto"/>
        <w:ind w:firstLine="360"/>
        <w:rPr>
          <w:rFonts w:ascii="宋体" w:hAnsi="宋体"/>
          <w:bCs/>
          <w:sz w:val="18"/>
          <w:szCs w:val="18"/>
        </w:rPr>
      </w:pPr>
      <w:r>
        <w:rPr>
          <w:rFonts w:ascii="宋体" w:hAnsi="宋体" w:hint="eastAsia"/>
          <w:bCs/>
          <w:sz w:val="18"/>
          <w:szCs w:val="18"/>
        </w:rPr>
        <w:t>1.理财产品的信息披露将通过产品管理人或销售机构的门户网站、电子销售渠道或营业网点等进行。本理财产品认购期和存续期间，产品管理人将通过产品管理人或销售机构的信息披露渠道开展理财产品的信息披露工作。请投资者及时关注。</w:t>
      </w:r>
    </w:p>
    <w:p w:rsidR="004A6D8C" w:rsidRDefault="00C1729C">
      <w:pPr>
        <w:spacing w:line="360" w:lineRule="auto"/>
        <w:ind w:firstLine="360"/>
        <w:rPr>
          <w:rFonts w:ascii="黑体" w:eastAsia="黑体" w:hAnsi="黑体"/>
          <w:bCs/>
          <w:sz w:val="18"/>
          <w:szCs w:val="18"/>
        </w:rPr>
      </w:pPr>
      <w:r>
        <w:rPr>
          <w:rFonts w:ascii="黑体" w:eastAsia="黑体" w:hAnsi="黑体" w:hint="eastAsia"/>
          <w:bCs/>
          <w:sz w:val="18"/>
          <w:szCs w:val="18"/>
        </w:rPr>
        <w:t>2.★产品管理人通过产品管理人或销售机构的信息披露渠道发布理财产品有关信息，即视为</w:t>
      </w:r>
      <w:proofErr w:type="gramStart"/>
      <w:r>
        <w:rPr>
          <w:rFonts w:ascii="黑体" w:eastAsia="黑体" w:hAnsi="黑体" w:hint="eastAsia"/>
          <w:bCs/>
          <w:sz w:val="18"/>
          <w:szCs w:val="18"/>
        </w:rPr>
        <w:t>已适当</w:t>
      </w:r>
      <w:proofErr w:type="gramEnd"/>
      <w:r>
        <w:rPr>
          <w:rFonts w:ascii="黑体" w:eastAsia="黑体" w:hAnsi="黑体" w:hint="eastAsia"/>
          <w:bCs/>
          <w:sz w:val="18"/>
          <w:szCs w:val="18"/>
        </w:rPr>
        <w:t>履行其信息披露义务。如产品管理人认为需要直接联系投资者的，将依据本说明书投资者信息中投资者预留的信息进行通知。因投资者原因而导致该等通知失败的，产品管理人不承担相应责任。</w:t>
      </w:r>
    </w:p>
    <w:p w:rsidR="004A6D8C" w:rsidRDefault="00C1729C">
      <w:pPr>
        <w:spacing w:line="360" w:lineRule="auto"/>
        <w:ind w:firstLine="360"/>
        <w:rPr>
          <w:rFonts w:ascii="宋体" w:hAnsi="宋体"/>
          <w:bCs/>
          <w:sz w:val="18"/>
          <w:szCs w:val="18"/>
        </w:rPr>
      </w:pPr>
      <w:r>
        <w:rPr>
          <w:rFonts w:ascii="宋体" w:hAnsi="宋体" w:hint="eastAsia"/>
          <w:bCs/>
          <w:sz w:val="18"/>
          <w:szCs w:val="18"/>
        </w:rPr>
        <w:t>3.投资者应定期通过约定的信息披露渠道获知有关理财产品相关信息。以上相关信息自披露之日即视为已送达投资者，也视为产品管理人</w:t>
      </w:r>
      <w:proofErr w:type="gramStart"/>
      <w:r>
        <w:rPr>
          <w:rFonts w:ascii="宋体" w:hAnsi="宋体" w:hint="eastAsia"/>
          <w:bCs/>
          <w:sz w:val="18"/>
          <w:szCs w:val="18"/>
        </w:rPr>
        <w:t>已适当</w:t>
      </w:r>
      <w:proofErr w:type="gramEnd"/>
      <w:r>
        <w:rPr>
          <w:rFonts w:ascii="宋体" w:hAnsi="宋体" w:hint="eastAsia"/>
          <w:bCs/>
          <w:sz w:val="18"/>
          <w:szCs w:val="18"/>
        </w:rPr>
        <w:t>披露理财产品相关信息。投资者承诺将及时接收、浏览和阅读该等信息。如投资者对本产品的运作状况有任何疑问，可向产品管理人或销售机构进行咨询。</w:t>
      </w:r>
    </w:p>
    <w:p w:rsidR="004A6D8C" w:rsidRDefault="00C1729C">
      <w:pPr>
        <w:spacing w:line="360" w:lineRule="auto"/>
        <w:ind w:firstLine="360"/>
        <w:rPr>
          <w:rFonts w:ascii="宋体" w:hAnsi="宋体"/>
          <w:bCs/>
          <w:sz w:val="18"/>
          <w:szCs w:val="18"/>
        </w:rPr>
      </w:pPr>
      <w:r>
        <w:rPr>
          <w:rFonts w:ascii="宋体" w:hAnsi="宋体" w:hint="eastAsia"/>
          <w:bCs/>
          <w:sz w:val="18"/>
          <w:szCs w:val="18"/>
        </w:rPr>
        <w:t>4.在保障投资者知情权的前提下，产品管理人保留变更信息披露渠道的权利。</w:t>
      </w:r>
    </w:p>
    <w:p w:rsidR="004A6D8C" w:rsidRDefault="00C1729C">
      <w:pPr>
        <w:spacing w:line="360" w:lineRule="auto"/>
        <w:ind w:firstLine="361"/>
        <w:rPr>
          <w:rFonts w:ascii="宋体" w:hAnsi="宋体"/>
          <w:b/>
          <w:bCs/>
          <w:sz w:val="18"/>
          <w:szCs w:val="18"/>
        </w:rPr>
      </w:pPr>
      <w:r>
        <w:rPr>
          <w:rFonts w:ascii="宋体" w:hAnsi="宋体" w:hint="eastAsia"/>
          <w:b/>
          <w:bCs/>
          <w:sz w:val="18"/>
          <w:szCs w:val="18"/>
        </w:rPr>
        <w:t>（三）信息披露的内容</w:t>
      </w:r>
    </w:p>
    <w:p w:rsidR="004A6D8C" w:rsidRDefault="00C1729C">
      <w:pPr>
        <w:spacing w:line="360" w:lineRule="auto"/>
        <w:ind w:firstLine="360"/>
        <w:rPr>
          <w:rFonts w:ascii="宋体" w:hAnsi="宋体"/>
          <w:bCs/>
          <w:sz w:val="18"/>
          <w:szCs w:val="18"/>
        </w:rPr>
      </w:pPr>
      <w:r>
        <w:rPr>
          <w:rFonts w:ascii="宋体" w:hAnsi="宋体" w:hint="eastAsia"/>
          <w:bCs/>
          <w:sz w:val="18"/>
          <w:szCs w:val="18"/>
        </w:rPr>
        <w:t>理财产品信息披露包括但不限于产品成立、产品终止、募集信息、资产净值、产品份额净值、暂停申购或赎回、投资对象和比例、产品组合资产情况及其流动性风险分析、杠杆水平、利益分配、托管安排、投资账户信息、主要投资风险、估值方法变更、收费标准变更等信息。</w:t>
      </w:r>
    </w:p>
    <w:p w:rsidR="004A6D8C" w:rsidRDefault="00C1729C">
      <w:pPr>
        <w:spacing w:line="360" w:lineRule="auto"/>
        <w:ind w:firstLine="361"/>
        <w:rPr>
          <w:rFonts w:ascii="宋体" w:hAnsi="宋体"/>
          <w:b/>
          <w:bCs/>
          <w:sz w:val="18"/>
          <w:szCs w:val="18"/>
        </w:rPr>
      </w:pPr>
      <w:r>
        <w:rPr>
          <w:rFonts w:ascii="宋体" w:hAnsi="宋体" w:hint="eastAsia"/>
          <w:b/>
          <w:bCs/>
          <w:sz w:val="18"/>
          <w:szCs w:val="18"/>
        </w:rPr>
        <w:t>（四）信息披露的频率和时间</w:t>
      </w:r>
    </w:p>
    <w:p w:rsidR="004A6D8C" w:rsidRDefault="00C1729C">
      <w:pPr>
        <w:spacing w:line="360" w:lineRule="auto"/>
        <w:ind w:firstLine="360"/>
        <w:rPr>
          <w:rFonts w:ascii="宋体" w:hAnsi="宋体"/>
          <w:bCs/>
          <w:sz w:val="18"/>
          <w:szCs w:val="18"/>
        </w:rPr>
      </w:pPr>
      <w:r>
        <w:rPr>
          <w:rFonts w:ascii="宋体" w:hAnsi="宋体" w:hint="eastAsia"/>
          <w:bCs/>
          <w:sz w:val="18"/>
          <w:szCs w:val="18"/>
        </w:rPr>
        <w:t>1.产品成立公告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本产品成立后5个工作日内，产品管理人将发布产品成立公告。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2.重大事项公告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在发生可能对理财产品投资者或者理财产品收益产生重大影响的事件后2个工作日内发布重大事项公告。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3.定期报告</w:t>
      </w:r>
    </w:p>
    <w:p w:rsidR="004A6D8C" w:rsidRDefault="00C1729C">
      <w:pPr>
        <w:spacing w:line="360" w:lineRule="auto"/>
        <w:ind w:firstLine="360"/>
        <w:rPr>
          <w:rFonts w:ascii="宋体" w:hAnsi="宋体"/>
          <w:bCs/>
          <w:sz w:val="18"/>
          <w:szCs w:val="18"/>
        </w:rPr>
      </w:pPr>
      <w:r>
        <w:rPr>
          <w:rFonts w:ascii="宋体" w:hAnsi="宋体" w:hint="eastAsia"/>
          <w:bCs/>
          <w:sz w:val="18"/>
          <w:szCs w:val="18"/>
        </w:rPr>
        <w:t>定期报告分为季度、半年度和年度定期报告。产品成立超过90日后且剩余存续期超过90日以上，产品管理人应在每季度结束之日起15个工作日内、上半年结束之日起60个工作日内、每年结束之日起90个工作日内，披露产品季度、半年度和年度报告等定期报告。产品成立不足90日或者剩余存续期不超过90日的，可以不编制产品的季度、半年度和年度报告等定期报告。</w:t>
      </w:r>
    </w:p>
    <w:p w:rsidR="004A6D8C" w:rsidRDefault="00C1729C">
      <w:pPr>
        <w:spacing w:line="360" w:lineRule="auto"/>
        <w:ind w:firstLine="360"/>
        <w:rPr>
          <w:rFonts w:ascii="宋体" w:hAnsi="宋体"/>
          <w:bCs/>
          <w:sz w:val="18"/>
          <w:szCs w:val="18"/>
        </w:rPr>
      </w:pPr>
      <w:r>
        <w:rPr>
          <w:rFonts w:ascii="宋体" w:hAnsi="宋体" w:hint="eastAsia"/>
          <w:bCs/>
          <w:sz w:val="18"/>
          <w:szCs w:val="18"/>
        </w:rPr>
        <w:lastRenderedPageBreak/>
        <w:t>4.到期公告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如果产品管理人主动提前终止本产品，产品管理人将提前2个工作日进行公告。本产品终止后5个工作日内，产品管理人发布产品到期公告。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5.估值日公告</w:t>
      </w:r>
    </w:p>
    <w:p w:rsidR="004A6D8C" w:rsidRDefault="00C1729C">
      <w:pPr>
        <w:spacing w:line="360" w:lineRule="auto"/>
        <w:ind w:firstLine="360"/>
        <w:rPr>
          <w:rFonts w:ascii="宋体" w:hAnsi="宋体"/>
          <w:bCs/>
          <w:sz w:val="18"/>
          <w:szCs w:val="18"/>
        </w:rPr>
      </w:pPr>
      <w:permStart w:id="2131781148" w:edGrp="everyone"/>
      <w:r>
        <w:rPr>
          <w:rFonts w:ascii="宋体" w:hAnsi="宋体" w:hint="eastAsia"/>
          <w:bCs/>
          <w:sz w:val="18"/>
          <w:szCs w:val="18"/>
        </w:rPr>
        <w:t>产品存续期间，每【周】向投资者披露一次估值日公告，估值日公告披露的内容包括估值日的产品份额净值、产品份额累计净值等。如遇法定节假日顺延。此外，如遇其他特殊情况，以产品管理人信息披露为准。</w:t>
      </w:r>
    </w:p>
    <w:permEnd w:id="2131781148"/>
    <w:p w:rsidR="004A6D8C" w:rsidRDefault="00C1729C">
      <w:pPr>
        <w:spacing w:line="360" w:lineRule="auto"/>
        <w:ind w:firstLine="360"/>
        <w:rPr>
          <w:rFonts w:ascii="宋体" w:hAnsi="宋体"/>
          <w:bCs/>
          <w:sz w:val="18"/>
          <w:szCs w:val="18"/>
        </w:rPr>
      </w:pPr>
      <w:r>
        <w:rPr>
          <w:rFonts w:ascii="宋体" w:hAnsi="宋体" w:hint="eastAsia"/>
          <w:bCs/>
          <w:sz w:val="18"/>
          <w:szCs w:val="18"/>
        </w:rPr>
        <w:t>6.临时公告</w:t>
      </w:r>
    </w:p>
    <w:p w:rsidR="004A6D8C" w:rsidRDefault="00C1729C">
      <w:pPr>
        <w:spacing w:line="360" w:lineRule="auto"/>
        <w:ind w:firstLine="361"/>
        <w:rPr>
          <w:rFonts w:ascii="黑体" w:eastAsia="黑体" w:hAnsi="黑体"/>
          <w:b/>
          <w:bCs/>
          <w:sz w:val="18"/>
          <w:szCs w:val="18"/>
        </w:rPr>
      </w:pPr>
      <w:r>
        <w:rPr>
          <w:rFonts w:ascii="黑体" w:eastAsia="黑体" w:hAnsi="黑体" w:hint="eastAsia"/>
          <w:b/>
          <w:bCs/>
          <w:sz w:val="18"/>
          <w:szCs w:val="18"/>
        </w:rPr>
        <w:t>（1）★产品管理人对投资范围、投资资产种类、投资比例、估值方法、收费项目条件标准和方式、业绩比较基准（如有）、业绩报酬计提基准（如有）等保留变更的权利，如发生变更，调整后的要素以产品管理人发布的变更公告中所载明的内容为准。产品管理人将提前2个工作日发布变更公告。</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（2）在发生</w:t>
      </w:r>
      <w:r>
        <w:rPr>
          <w:rFonts w:ascii="宋体" w:hAnsi="宋体" w:hint="eastAsia"/>
          <w:sz w:val="18"/>
          <w:szCs w:val="18"/>
        </w:rPr>
        <w:t>产品管理人</w:t>
      </w:r>
      <w:r>
        <w:rPr>
          <w:rFonts w:ascii="宋体" w:hAnsi="宋体" w:hint="eastAsia"/>
          <w:bCs/>
          <w:sz w:val="18"/>
          <w:szCs w:val="18"/>
        </w:rPr>
        <w:t>拒绝或暂停接受投资者认购申请、暂停理财产品估值等情形时，</w:t>
      </w:r>
      <w:r>
        <w:rPr>
          <w:rFonts w:ascii="宋体" w:hAnsi="宋体" w:hint="eastAsia"/>
          <w:sz w:val="18"/>
          <w:szCs w:val="18"/>
        </w:rPr>
        <w:t>产品管理人</w:t>
      </w:r>
      <w:r>
        <w:rPr>
          <w:rFonts w:ascii="宋体" w:hAnsi="宋体" w:hint="eastAsia"/>
          <w:bCs/>
          <w:sz w:val="18"/>
          <w:szCs w:val="18"/>
        </w:rPr>
        <w:t>将于3个交易日内告知投资者，并说明运用相关措施的原因和</w:t>
      </w:r>
      <w:proofErr w:type="gramStart"/>
      <w:r>
        <w:rPr>
          <w:rFonts w:ascii="宋体" w:hAnsi="宋体" w:hint="eastAsia"/>
          <w:bCs/>
          <w:sz w:val="18"/>
          <w:szCs w:val="18"/>
        </w:rPr>
        <w:t>拟采取</w:t>
      </w:r>
      <w:proofErr w:type="gramEnd"/>
      <w:r>
        <w:rPr>
          <w:rFonts w:ascii="宋体" w:hAnsi="宋体" w:hint="eastAsia"/>
          <w:bCs/>
          <w:sz w:val="18"/>
          <w:szCs w:val="18"/>
        </w:rPr>
        <w:t>的应对安排等。在发生涉及产品认购事项调整时，管理人将发布临时公告。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（3）理财产品清算期超过5个工作日的，产品管理人应当在理财产品终止前，根据与投资者的约定，在指定渠道向理财产品投资者进行披露。</w:t>
      </w:r>
    </w:p>
    <w:p w:rsidR="004A6D8C" w:rsidRDefault="00C1729C">
      <w:pPr>
        <w:spacing w:line="360" w:lineRule="auto"/>
        <w:ind w:firstLine="361"/>
        <w:rPr>
          <w:rFonts w:ascii="黑体" w:eastAsia="黑体" w:hAnsi="黑体"/>
          <w:b/>
          <w:bCs/>
          <w:sz w:val="18"/>
          <w:szCs w:val="18"/>
        </w:rPr>
      </w:pPr>
      <w:r>
        <w:rPr>
          <w:rFonts w:ascii="黑体" w:eastAsia="黑体" w:hAnsi="黑体" w:hint="eastAsia"/>
          <w:b/>
          <w:bCs/>
          <w:sz w:val="18"/>
          <w:szCs w:val="18"/>
        </w:rPr>
        <w:t>（4）★在本产品存续期内，如因国家法律法规、监管规定发生变化，或是出于维护本产品正常运营的需要，在不损害投资者权益的前提下，产品管理人有权对理财产品销售文件进行修订，并提前2个工作日进行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（5）其他临时性公告</w:t>
      </w:r>
    </w:p>
    <w:p w:rsidR="004A6D8C" w:rsidRDefault="00C1729C">
      <w:pPr>
        <w:spacing w:line="360" w:lineRule="auto"/>
        <w:ind w:firstLine="360"/>
        <w:rPr>
          <w:rFonts w:ascii="宋体" w:hAnsi="宋体"/>
          <w:bCs/>
          <w:sz w:val="18"/>
          <w:szCs w:val="18"/>
        </w:rPr>
      </w:pPr>
      <w:r>
        <w:rPr>
          <w:rFonts w:ascii="宋体" w:hAnsi="宋体" w:hint="eastAsia"/>
          <w:bCs/>
          <w:sz w:val="18"/>
          <w:szCs w:val="18"/>
        </w:rPr>
        <w:t>除前述事项外，如出现其他突发事件，需在事件发生后及时进行披露。</w:t>
      </w:r>
    </w:p>
    <w:p w:rsidR="004A6D8C" w:rsidRDefault="00C1729C">
      <w:pPr>
        <w:spacing w:line="360" w:lineRule="auto"/>
        <w:ind w:firstLineChars="200" w:firstLine="361"/>
        <w:rPr>
          <w:rFonts w:ascii="黑体" w:eastAsia="黑体" w:hAnsi="黑体"/>
          <w:b/>
          <w:bCs/>
          <w:sz w:val="18"/>
          <w:szCs w:val="18"/>
        </w:rPr>
      </w:pPr>
      <w:r>
        <w:rPr>
          <w:rFonts w:ascii="黑体" w:eastAsia="黑体" w:hAnsi="黑体" w:hint="eastAsia"/>
          <w:b/>
          <w:bCs/>
          <w:sz w:val="18"/>
          <w:szCs w:val="18"/>
        </w:rPr>
        <w:t>★在本产品存续期内，当管理人对理财产品进行相应变更（包括调整投资范围、投资资产种类、投资比例或收费项目、条件、标准和方式等）时，</w:t>
      </w:r>
      <w:proofErr w:type="gramStart"/>
      <w:r>
        <w:rPr>
          <w:rFonts w:ascii="黑体" w:eastAsia="黑体" w:hAnsi="黑体" w:hint="eastAsia"/>
          <w:b/>
          <w:bCs/>
          <w:sz w:val="18"/>
          <w:szCs w:val="18"/>
        </w:rPr>
        <w:t>若构成</w:t>
      </w:r>
      <w:proofErr w:type="gramEnd"/>
      <w:r>
        <w:rPr>
          <w:rFonts w:ascii="黑体" w:eastAsia="黑体" w:hAnsi="黑体" w:hint="eastAsia"/>
          <w:b/>
          <w:bCs/>
          <w:sz w:val="18"/>
          <w:szCs w:val="18"/>
        </w:rPr>
        <w:t>对投资者利益产生实质性不利影响或涉及当事人权利义务的重大变更的，投资者有权不接受变更，在符合法律法规及监管政策的前提下，可由管理人决定投资者的提前退出方式，并提前2个工作日进行公告。若投资者未选择退出本产品的，则视为已理解并接受管理人的相应变更。</w:t>
      </w:r>
    </w:p>
    <w:p w:rsidR="004A6D8C" w:rsidRDefault="00C1729C">
      <w:pPr>
        <w:widowControl/>
        <w:spacing w:line="360" w:lineRule="auto"/>
        <w:jc w:val="left"/>
        <w:rPr>
          <w:bCs/>
          <w:sz w:val="24"/>
        </w:rPr>
      </w:pPr>
      <w:r>
        <w:rPr>
          <w:bCs/>
          <w:sz w:val="24"/>
        </w:rPr>
        <w:br w:type="page"/>
      </w:r>
    </w:p>
    <w:p w:rsidR="004A6D8C" w:rsidRDefault="00C1729C">
      <w:pPr>
        <w:pStyle w:val="1"/>
        <w:spacing w:before="0" w:after="0" w:line="360" w:lineRule="auto"/>
        <w:jc w:val="center"/>
        <w:rPr>
          <w:rFonts w:ascii="Times New Roman"/>
          <w:b w:val="0"/>
          <w:sz w:val="30"/>
        </w:rPr>
      </w:pPr>
      <w:bookmarkStart w:id="155" w:name="_Toc79154675"/>
      <w:bookmarkStart w:id="156" w:name="_Toc88747131"/>
      <w:r>
        <w:rPr>
          <w:rFonts w:ascii="Times New Roman" w:hint="eastAsia"/>
          <w:sz w:val="30"/>
        </w:rPr>
        <w:lastRenderedPageBreak/>
        <w:t>第十</w:t>
      </w:r>
      <w:r>
        <w:rPr>
          <w:rFonts w:ascii="Times New Roman"/>
          <w:sz w:val="30"/>
        </w:rPr>
        <w:t>二</w:t>
      </w:r>
      <w:r>
        <w:rPr>
          <w:rFonts w:ascii="Times New Roman" w:hint="eastAsia"/>
          <w:sz w:val="30"/>
        </w:rPr>
        <w:t>条</w:t>
      </w:r>
      <w:r>
        <w:rPr>
          <w:rFonts w:ascii="Times New Roman"/>
          <w:sz w:val="30"/>
        </w:rPr>
        <w:t xml:space="preserve">  </w:t>
      </w:r>
      <w:r>
        <w:rPr>
          <w:rFonts w:ascii="Times New Roman" w:hint="eastAsia"/>
          <w:sz w:val="30"/>
        </w:rPr>
        <w:t>理财产品</w:t>
      </w:r>
      <w:r>
        <w:rPr>
          <w:rFonts w:ascii="Times New Roman"/>
          <w:sz w:val="30"/>
        </w:rPr>
        <w:t>的风险揭示</w:t>
      </w:r>
      <w:bookmarkEnd w:id="155"/>
      <w:bookmarkEnd w:id="156"/>
    </w:p>
    <w:p w:rsidR="004A6D8C" w:rsidRDefault="00C1729C">
      <w:pPr>
        <w:spacing w:line="360" w:lineRule="auto"/>
        <w:ind w:firstLineChars="200" w:firstLine="361"/>
        <w:rPr>
          <w:rFonts w:ascii="宋体" w:hAnsi="宋体"/>
          <w:b/>
          <w:sz w:val="18"/>
          <w:szCs w:val="18"/>
        </w:rPr>
      </w:pPr>
      <w:r>
        <w:rPr>
          <w:rFonts w:ascii="宋体" w:hAnsi="宋体" w:hint="eastAsia"/>
          <w:b/>
          <w:sz w:val="18"/>
          <w:szCs w:val="18"/>
        </w:rPr>
        <w:t>（一）投资者投资本产品可能面临的特定风险主要包括（但不限于）：</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1.拟投资市场和资产的风险：</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（1）投资债权类资产的风险</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1）投资标准化债权类资产的风险</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本产品投资债券、资产支持证券等债权类资产时可能面临以下风险：国家政策、经济周期、利率、汇率等因素可能发生的变化导致的市场风险；债券发行人的经营状况、信用质量降低等可能发生的变化导致的信用风险；可能因市场成交量不足、缺乏交易对手导致的流动性风险等。</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 xml:space="preserve">（2）投资商品和金融衍生品类资产的风险 </w:t>
      </w:r>
    </w:p>
    <w:p w:rsidR="004A6D8C" w:rsidRDefault="00C1729C">
      <w:pPr>
        <w:spacing w:line="360" w:lineRule="auto"/>
        <w:ind w:firstLineChars="200" w:firstLine="360"/>
        <w:rPr>
          <w:rFonts w:ascii="宋体" w:hAnsi="宋体"/>
          <w:bCs/>
          <w:sz w:val="18"/>
          <w:szCs w:val="18"/>
        </w:rPr>
      </w:pPr>
      <w:r>
        <w:rPr>
          <w:rFonts w:ascii="宋体" w:hAnsi="宋体" w:hint="eastAsia"/>
          <w:bCs/>
          <w:sz w:val="18"/>
          <w:szCs w:val="18"/>
        </w:rPr>
        <w:t>本产品投资商品和金融衍生品类资产时可能面临以下风险：该衍生</w:t>
      </w:r>
      <w:proofErr w:type="gramStart"/>
      <w:r>
        <w:rPr>
          <w:rFonts w:ascii="宋体" w:hAnsi="宋体" w:hint="eastAsia"/>
          <w:bCs/>
          <w:sz w:val="18"/>
          <w:szCs w:val="18"/>
        </w:rPr>
        <w:t>品资产</w:t>
      </w:r>
      <w:proofErr w:type="gramEnd"/>
      <w:r>
        <w:rPr>
          <w:rFonts w:ascii="宋体" w:hAnsi="宋体" w:hint="eastAsia"/>
          <w:bCs/>
          <w:sz w:val="18"/>
          <w:szCs w:val="18"/>
        </w:rPr>
        <w:t>可能实行保证金交易制度，具有高杠杆性，高杠杆效应放大了价格波动风险；若本产品运作中出现基差（注：</w:t>
      </w:r>
      <w:proofErr w:type="gramStart"/>
      <w:r>
        <w:rPr>
          <w:rFonts w:ascii="宋体" w:hAnsi="宋体" w:hint="eastAsia"/>
          <w:bCs/>
          <w:sz w:val="18"/>
          <w:szCs w:val="18"/>
        </w:rPr>
        <w:t>基差是</w:t>
      </w:r>
      <w:proofErr w:type="gramEnd"/>
      <w:r>
        <w:rPr>
          <w:rFonts w:ascii="宋体" w:hAnsi="宋体" w:hint="eastAsia"/>
          <w:bCs/>
          <w:sz w:val="18"/>
          <w:szCs w:val="18"/>
        </w:rPr>
        <w:t>指现货价格与期货价格之间的差额）波动不确定性加大、</w:t>
      </w:r>
      <w:proofErr w:type="gramStart"/>
      <w:r>
        <w:rPr>
          <w:rFonts w:ascii="宋体" w:hAnsi="宋体" w:hint="eastAsia"/>
          <w:bCs/>
          <w:sz w:val="18"/>
          <w:szCs w:val="18"/>
        </w:rPr>
        <w:t>基差向</w:t>
      </w:r>
      <w:proofErr w:type="gramEnd"/>
      <w:r>
        <w:rPr>
          <w:rFonts w:ascii="宋体" w:hAnsi="宋体" w:hint="eastAsia"/>
          <w:bCs/>
          <w:sz w:val="18"/>
          <w:szCs w:val="18"/>
        </w:rPr>
        <w:t>不利方向变动等情况，可能对本产品投资产生不利影响；本产品持有的衍生品合约临近交割期限，需要向较远月份的合约进行展期时，可能发生展期过程中价差损失以及交易成本损失的情况，对投资产生不利影响；当本产品投资的衍生品保证金不足时，可能使所持有的头寸面临被强制平仓的风险。</w:t>
      </w:r>
    </w:p>
    <w:p w:rsidR="004A6D8C" w:rsidRDefault="00C1729C">
      <w:pPr>
        <w:spacing w:line="360" w:lineRule="auto"/>
        <w:ind w:firstLineChars="200" w:firstLine="361"/>
        <w:rPr>
          <w:rFonts w:ascii="宋体" w:hAnsi="宋体"/>
          <w:b/>
          <w:sz w:val="18"/>
          <w:szCs w:val="18"/>
        </w:rPr>
      </w:pPr>
      <w:r>
        <w:rPr>
          <w:rFonts w:ascii="宋体" w:hAnsi="宋体" w:hint="eastAsia"/>
          <w:b/>
          <w:sz w:val="18"/>
          <w:szCs w:val="18"/>
        </w:rPr>
        <w:t>★注：以上特定风险仅为列举性质，未能详尽列明投资本产品可能面临的全部风险和可能导致投资者投资本金及收益损失的所有因素。</w:t>
      </w:r>
    </w:p>
    <w:p w:rsidR="004A6D8C" w:rsidRDefault="00C1729C">
      <w:pPr>
        <w:spacing w:line="360" w:lineRule="auto"/>
        <w:ind w:firstLineChars="200" w:firstLine="361"/>
        <w:rPr>
          <w:rFonts w:ascii="宋体" w:hAnsi="宋体"/>
          <w:b/>
          <w:bCs/>
          <w:sz w:val="18"/>
          <w:szCs w:val="18"/>
        </w:rPr>
      </w:pPr>
      <w:r>
        <w:rPr>
          <w:rFonts w:ascii="宋体" w:hAnsi="宋体" w:hint="eastAsia"/>
          <w:b/>
          <w:bCs/>
          <w:sz w:val="18"/>
          <w:szCs w:val="18"/>
        </w:rPr>
        <w:t xml:space="preserve">（二）投资者投资本产品可能面临的一般风险主要包括（但不限于）： </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w:t>
      </w:r>
      <w:r>
        <w:rPr>
          <w:rFonts w:ascii="宋体" w:hAnsi="宋体"/>
          <w:sz w:val="18"/>
          <w:szCs w:val="18"/>
        </w:rPr>
        <w:t>信用风险:</w:t>
      </w:r>
      <w:r>
        <w:rPr>
          <w:rFonts w:ascii="宋体" w:hAnsi="宋体" w:hint="eastAsia"/>
          <w:sz w:val="18"/>
          <w:szCs w:val="18"/>
        </w:rPr>
        <w:t>理财产品投资运作过程中，理财产品管理人将根据《产品说明书》的约定投资于相关金融工具或资产，如果相关投资的债务人、交易对手等发生违约，信用状况恶化等，投资者将面临投资损失的风险。</w:t>
      </w:r>
    </w:p>
    <w:p w:rsidR="004A6D8C" w:rsidRDefault="00C1729C">
      <w:pPr>
        <w:spacing w:line="360" w:lineRule="auto"/>
        <w:ind w:firstLineChars="200" w:firstLine="360"/>
        <w:rPr>
          <w:rFonts w:ascii="宋体" w:hAnsi="宋体"/>
          <w:sz w:val="18"/>
          <w:szCs w:val="18"/>
        </w:rPr>
      </w:pPr>
      <w:r>
        <w:rPr>
          <w:rFonts w:ascii="宋体" w:hAnsi="宋体"/>
          <w:sz w:val="18"/>
          <w:szCs w:val="18"/>
        </w:rPr>
        <w:t>2</w:t>
      </w:r>
      <w:r>
        <w:rPr>
          <w:rFonts w:ascii="宋体" w:hAnsi="宋体" w:hint="eastAsia"/>
          <w:sz w:val="18"/>
          <w:szCs w:val="18"/>
        </w:rPr>
        <w:t>.</w:t>
      </w:r>
      <w:r>
        <w:rPr>
          <w:rFonts w:ascii="宋体" w:hAnsi="宋体"/>
          <w:sz w:val="18"/>
          <w:szCs w:val="18"/>
        </w:rPr>
        <w:t>利率风险：</w:t>
      </w:r>
      <w:r>
        <w:rPr>
          <w:rFonts w:ascii="宋体" w:hAnsi="宋体" w:hint="eastAsia"/>
          <w:sz w:val="18"/>
          <w:szCs w:val="18"/>
        </w:rPr>
        <w:t>理财产品存续期内，如果市场利率发生变化，并导致本产品所投资产的收益大幅下跌，则可能造成投资者遭受损失；如果物价指数上升，理财产品的净值收益水平低于通货膨胀率，造成投资者投资理财产品遭受损失的风险。</w:t>
      </w:r>
    </w:p>
    <w:p w:rsidR="004A6D8C" w:rsidRDefault="00C1729C">
      <w:pPr>
        <w:spacing w:line="360" w:lineRule="auto"/>
        <w:ind w:firstLineChars="200" w:firstLine="360"/>
        <w:rPr>
          <w:rFonts w:ascii="宋体" w:hAnsi="宋体"/>
          <w:sz w:val="18"/>
          <w:szCs w:val="18"/>
        </w:rPr>
      </w:pPr>
      <w:r>
        <w:rPr>
          <w:rFonts w:ascii="宋体" w:hAnsi="宋体"/>
          <w:sz w:val="18"/>
          <w:szCs w:val="18"/>
        </w:rPr>
        <w:t>3</w:t>
      </w:r>
      <w:r>
        <w:rPr>
          <w:rFonts w:ascii="宋体" w:hAnsi="宋体" w:hint="eastAsia"/>
          <w:sz w:val="18"/>
          <w:szCs w:val="18"/>
        </w:rPr>
        <w:t>.市场</w:t>
      </w:r>
      <w:r>
        <w:rPr>
          <w:rFonts w:ascii="宋体" w:hAnsi="宋体"/>
          <w:sz w:val="18"/>
          <w:szCs w:val="18"/>
        </w:rPr>
        <w:t>风险：</w:t>
      </w:r>
      <w:r>
        <w:rPr>
          <w:rFonts w:ascii="宋体" w:hAnsi="宋体" w:hint="eastAsia"/>
          <w:sz w:val="18"/>
          <w:szCs w:val="18"/>
        </w:rPr>
        <w:t>证券市场价格因受宏观政策面、利率、汇率变动等各种因素的影响而引起的波动，将使本产品资产面临潜在的风险。市场风险包括但不限于股票投资风险、债券投资风险、商品投资风险以及衍生</w:t>
      </w:r>
      <w:proofErr w:type="gramStart"/>
      <w:r>
        <w:rPr>
          <w:rFonts w:ascii="宋体" w:hAnsi="宋体" w:hint="eastAsia"/>
          <w:sz w:val="18"/>
          <w:szCs w:val="18"/>
        </w:rPr>
        <w:t>品投资</w:t>
      </w:r>
      <w:proofErr w:type="gramEnd"/>
      <w:r>
        <w:rPr>
          <w:rFonts w:ascii="宋体" w:hAnsi="宋体" w:hint="eastAsia"/>
          <w:sz w:val="18"/>
          <w:szCs w:val="18"/>
        </w:rPr>
        <w:t>风险等。</w:t>
      </w:r>
    </w:p>
    <w:p w:rsidR="004A6D8C" w:rsidRDefault="00C1729C">
      <w:pPr>
        <w:spacing w:line="360" w:lineRule="auto"/>
        <w:ind w:firstLineChars="200" w:firstLine="360"/>
        <w:rPr>
          <w:rFonts w:ascii="宋体" w:hAnsi="宋体"/>
          <w:sz w:val="18"/>
          <w:szCs w:val="18"/>
        </w:rPr>
      </w:pPr>
      <w:r>
        <w:rPr>
          <w:rFonts w:ascii="宋体" w:hAnsi="宋体" w:hint="eastAsia"/>
          <w:sz w:val="18"/>
          <w:szCs w:val="18"/>
        </w:rPr>
        <w:t>4.</w:t>
      </w:r>
      <w:r>
        <w:rPr>
          <w:rFonts w:ascii="宋体" w:hAnsi="宋体"/>
          <w:sz w:val="18"/>
          <w:szCs w:val="18"/>
        </w:rPr>
        <w:t>流动性风险：</w:t>
      </w:r>
      <w:r>
        <w:rPr>
          <w:rFonts w:ascii="宋体" w:hAnsi="宋体" w:hint="eastAsia"/>
          <w:sz w:val="18"/>
          <w:szCs w:val="18"/>
        </w:rPr>
        <w:t>若本理财产品为开放式产品的，管理人按本说明书约定接受投资者的申购与赎回申请。在理财产品面临流动性风险时，管理人将根据本说明书约定的方式采用流动性风险应对措施，投资者可能</w:t>
      </w:r>
      <w:r>
        <w:rPr>
          <w:rFonts w:ascii="宋体" w:hAnsi="宋体" w:hint="eastAsia"/>
          <w:sz w:val="18"/>
          <w:szCs w:val="18"/>
        </w:rPr>
        <w:lastRenderedPageBreak/>
        <w:t>面临暂停赎回或延缓支付赎回款项的风险。在特定阶段、特定市场环境下，因市场成交量不足、资产限制赎回、暂停交易、缺乏意愿交易对手等原因，出现特定投资标的流动性较差的情况下时，可能导致本产品的投资组合存在无法及时变</w:t>
      </w:r>
      <w:proofErr w:type="gramStart"/>
      <w:r>
        <w:rPr>
          <w:rFonts w:ascii="宋体" w:hAnsi="宋体" w:hint="eastAsia"/>
          <w:sz w:val="18"/>
          <w:szCs w:val="18"/>
        </w:rPr>
        <w:t>现及其</w:t>
      </w:r>
      <w:proofErr w:type="gramEnd"/>
      <w:r>
        <w:rPr>
          <w:rFonts w:ascii="宋体" w:hAnsi="宋体" w:hint="eastAsia"/>
          <w:sz w:val="18"/>
          <w:szCs w:val="18"/>
        </w:rPr>
        <w:t>他流动性风险。</w:t>
      </w:r>
    </w:p>
    <w:p w:rsidR="004A6D8C" w:rsidRDefault="00C1729C">
      <w:pPr>
        <w:spacing w:line="360" w:lineRule="auto"/>
        <w:ind w:firstLineChars="200" w:firstLine="360"/>
        <w:rPr>
          <w:rFonts w:ascii="宋体" w:hAnsi="宋体"/>
          <w:sz w:val="18"/>
          <w:szCs w:val="18"/>
        </w:rPr>
      </w:pPr>
      <w:r>
        <w:rPr>
          <w:rFonts w:ascii="宋体" w:hAnsi="宋体" w:hint="eastAsia"/>
          <w:sz w:val="18"/>
          <w:szCs w:val="18"/>
        </w:rPr>
        <w:t>5.</w:t>
      </w:r>
      <w:r>
        <w:rPr>
          <w:rFonts w:ascii="宋体" w:hAnsi="宋体"/>
          <w:sz w:val="18"/>
          <w:szCs w:val="18"/>
        </w:rPr>
        <w:t>法律与政策风险：</w:t>
      </w:r>
      <w:r>
        <w:rPr>
          <w:rFonts w:ascii="宋体" w:hAnsi="宋体" w:hint="eastAsia"/>
          <w:sz w:val="18"/>
          <w:szCs w:val="18"/>
        </w:rPr>
        <w:t>国家监管政策、货币政策、财政税收政策、产业政策、宏观政策及相关法律、法规的调整与变化将会影响本产品的设立、投资及管理等的正常运行，甚至导致本产品发生损失。</w:t>
      </w:r>
    </w:p>
    <w:p w:rsidR="004A6D8C" w:rsidRDefault="00C1729C">
      <w:pPr>
        <w:spacing w:line="360" w:lineRule="auto"/>
        <w:ind w:firstLineChars="200" w:firstLine="360"/>
        <w:rPr>
          <w:rFonts w:ascii="宋体" w:hAnsi="宋体"/>
          <w:sz w:val="18"/>
          <w:szCs w:val="18"/>
        </w:rPr>
      </w:pPr>
      <w:r>
        <w:rPr>
          <w:rFonts w:ascii="宋体" w:hAnsi="宋体" w:hint="eastAsia"/>
          <w:sz w:val="18"/>
          <w:szCs w:val="18"/>
        </w:rPr>
        <w:t>6.</w:t>
      </w:r>
      <w:r>
        <w:rPr>
          <w:rFonts w:ascii="宋体" w:hAnsi="宋体"/>
          <w:sz w:val="18"/>
          <w:szCs w:val="18"/>
        </w:rPr>
        <w:t>延期</w:t>
      </w:r>
      <w:r>
        <w:rPr>
          <w:rFonts w:ascii="宋体" w:hAnsi="宋体" w:hint="eastAsia"/>
          <w:sz w:val="18"/>
          <w:szCs w:val="18"/>
        </w:rPr>
        <w:t>分配</w:t>
      </w:r>
      <w:r>
        <w:rPr>
          <w:rFonts w:ascii="宋体" w:hAnsi="宋体"/>
          <w:sz w:val="18"/>
          <w:szCs w:val="18"/>
        </w:rPr>
        <w:t>风险：</w:t>
      </w:r>
      <w:r>
        <w:rPr>
          <w:rFonts w:ascii="宋体" w:hAnsi="宋体" w:hint="eastAsia"/>
          <w:sz w:val="18"/>
          <w:szCs w:val="18"/>
        </w:rPr>
        <w:t>指因市场内部和外部的原因导致理财基础资产不能及时变现而造成理财产品不能按时分配，理财期限将相应延长，从而导致本产品部分资金的延期分配。</w:t>
      </w:r>
    </w:p>
    <w:p w:rsidR="004A6D8C" w:rsidRDefault="00C1729C">
      <w:pPr>
        <w:spacing w:line="360" w:lineRule="auto"/>
        <w:ind w:firstLineChars="200" w:firstLine="360"/>
        <w:rPr>
          <w:rFonts w:ascii="宋体" w:hAnsi="宋体"/>
          <w:sz w:val="18"/>
          <w:szCs w:val="18"/>
        </w:rPr>
      </w:pPr>
      <w:r>
        <w:rPr>
          <w:rFonts w:ascii="宋体" w:hAnsi="宋体" w:hint="eastAsia"/>
          <w:sz w:val="18"/>
          <w:szCs w:val="18"/>
        </w:rPr>
        <w:t>7.</w:t>
      </w:r>
      <w:proofErr w:type="gramStart"/>
      <w:r>
        <w:rPr>
          <w:rFonts w:ascii="宋体" w:hAnsi="宋体"/>
          <w:sz w:val="18"/>
          <w:szCs w:val="18"/>
        </w:rPr>
        <w:t>早偿风险</w:t>
      </w:r>
      <w:proofErr w:type="gramEnd"/>
      <w:r>
        <w:rPr>
          <w:rFonts w:ascii="宋体" w:hAnsi="宋体"/>
          <w:sz w:val="18"/>
          <w:szCs w:val="18"/>
        </w:rPr>
        <w:t>：</w:t>
      </w:r>
      <w:r>
        <w:rPr>
          <w:rFonts w:ascii="宋体" w:hAnsi="宋体" w:hint="eastAsia"/>
          <w:sz w:val="18"/>
          <w:szCs w:val="18"/>
        </w:rPr>
        <w:t>如遇国家金融政策重大调整影响产品正常运作时、本产品的投资资产等不能成立或者提前终止、或者司法机关要求、或发生其他产品管理人认为需要提前终止本产品等情况，产品管理人有权部分或全部提前终止本产品，投资者将面临再投资机会风险。</w:t>
      </w:r>
    </w:p>
    <w:p w:rsidR="004A6D8C" w:rsidRDefault="00C1729C">
      <w:pPr>
        <w:spacing w:line="360" w:lineRule="auto"/>
        <w:ind w:firstLineChars="200" w:firstLine="360"/>
        <w:rPr>
          <w:rFonts w:ascii="黑体" w:eastAsia="黑体" w:hAnsi="黑体"/>
          <w:sz w:val="18"/>
          <w:szCs w:val="18"/>
        </w:rPr>
      </w:pPr>
      <w:r>
        <w:rPr>
          <w:rFonts w:ascii="黑体" w:eastAsia="黑体" w:hAnsi="黑体" w:hint="eastAsia"/>
          <w:sz w:val="18"/>
          <w:szCs w:val="18"/>
        </w:rPr>
        <w:t>8</w:t>
      </w:r>
      <w:r>
        <w:rPr>
          <w:rFonts w:ascii="黑体" w:eastAsia="黑体" w:hAnsi="黑体"/>
          <w:sz w:val="18"/>
          <w:szCs w:val="18"/>
        </w:rPr>
        <w:t>. ★信息传递风险：</w:t>
      </w:r>
      <w:r>
        <w:rPr>
          <w:rFonts w:ascii="黑体" w:eastAsia="黑体" w:hAnsi="黑体" w:hint="eastAsia"/>
          <w:sz w:val="18"/>
          <w:szCs w:val="18"/>
        </w:rPr>
        <w:t>投资者需要通过约定的信息披露渠道了解产品相关信息公告。具体公告方式以理财产品合同所载明的公告方式为准。投资者应根据本产品说明书所载明的公告方式及时查询本理财产品的相关信息。</w:t>
      </w:r>
      <w:r>
        <w:rPr>
          <w:rFonts w:ascii="黑体" w:eastAsia="黑体" w:hAnsi="黑体"/>
          <w:sz w:val="18"/>
          <w:szCs w:val="18"/>
        </w:rPr>
        <w:t>如果投资者未及时查询，或由于通讯故障、系统故障以及其他不可抗力等因素的影响使得投资者无法及时了解产品信息，由此而产生的责任和风险由投资者自行承担。如投资者预留的有效联系方式变更但未及时告知</w:t>
      </w:r>
      <w:r>
        <w:rPr>
          <w:rFonts w:ascii="黑体" w:eastAsia="黑体" w:hAnsi="黑体" w:hint="eastAsia"/>
          <w:sz w:val="18"/>
          <w:szCs w:val="18"/>
        </w:rPr>
        <w:t>产品管理人</w:t>
      </w:r>
      <w:r>
        <w:rPr>
          <w:rFonts w:ascii="黑体" w:eastAsia="黑体" w:hAnsi="黑体"/>
          <w:sz w:val="18"/>
          <w:szCs w:val="18"/>
        </w:rPr>
        <w:t>的，致使在需要联系投资者时无法及时联系并可能会由此影响投资者的投资决策，由此而产生的责任和风险由投资者自行承担。</w:t>
      </w:r>
    </w:p>
    <w:p w:rsidR="004A6D8C" w:rsidRDefault="00C1729C">
      <w:pPr>
        <w:spacing w:line="360" w:lineRule="auto"/>
        <w:ind w:firstLineChars="200" w:firstLine="360"/>
        <w:rPr>
          <w:rFonts w:ascii="宋体" w:hAnsi="宋体"/>
          <w:sz w:val="18"/>
          <w:szCs w:val="18"/>
        </w:rPr>
      </w:pPr>
      <w:r>
        <w:rPr>
          <w:rFonts w:ascii="宋体" w:hAnsi="宋体" w:hint="eastAsia"/>
          <w:sz w:val="18"/>
          <w:szCs w:val="18"/>
        </w:rPr>
        <w:t>9.</w:t>
      </w:r>
      <w:r>
        <w:rPr>
          <w:rFonts w:ascii="宋体" w:hAnsi="宋体"/>
          <w:sz w:val="18"/>
          <w:szCs w:val="18"/>
        </w:rPr>
        <w:t>不可抗力及意外事件风险：</w:t>
      </w:r>
      <w:r>
        <w:rPr>
          <w:rFonts w:ascii="宋体" w:hAnsi="宋体" w:hint="eastAsia"/>
          <w:sz w:val="18"/>
          <w:szCs w:val="18"/>
        </w:rPr>
        <w:t>因战争、自然灾害、重大政治事件等不可抗力以及其他不可预见的意外事件可能致使理财产品面临损失的风险。</w:t>
      </w:r>
    </w:p>
    <w:p w:rsidR="004A6D8C" w:rsidRDefault="00C1729C">
      <w:pPr>
        <w:spacing w:line="360" w:lineRule="auto"/>
        <w:ind w:firstLineChars="200" w:firstLine="360"/>
        <w:rPr>
          <w:rFonts w:ascii="宋体" w:hAnsi="宋体"/>
          <w:bCs/>
          <w:sz w:val="18"/>
          <w:szCs w:val="18"/>
        </w:rPr>
      </w:pPr>
      <w:r>
        <w:rPr>
          <w:rFonts w:ascii="宋体" w:hAnsi="宋体"/>
          <w:sz w:val="18"/>
          <w:szCs w:val="18"/>
        </w:rPr>
        <w:t>1</w:t>
      </w:r>
      <w:r>
        <w:rPr>
          <w:rFonts w:ascii="宋体" w:hAnsi="宋体" w:hint="eastAsia"/>
          <w:sz w:val="18"/>
          <w:szCs w:val="18"/>
        </w:rPr>
        <w:t>0.</w:t>
      </w:r>
      <w:r>
        <w:rPr>
          <w:rFonts w:ascii="宋体" w:hAnsi="宋体"/>
          <w:sz w:val="18"/>
          <w:szCs w:val="18"/>
        </w:rPr>
        <w:t>管理人风险：</w:t>
      </w:r>
      <w:r>
        <w:rPr>
          <w:rFonts w:ascii="宋体" w:hAnsi="宋体" w:hint="eastAsia"/>
          <w:sz w:val="18"/>
          <w:szCs w:val="18"/>
        </w:rPr>
        <w:t>理财产品管理人或理财投资资产相关服务机构受经验、技能等因素的限制，或者上述主体处理事务不当等，可能导致投资者遭受损失。</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1.理财产品不成立风险：如自本产品开始募集至认购期结束</w:t>
      </w:r>
      <w:proofErr w:type="gramStart"/>
      <w:r>
        <w:rPr>
          <w:rFonts w:ascii="宋体" w:hAnsi="宋体" w:hint="eastAsia"/>
          <w:sz w:val="18"/>
          <w:szCs w:val="18"/>
        </w:rPr>
        <w:t>认购总</w:t>
      </w:r>
      <w:proofErr w:type="gramEnd"/>
      <w:r>
        <w:rPr>
          <w:rFonts w:ascii="宋体" w:hAnsi="宋体" w:hint="eastAsia"/>
          <w:sz w:val="18"/>
          <w:szCs w:val="18"/>
        </w:rPr>
        <w:t>金额未达到产品最小成立规模（如有约定），或</w:t>
      </w:r>
      <w:r>
        <w:rPr>
          <w:rFonts w:ascii="宋体" w:hAnsi="宋体"/>
          <w:sz w:val="18"/>
          <w:szCs w:val="18"/>
        </w:rPr>
        <w:t>融资人取消</w:t>
      </w:r>
      <w:r>
        <w:rPr>
          <w:rFonts w:ascii="宋体" w:hAnsi="宋体" w:hint="eastAsia"/>
          <w:sz w:val="18"/>
          <w:szCs w:val="18"/>
        </w:rPr>
        <w:t>融资</w:t>
      </w:r>
      <w:r>
        <w:rPr>
          <w:rFonts w:ascii="宋体" w:hAnsi="宋体"/>
          <w:sz w:val="18"/>
          <w:szCs w:val="18"/>
        </w:rPr>
        <w:t>计划，</w:t>
      </w:r>
      <w:r>
        <w:rPr>
          <w:rFonts w:ascii="宋体" w:hAnsi="宋体" w:hint="eastAsia"/>
          <w:sz w:val="18"/>
          <w:szCs w:val="18"/>
        </w:rPr>
        <w:t>或市场发生剧烈波动，或不可抗力，或相关法律法规以及监管部门规定等原因，经产品管理人谨慎合理判断难以按照理财产品销售文件有关规定向投资者提供本产品，产品管理人有权宣布本产品不成立并</w:t>
      </w:r>
      <w:r>
        <w:rPr>
          <w:rFonts w:ascii="宋体" w:hAnsi="宋体"/>
          <w:sz w:val="18"/>
          <w:szCs w:val="18"/>
        </w:rPr>
        <w:t>及时返还投资者资金</w:t>
      </w:r>
      <w:r>
        <w:rPr>
          <w:rFonts w:ascii="宋体" w:hAnsi="宋体" w:hint="eastAsia"/>
          <w:sz w:val="18"/>
          <w:szCs w:val="18"/>
        </w:rPr>
        <w:t>，投资者将承担投资本产品不成立的风险。</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2.</w:t>
      </w:r>
      <w:r>
        <w:rPr>
          <w:rFonts w:ascii="宋体" w:hAnsi="宋体"/>
          <w:sz w:val="18"/>
          <w:szCs w:val="18"/>
        </w:rPr>
        <w:t>操作风险：</w:t>
      </w:r>
      <w:r>
        <w:rPr>
          <w:rFonts w:ascii="宋体" w:hAnsi="宋体" w:hint="eastAsia"/>
          <w:sz w:val="18"/>
          <w:szCs w:val="18"/>
        </w:rPr>
        <w:t>由于产品管理人的</w:t>
      </w:r>
      <w:r>
        <w:rPr>
          <w:rFonts w:ascii="宋体" w:hAnsi="宋体"/>
          <w:sz w:val="18"/>
          <w:szCs w:val="18"/>
        </w:rPr>
        <w:t>不完善或有问题的内部程序、员工和信息科技系统，以及外部事件所造成损失的风险。</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3</w:t>
      </w:r>
      <w:r>
        <w:rPr>
          <w:rFonts w:ascii="宋体" w:hAnsi="宋体"/>
          <w:sz w:val="18"/>
          <w:szCs w:val="18"/>
        </w:rPr>
        <w:t>.估值</w:t>
      </w:r>
      <w:r>
        <w:rPr>
          <w:rFonts w:ascii="宋体" w:hAnsi="宋体" w:hint="eastAsia"/>
          <w:sz w:val="18"/>
          <w:szCs w:val="18"/>
        </w:rPr>
        <w:t>波动</w:t>
      </w:r>
      <w:r>
        <w:rPr>
          <w:rFonts w:ascii="宋体" w:hAnsi="宋体"/>
          <w:sz w:val="18"/>
          <w:szCs w:val="18"/>
        </w:rPr>
        <w:t>风险：</w:t>
      </w:r>
      <w:r>
        <w:rPr>
          <w:rFonts w:ascii="宋体" w:hAnsi="宋体" w:hint="eastAsia"/>
          <w:sz w:val="18"/>
          <w:szCs w:val="18"/>
        </w:rPr>
        <w:t>本理财产品可能</w:t>
      </w:r>
      <w:r>
        <w:rPr>
          <w:rFonts w:ascii="宋体" w:hAnsi="宋体"/>
          <w:sz w:val="18"/>
          <w:szCs w:val="18"/>
        </w:rPr>
        <w:t>投资符合监管</w:t>
      </w:r>
      <w:r>
        <w:rPr>
          <w:rFonts w:ascii="宋体" w:hAnsi="宋体" w:hint="eastAsia"/>
          <w:sz w:val="18"/>
          <w:szCs w:val="18"/>
        </w:rPr>
        <w:t>要求的资产管理产品（包括但不限于信托计划、公募基金、基金公司或子公司资产管理计划、证券公司资产管理计划、期货资产管理计划、保险资产管理计划等），前述资产管理产品的管理人可能收取</w:t>
      </w:r>
      <w:r>
        <w:rPr>
          <w:rFonts w:ascii="宋体" w:hAnsi="宋体"/>
          <w:sz w:val="18"/>
          <w:szCs w:val="18"/>
        </w:rPr>
        <w:t>业绩报酬，</w:t>
      </w:r>
      <w:r>
        <w:rPr>
          <w:rFonts w:ascii="宋体" w:hAnsi="宋体" w:hint="eastAsia"/>
          <w:sz w:val="18"/>
          <w:szCs w:val="18"/>
        </w:rPr>
        <w:t>当前述资产管理产品计提业绩报酬时，本理财产品的产品份额净值存在下跌的风险。</w:t>
      </w:r>
    </w:p>
    <w:p w:rsidR="004A6D8C" w:rsidRDefault="00C1729C">
      <w:pPr>
        <w:spacing w:line="360" w:lineRule="auto"/>
        <w:ind w:firstLineChars="200" w:firstLine="360"/>
        <w:rPr>
          <w:rFonts w:ascii="宋体" w:hAnsi="宋体"/>
          <w:sz w:val="18"/>
          <w:szCs w:val="18"/>
        </w:rPr>
      </w:pPr>
      <w:r>
        <w:rPr>
          <w:rFonts w:ascii="宋体" w:hAnsi="宋体"/>
          <w:sz w:val="18"/>
          <w:szCs w:val="18"/>
        </w:rPr>
        <w:lastRenderedPageBreak/>
        <w:t>1</w:t>
      </w:r>
      <w:r>
        <w:rPr>
          <w:rFonts w:ascii="宋体" w:hAnsi="宋体" w:hint="eastAsia"/>
          <w:sz w:val="18"/>
          <w:szCs w:val="18"/>
        </w:rPr>
        <w:t>4.</w:t>
      </w:r>
      <w:r>
        <w:rPr>
          <w:rFonts w:ascii="宋体" w:hAnsi="宋体"/>
          <w:sz w:val="18"/>
          <w:szCs w:val="18"/>
        </w:rPr>
        <w:t>估值差错风险：</w:t>
      </w:r>
      <w:r>
        <w:rPr>
          <w:rFonts w:ascii="宋体" w:hAnsi="宋体" w:hint="eastAsia"/>
          <w:sz w:val="18"/>
          <w:szCs w:val="18"/>
        </w:rPr>
        <w:t>理财投资基础资产时涉及对资产估值不准确、及时的，理财产品管理人及产品托管人对理财产品费用计提出现错误，将导致本产品估值差错，可能影响理财产品份额净值。</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5.★</w:t>
      </w:r>
      <w:r>
        <w:rPr>
          <w:rFonts w:ascii="黑体" w:eastAsia="黑体" w:hAnsi="黑体" w:hint="eastAsia"/>
          <w:sz w:val="18"/>
          <w:szCs w:val="18"/>
        </w:rPr>
        <w:t>代销风险：本理财产品若通过非产品管理人自有渠道进行销售的属于代理销售，认购</w:t>
      </w:r>
      <w:r>
        <w:rPr>
          <w:rFonts w:ascii="黑体" w:eastAsia="黑体" w:hAnsi="黑体"/>
          <w:sz w:val="18"/>
          <w:szCs w:val="18"/>
        </w:rPr>
        <w:t>/</w:t>
      </w:r>
      <w:r>
        <w:rPr>
          <w:rFonts w:ascii="黑体" w:eastAsia="黑体" w:hAnsi="黑体" w:hint="eastAsia"/>
          <w:sz w:val="18"/>
          <w:szCs w:val="18"/>
        </w:rPr>
        <w:t>申购时投资者购买理财产品的资金由代理销售机构从投资者清算账户扣收并划付管理人，赎回理财产品份额时相应款项由管理人按约定划付至代理销售机构，并由代理销售机构向投资者支付投资者应得理财利益。不同代理销售机构的销售渠道，其</w:t>
      </w:r>
      <w:r>
        <w:rPr>
          <w:rFonts w:ascii="黑体" w:eastAsia="黑体" w:hAnsi="黑体"/>
          <w:sz w:val="18"/>
          <w:szCs w:val="18"/>
        </w:rPr>
        <w:t>申购/赎回确认时效可能存在差异。如因投资者清算账户余额不足，或代理销售机构未及时足额划付资金，或代理销售机构清算账户内资金被依法冻结或扣划，或代理销售机构清算账户处于被挂失、冻结、注销或其他非正常状态等原因而导致交易失败，由代理销售机构与投资者依法协商解决，但前述约定</w:t>
      </w:r>
      <w:proofErr w:type="gramStart"/>
      <w:r>
        <w:rPr>
          <w:rFonts w:ascii="黑体" w:eastAsia="黑体" w:hAnsi="黑体" w:hint="eastAsia"/>
          <w:sz w:val="18"/>
          <w:szCs w:val="18"/>
        </w:rPr>
        <w:t>不</w:t>
      </w:r>
      <w:proofErr w:type="gramEnd"/>
      <w:r>
        <w:rPr>
          <w:rFonts w:ascii="黑体" w:eastAsia="黑体" w:hAnsi="黑体" w:hint="eastAsia"/>
          <w:sz w:val="18"/>
          <w:szCs w:val="18"/>
        </w:rPr>
        <w:t>免除因代理销售机构过错依法应由代理销售机构承担的责任。</w:t>
      </w:r>
    </w:p>
    <w:p w:rsidR="004A6D8C" w:rsidRDefault="00C1729C">
      <w:pPr>
        <w:spacing w:line="360" w:lineRule="auto"/>
        <w:ind w:firstLineChars="200" w:firstLine="360"/>
        <w:rPr>
          <w:rFonts w:ascii="黑体" w:eastAsia="黑体" w:hAnsi="黑体"/>
          <w:sz w:val="18"/>
          <w:szCs w:val="18"/>
        </w:rPr>
      </w:pPr>
      <w:r>
        <w:rPr>
          <w:rFonts w:ascii="黑体" w:eastAsia="黑体" w:hAnsi="黑体"/>
          <w:sz w:val="18"/>
          <w:szCs w:val="18"/>
        </w:rPr>
        <w:t>1</w:t>
      </w:r>
      <w:r>
        <w:rPr>
          <w:rFonts w:ascii="黑体" w:eastAsia="黑体" w:hAnsi="黑体" w:hint="eastAsia"/>
          <w:sz w:val="18"/>
          <w:szCs w:val="18"/>
        </w:rPr>
        <w:t>6</w:t>
      </w:r>
      <w:r>
        <w:rPr>
          <w:rFonts w:ascii="黑体" w:eastAsia="黑体" w:hAnsi="黑体"/>
          <w:sz w:val="18"/>
          <w:szCs w:val="18"/>
        </w:rPr>
        <w:t>.</w:t>
      </w:r>
      <w:r>
        <w:rPr>
          <w:rFonts w:ascii="黑体" w:eastAsia="黑体" w:hAnsi="黑体" w:hint="eastAsia"/>
          <w:sz w:val="18"/>
          <w:szCs w:val="18"/>
        </w:rPr>
        <w:t>★不同理财产品份额类别存在差异的风险：理财产品管理人可根据投资者购买理财产品的金额、销售</w:t>
      </w:r>
      <w:r>
        <w:rPr>
          <w:rFonts w:ascii="黑体" w:eastAsia="黑体" w:hAnsi="黑体"/>
          <w:sz w:val="18"/>
          <w:szCs w:val="18"/>
        </w:rPr>
        <w:t>渠道</w:t>
      </w:r>
      <w:r>
        <w:rPr>
          <w:rFonts w:ascii="黑体" w:eastAsia="黑体" w:hAnsi="黑体" w:hint="eastAsia"/>
          <w:sz w:val="18"/>
          <w:szCs w:val="18"/>
        </w:rPr>
        <w:t>等因素，对理财投资者所持有的理财产品设置不同理财产品份额类别。不同类别的理财产品份额在销售名称、收费方式、销售服务费、销售代码、销售对象、销售起点金额（认购、申购的</w:t>
      </w:r>
      <w:r>
        <w:rPr>
          <w:rFonts w:ascii="黑体" w:eastAsia="黑体" w:hAnsi="黑体"/>
          <w:sz w:val="18"/>
          <w:szCs w:val="18"/>
        </w:rPr>
        <w:t>起点金额</w:t>
      </w:r>
      <w:r>
        <w:rPr>
          <w:rFonts w:ascii="黑体" w:eastAsia="黑体" w:hAnsi="黑体" w:hint="eastAsia"/>
          <w:sz w:val="18"/>
          <w:szCs w:val="18"/>
        </w:rPr>
        <w:t>）、投资者认购申购和赎回的数量限制、投资者持有本产品的最高限额最低限额、计算和公告产品份额净值方面存在差异。</w:t>
      </w:r>
    </w:p>
    <w:p w:rsidR="004A6D8C" w:rsidRDefault="00C1729C">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7</w:t>
      </w:r>
      <w:r>
        <w:rPr>
          <w:rFonts w:ascii="宋体" w:hAnsi="宋体"/>
          <w:sz w:val="18"/>
          <w:szCs w:val="18"/>
        </w:rPr>
        <w:t>.</w:t>
      </w:r>
      <w:r>
        <w:rPr>
          <w:rFonts w:ascii="宋体" w:hAnsi="宋体" w:hint="eastAsia"/>
          <w:sz w:val="18"/>
          <w:szCs w:val="18"/>
        </w:rPr>
        <w:t>关联交易风险：若本产品的销售机构为兴业银行股份有限公司（以下简称“兴业银行”），鉴于兴业银行是产品管理人的关联方，尽管兴业银行已建立健全关联方产品销售管理制度，但上述关联</w:t>
      </w:r>
      <w:r>
        <w:rPr>
          <w:rFonts w:ascii="宋体" w:hAnsi="宋体"/>
          <w:sz w:val="18"/>
          <w:szCs w:val="18"/>
        </w:rPr>
        <w:t>关系</w:t>
      </w:r>
      <w:r>
        <w:rPr>
          <w:rFonts w:ascii="宋体" w:hAnsi="宋体" w:hint="eastAsia"/>
          <w:sz w:val="18"/>
          <w:szCs w:val="18"/>
        </w:rPr>
        <w:t>仍可能产生</w:t>
      </w:r>
      <w:r>
        <w:rPr>
          <w:rFonts w:ascii="宋体" w:hAnsi="宋体"/>
          <w:sz w:val="18"/>
          <w:szCs w:val="18"/>
        </w:rPr>
        <w:t>不利影响和投资</w:t>
      </w:r>
      <w:r>
        <w:rPr>
          <w:rFonts w:ascii="宋体" w:hAnsi="宋体" w:hint="eastAsia"/>
          <w:sz w:val="18"/>
          <w:szCs w:val="18"/>
        </w:rPr>
        <w:t>风险，进而可能影响投资者的利益。</w:t>
      </w:r>
    </w:p>
    <w:p w:rsidR="004A6D8C" w:rsidRDefault="00C1729C">
      <w:pPr>
        <w:spacing w:line="360" w:lineRule="auto"/>
        <w:ind w:firstLineChars="200" w:firstLine="360"/>
        <w:rPr>
          <w:rFonts w:ascii="黑体" w:eastAsia="黑体" w:hAnsi="黑体"/>
          <w:sz w:val="18"/>
          <w:szCs w:val="18"/>
        </w:rPr>
      </w:pPr>
      <w:r>
        <w:rPr>
          <w:rFonts w:ascii="黑体" w:eastAsia="黑体" w:hAnsi="黑体" w:hint="eastAsia"/>
          <w:sz w:val="18"/>
          <w:szCs w:val="18"/>
        </w:rPr>
        <w:t>（三）★最不利投资情形下的投资结果示例：产品管理人对本产品的理财本金和收益不提供保证承诺，若理财产品运作期间，该理财产品投资标的出现风险，则投资者可能无法获得理财收益</w:t>
      </w:r>
      <w:r>
        <w:rPr>
          <w:rFonts w:ascii="黑体" w:eastAsia="黑体" w:hAnsi="黑体"/>
          <w:sz w:val="18"/>
          <w:szCs w:val="18"/>
        </w:rPr>
        <w:t>，甚至投资者的投资本金将遭受损失，在最不利的极端情况下，投资者可能损失全部本金。</w:t>
      </w:r>
    </w:p>
    <w:p w:rsidR="004A6D8C" w:rsidRDefault="004A6D8C">
      <w:pPr>
        <w:spacing w:line="360" w:lineRule="auto"/>
        <w:ind w:firstLineChars="200" w:firstLine="360"/>
        <w:rPr>
          <w:rFonts w:ascii="宋体" w:hAnsi="宋体"/>
          <w:sz w:val="18"/>
          <w:szCs w:val="18"/>
        </w:rPr>
      </w:pPr>
    </w:p>
    <w:p w:rsidR="004A6D8C" w:rsidRDefault="00C1729C">
      <w:pPr>
        <w:pStyle w:val="Default"/>
        <w:spacing w:line="360" w:lineRule="auto"/>
        <w:rPr>
          <w:rFonts w:hAnsi="宋体"/>
          <w:sz w:val="18"/>
          <w:szCs w:val="18"/>
        </w:rPr>
      </w:pPr>
      <w:r>
        <w:rPr>
          <w:rFonts w:hAnsi="宋体"/>
          <w:sz w:val="18"/>
          <w:szCs w:val="18"/>
        </w:rPr>
        <w:br w:type="page"/>
      </w:r>
    </w:p>
    <w:tbl>
      <w:tblPr>
        <w:tblStyle w:val="af"/>
        <w:tblW w:w="85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82"/>
        <w:gridCol w:w="7640"/>
      </w:tblGrid>
      <w:tr w:rsidR="004A6D8C">
        <w:trPr>
          <w:trHeight w:hRule="exact" w:val="316"/>
        </w:trPr>
        <w:tc>
          <w:tcPr>
            <w:tcW w:w="8522" w:type="dxa"/>
            <w:gridSpan w:val="2"/>
          </w:tcPr>
          <w:p w:rsidR="004A6D8C" w:rsidRDefault="00C1729C">
            <w:pPr>
              <w:spacing w:line="280" w:lineRule="atLeast"/>
              <w:jc w:val="center"/>
              <w:rPr>
                <w:rFonts w:ascii="宋体" w:hAnsi="宋体" w:cs="Arial"/>
                <w:b/>
                <w:kern w:val="0"/>
                <w:sz w:val="20"/>
                <w:szCs w:val="21"/>
              </w:rPr>
            </w:pPr>
            <w:r>
              <w:rPr>
                <w:rFonts w:ascii="宋体" w:hAnsi="宋体" w:cs="Arial" w:hint="eastAsia"/>
                <w:b/>
                <w:kern w:val="0"/>
                <w:sz w:val="20"/>
                <w:szCs w:val="21"/>
              </w:rPr>
              <w:lastRenderedPageBreak/>
              <w:t>投资者确认栏</w:t>
            </w:r>
          </w:p>
          <w:p w:rsidR="004A6D8C" w:rsidRDefault="004A6D8C">
            <w:pPr>
              <w:spacing w:line="360" w:lineRule="auto"/>
              <w:rPr>
                <w:b/>
                <w:sz w:val="18"/>
                <w:szCs w:val="18"/>
              </w:rPr>
            </w:pPr>
          </w:p>
        </w:tc>
      </w:tr>
      <w:tr w:rsidR="004A6D8C">
        <w:trPr>
          <w:trHeight w:hRule="exact" w:val="1862"/>
        </w:trPr>
        <w:tc>
          <w:tcPr>
            <w:tcW w:w="882" w:type="dxa"/>
          </w:tcPr>
          <w:p w:rsidR="004A6D8C" w:rsidRDefault="00C1729C">
            <w:pPr>
              <w:spacing w:line="360" w:lineRule="auto"/>
              <w:rPr>
                <w:b/>
                <w:sz w:val="18"/>
                <w:szCs w:val="18"/>
              </w:rPr>
            </w:pPr>
            <w:r>
              <w:rPr>
                <w:rFonts w:hint="eastAsia"/>
                <w:b/>
                <w:sz w:val="18"/>
                <w:szCs w:val="18"/>
              </w:rPr>
              <w:t>个人投资者适用</w:t>
            </w:r>
          </w:p>
        </w:tc>
        <w:tc>
          <w:tcPr>
            <w:tcW w:w="7640" w:type="dxa"/>
          </w:tcPr>
          <w:p w:rsidR="004A6D8C" w:rsidRDefault="00C1729C">
            <w:pPr>
              <w:spacing w:line="360" w:lineRule="auto"/>
              <w:rPr>
                <w:sz w:val="18"/>
                <w:szCs w:val="18"/>
              </w:rPr>
            </w:pPr>
            <w:r>
              <w:rPr>
                <w:rFonts w:hint="eastAsia"/>
                <w:sz w:val="18"/>
                <w:szCs w:val="18"/>
              </w:rPr>
              <w:t>投资者（签字）：</w:t>
            </w:r>
          </w:p>
          <w:p w:rsidR="004A6D8C" w:rsidRDefault="004A6D8C">
            <w:pPr>
              <w:spacing w:line="360" w:lineRule="auto"/>
              <w:rPr>
                <w:b/>
                <w:sz w:val="18"/>
                <w:szCs w:val="18"/>
              </w:rPr>
            </w:pPr>
          </w:p>
          <w:p w:rsidR="004A6D8C" w:rsidRDefault="00C1729C">
            <w:pPr>
              <w:spacing w:line="360" w:lineRule="auto"/>
              <w:rPr>
                <w:sz w:val="18"/>
                <w:szCs w:val="18"/>
              </w:rPr>
            </w:pPr>
            <w:r>
              <w:rPr>
                <w:rFonts w:hint="eastAsia"/>
                <w:sz w:val="18"/>
                <w:szCs w:val="18"/>
              </w:rPr>
              <w:t>日期：</w:t>
            </w:r>
          </w:p>
        </w:tc>
      </w:tr>
      <w:tr w:rsidR="004A6D8C">
        <w:trPr>
          <w:trHeight w:val="1954"/>
        </w:trPr>
        <w:tc>
          <w:tcPr>
            <w:tcW w:w="882" w:type="dxa"/>
          </w:tcPr>
          <w:p w:rsidR="004A6D8C" w:rsidRDefault="00C1729C">
            <w:pPr>
              <w:spacing w:line="360" w:lineRule="auto"/>
              <w:rPr>
                <w:b/>
                <w:sz w:val="18"/>
                <w:szCs w:val="18"/>
              </w:rPr>
            </w:pPr>
            <w:r>
              <w:rPr>
                <w:rFonts w:hint="eastAsia"/>
                <w:b/>
                <w:sz w:val="18"/>
                <w:szCs w:val="18"/>
              </w:rPr>
              <w:t>机构投资者适用</w:t>
            </w:r>
          </w:p>
        </w:tc>
        <w:tc>
          <w:tcPr>
            <w:tcW w:w="7640" w:type="dxa"/>
          </w:tcPr>
          <w:p w:rsidR="004A6D8C" w:rsidRDefault="00C1729C">
            <w:pPr>
              <w:spacing w:line="360" w:lineRule="auto"/>
              <w:rPr>
                <w:rFonts w:cs="Arial"/>
                <w:sz w:val="18"/>
                <w:szCs w:val="18"/>
              </w:rPr>
            </w:pPr>
            <w:r>
              <w:rPr>
                <w:rFonts w:hint="eastAsia"/>
                <w:sz w:val="18"/>
                <w:szCs w:val="18"/>
              </w:rPr>
              <w:t>投资者</w:t>
            </w:r>
            <w:r>
              <w:rPr>
                <w:rFonts w:cs="Arial" w:hint="eastAsia"/>
                <w:sz w:val="18"/>
                <w:szCs w:val="18"/>
              </w:rPr>
              <w:t>（盖章）：</w:t>
            </w:r>
          </w:p>
          <w:p w:rsidR="004A6D8C" w:rsidRDefault="004A6D8C">
            <w:pPr>
              <w:spacing w:line="360" w:lineRule="auto"/>
              <w:rPr>
                <w:rFonts w:cs="Arial"/>
                <w:sz w:val="18"/>
                <w:szCs w:val="18"/>
              </w:rPr>
            </w:pPr>
          </w:p>
          <w:p w:rsidR="004A6D8C" w:rsidRDefault="00C1729C">
            <w:pPr>
              <w:spacing w:line="360" w:lineRule="auto"/>
              <w:rPr>
                <w:rFonts w:cs="Arial"/>
                <w:sz w:val="18"/>
                <w:szCs w:val="18"/>
              </w:rPr>
            </w:pPr>
            <w:r>
              <w:rPr>
                <w:rFonts w:cs="Arial" w:hint="eastAsia"/>
                <w:sz w:val="18"/>
                <w:szCs w:val="18"/>
              </w:rPr>
              <w:t>投资者法定代表人或授权代理人（签字或盖章）：</w:t>
            </w:r>
          </w:p>
          <w:p w:rsidR="004A6D8C" w:rsidRDefault="004A6D8C">
            <w:pPr>
              <w:spacing w:line="360" w:lineRule="auto"/>
              <w:rPr>
                <w:b/>
                <w:sz w:val="18"/>
                <w:szCs w:val="18"/>
              </w:rPr>
            </w:pPr>
          </w:p>
          <w:p w:rsidR="004A6D8C" w:rsidRDefault="00C1729C">
            <w:pPr>
              <w:spacing w:line="360" w:lineRule="auto"/>
              <w:rPr>
                <w:sz w:val="18"/>
                <w:szCs w:val="18"/>
              </w:rPr>
            </w:pPr>
            <w:r>
              <w:rPr>
                <w:rFonts w:hint="eastAsia"/>
                <w:sz w:val="18"/>
                <w:szCs w:val="18"/>
              </w:rPr>
              <w:t>日期：</w:t>
            </w:r>
          </w:p>
        </w:tc>
      </w:tr>
    </w:tbl>
    <w:p w:rsidR="004A6D8C" w:rsidRDefault="00C1729C">
      <w:pPr>
        <w:spacing w:line="360" w:lineRule="auto"/>
        <w:ind w:firstLineChars="200" w:firstLine="361"/>
        <w:rPr>
          <w:rFonts w:ascii="黑体" w:eastAsia="黑体" w:hAnsi="黑体"/>
          <w:sz w:val="18"/>
          <w:szCs w:val="18"/>
        </w:rPr>
      </w:pPr>
      <w:r>
        <w:rPr>
          <w:rFonts w:ascii="宋体" w:hAnsi="宋体" w:hint="eastAsia"/>
          <w:b/>
          <w:sz w:val="18"/>
          <w:szCs w:val="18"/>
        </w:rPr>
        <w:t>（本《产品说明书》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w:t>
      </w:r>
      <w:proofErr w:type="gramStart"/>
      <w:r>
        <w:rPr>
          <w:rFonts w:ascii="宋体" w:hAnsi="宋体" w:cs="Arial" w:hint="eastAsia"/>
          <w:b/>
          <w:sz w:val="18"/>
          <w:szCs w:val="18"/>
        </w:rPr>
        <w:t>联销售</w:t>
      </w:r>
      <w:proofErr w:type="gramEnd"/>
      <w:r>
        <w:rPr>
          <w:rFonts w:ascii="宋体" w:hAnsi="宋体" w:cs="Arial" w:hint="eastAsia"/>
          <w:b/>
          <w:sz w:val="18"/>
          <w:szCs w:val="18"/>
        </w:rPr>
        <w:t>机构留存，第二联投资者留存，第三联产品管理人留存</w:t>
      </w:r>
      <w:r>
        <w:rPr>
          <w:rFonts w:ascii="宋体" w:hAnsi="宋体" w:hint="eastAsia"/>
          <w:b/>
          <w:sz w:val="18"/>
          <w:szCs w:val="18"/>
        </w:rPr>
        <w:t>。）</w:t>
      </w:r>
    </w:p>
    <w:p w:rsidR="004A6D8C" w:rsidRDefault="004A6D8C">
      <w:pPr>
        <w:spacing w:line="360" w:lineRule="auto"/>
        <w:ind w:firstLineChars="200" w:firstLine="360"/>
        <w:rPr>
          <w:rFonts w:ascii="宋体" w:hAnsi="宋体"/>
          <w:sz w:val="18"/>
          <w:szCs w:val="18"/>
        </w:rPr>
      </w:pPr>
    </w:p>
    <w:p w:rsidR="004A6D8C" w:rsidRDefault="004A6D8C">
      <w:pPr>
        <w:pStyle w:val="Default"/>
        <w:spacing w:line="360" w:lineRule="auto"/>
        <w:rPr>
          <w:rFonts w:hAnsi="宋体"/>
          <w:sz w:val="18"/>
          <w:szCs w:val="18"/>
        </w:rPr>
      </w:pPr>
    </w:p>
    <w:sectPr w:rsidR="004A6D8C">
      <w:pgSz w:w="11906" w:h="16838"/>
      <w:pgMar w:top="1276" w:right="1800" w:bottom="1418" w:left="1800" w:header="567" w:footer="850"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2259" w:rsidRDefault="00152259">
      <w:r>
        <w:separator/>
      </w:r>
    </w:p>
  </w:endnote>
  <w:endnote w:type="continuationSeparator" w:id="0">
    <w:p w:rsidR="00152259" w:rsidRDefault="00152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6D8C" w:rsidRDefault="00C1729C">
    <w:pPr>
      <w:pStyle w:val="a9"/>
      <w:jc w:val="center"/>
      <w:rPr>
        <w:kern w:val="0"/>
        <w:szCs w:val="21"/>
      </w:rPr>
    </w:pPr>
    <w:r>
      <w:rPr>
        <w:kern w:val="0"/>
        <w:szCs w:val="21"/>
      </w:rPr>
      <w:fldChar w:fldCharType="begin"/>
    </w:r>
    <w:r>
      <w:rPr>
        <w:kern w:val="0"/>
        <w:szCs w:val="21"/>
      </w:rPr>
      <w:instrText xml:space="preserve"> PAGE </w:instrText>
    </w:r>
    <w:r>
      <w:rPr>
        <w:kern w:val="0"/>
        <w:szCs w:val="21"/>
      </w:rPr>
      <w:fldChar w:fldCharType="separate"/>
    </w:r>
    <w:r w:rsidR="0075022E">
      <w:rPr>
        <w:noProof/>
        <w:kern w:val="0"/>
        <w:szCs w:val="21"/>
      </w:rPr>
      <w:t>9</w:t>
    </w:r>
    <w:r>
      <w:rPr>
        <w:kern w:val="0"/>
        <w:szCs w:val="2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2259" w:rsidRDefault="00152259">
      <w:r>
        <w:separator/>
      </w:r>
    </w:p>
  </w:footnote>
  <w:footnote w:type="continuationSeparator" w:id="0">
    <w:p w:rsidR="00152259" w:rsidRDefault="001522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6D8C" w:rsidRDefault="00C1729C">
    <w:pPr>
      <w:pStyle w:val="aa"/>
      <w:pBdr>
        <w:bottom w:val="thickThinLargeGap" w:sz="24" w:space="12" w:color="auto"/>
      </w:pBdr>
      <w:tabs>
        <w:tab w:val="right" w:pos="8280"/>
      </w:tabs>
      <w:wordWrap w:val="0"/>
      <w:adjustRightInd w:val="0"/>
      <w:jc w:val="right"/>
      <w:rPr>
        <w:b/>
      </w:rPr>
    </w:pPr>
    <w:r>
      <w:rPr>
        <w:rFonts w:hint="eastAsia"/>
      </w:rPr>
      <w:t xml:space="preserve"> </w:t>
    </w:r>
    <w:r>
      <w:rPr>
        <w:rFonts w:hint="eastAsia"/>
        <w:b/>
      </w:rPr>
      <w:t>产品说明书</w:t>
    </w:r>
  </w:p>
  <w:p w:rsidR="004A6D8C" w:rsidRDefault="00C1729C">
    <w:pPr>
      <w:pStyle w:val="aa"/>
      <w:pBdr>
        <w:bottom w:val="thickThinLargeGap" w:sz="24" w:space="12" w:color="auto"/>
      </w:pBdr>
      <w:tabs>
        <w:tab w:val="right" w:pos="8280"/>
      </w:tabs>
      <w:adjustRightInd w:val="0"/>
      <w:jc w:val="right"/>
    </w:pPr>
    <w:r>
      <w:rPr>
        <w:rFonts w:hint="eastAsia"/>
        <w:b/>
      </w:rPr>
      <w:t>注：本文件由兴银理财有限责任公司统一编制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A"/>
    <w:multiLevelType w:val="singleLevel"/>
    <w:tmpl w:val="0000000A"/>
    <w:lvl w:ilvl="0">
      <w:start w:val="1"/>
      <w:numFmt w:val="bullet"/>
      <w:pStyle w:val="Listbullet"/>
      <w:lvlText w:val=""/>
      <w:lvlJc w:val="left"/>
      <w:pPr>
        <w:tabs>
          <w:tab w:val="left" w:pos="360"/>
        </w:tabs>
        <w:ind w:left="360" w:hanging="360"/>
      </w:pPr>
      <w:rPr>
        <w:rFonts w:ascii="Symbol" w:hAnsi="Symbol" w:hint="default"/>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proofState w:spelling="clean" w:grammar="clean"/>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208C"/>
    <w:rsid w:val="00002480"/>
    <w:rsid w:val="00005847"/>
    <w:rsid w:val="000078B4"/>
    <w:rsid w:val="0001202B"/>
    <w:rsid w:val="000124BB"/>
    <w:rsid w:val="00012C46"/>
    <w:rsid w:val="00014A51"/>
    <w:rsid w:val="000160F8"/>
    <w:rsid w:val="00020E26"/>
    <w:rsid w:val="00022046"/>
    <w:rsid w:val="00022093"/>
    <w:rsid w:val="000240C1"/>
    <w:rsid w:val="0002421F"/>
    <w:rsid w:val="00024B59"/>
    <w:rsid w:val="00024D52"/>
    <w:rsid w:val="000257FD"/>
    <w:rsid w:val="00026801"/>
    <w:rsid w:val="0002771C"/>
    <w:rsid w:val="000307FF"/>
    <w:rsid w:val="00030826"/>
    <w:rsid w:val="00030AFA"/>
    <w:rsid w:val="000310FD"/>
    <w:rsid w:val="00033D3E"/>
    <w:rsid w:val="000360AD"/>
    <w:rsid w:val="00036F60"/>
    <w:rsid w:val="0004119D"/>
    <w:rsid w:val="0004124F"/>
    <w:rsid w:val="00042C76"/>
    <w:rsid w:val="00042CE7"/>
    <w:rsid w:val="00044823"/>
    <w:rsid w:val="00045941"/>
    <w:rsid w:val="00050766"/>
    <w:rsid w:val="0005088E"/>
    <w:rsid w:val="00051DE2"/>
    <w:rsid w:val="00055773"/>
    <w:rsid w:val="000565A5"/>
    <w:rsid w:val="0005743B"/>
    <w:rsid w:val="00057BC6"/>
    <w:rsid w:val="0006031B"/>
    <w:rsid w:val="00061C70"/>
    <w:rsid w:val="00062695"/>
    <w:rsid w:val="000629DD"/>
    <w:rsid w:val="00063B03"/>
    <w:rsid w:val="000705EE"/>
    <w:rsid w:val="00073A90"/>
    <w:rsid w:val="000747D8"/>
    <w:rsid w:val="0007760F"/>
    <w:rsid w:val="00077A54"/>
    <w:rsid w:val="00077C13"/>
    <w:rsid w:val="00080277"/>
    <w:rsid w:val="0008037A"/>
    <w:rsid w:val="000817F4"/>
    <w:rsid w:val="00081DC7"/>
    <w:rsid w:val="000826C9"/>
    <w:rsid w:val="00085DD5"/>
    <w:rsid w:val="0009086F"/>
    <w:rsid w:val="00092A5F"/>
    <w:rsid w:val="00094CA6"/>
    <w:rsid w:val="00095235"/>
    <w:rsid w:val="00097047"/>
    <w:rsid w:val="000A0882"/>
    <w:rsid w:val="000A0CC9"/>
    <w:rsid w:val="000A0DC8"/>
    <w:rsid w:val="000A1E0C"/>
    <w:rsid w:val="000A3063"/>
    <w:rsid w:val="000A45C6"/>
    <w:rsid w:val="000A51DD"/>
    <w:rsid w:val="000A5A4A"/>
    <w:rsid w:val="000A5AAB"/>
    <w:rsid w:val="000B28BA"/>
    <w:rsid w:val="000B378B"/>
    <w:rsid w:val="000B6819"/>
    <w:rsid w:val="000B7F67"/>
    <w:rsid w:val="000C0542"/>
    <w:rsid w:val="000C31AC"/>
    <w:rsid w:val="000C3B81"/>
    <w:rsid w:val="000C69CB"/>
    <w:rsid w:val="000C6BF4"/>
    <w:rsid w:val="000C7C96"/>
    <w:rsid w:val="000D0C3A"/>
    <w:rsid w:val="000D10B1"/>
    <w:rsid w:val="000D1473"/>
    <w:rsid w:val="000D19CF"/>
    <w:rsid w:val="000D2623"/>
    <w:rsid w:val="000D3E2A"/>
    <w:rsid w:val="000D4DAE"/>
    <w:rsid w:val="000D5369"/>
    <w:rsid w:val="000D548F"/>
    <w:rsid w:val="000D591B"/>
    <w:rsid w:val="000E008C"/>
    <w:rsid w:val="000E181B"/>
    <w:rsid w:val="000E18C8"/>
    <w:rsid w:val="000E2C4F"/>
    <w:rsid w:val="000E3C15"/>
    <w:rsid w:val="000E5A74"/>
    <w:rsid w:val="000E798C"/>
    <w:rsid w:val="000E7BB9"/>
    <w:rsid w:val="000F09FA"/>
    <w:rsid w:val="000F4322"/>
    <w:rsid w:val="000F556F"/>
    <w:rsid w:val="000F7FB5"/>
    <w:rsid w:val="00100295"/>
    <w:rsid w:val="00100789"/>
    <w:rsid w:val="00100D6E"/>
    <w:rsid w:val="00103221"/>
    <w:rsid w:val="001048D9"/>
    <w:rsid w:val="00104FAF"/>
    <w:rsid w:val="001071C9"/>
    <w:rsid w:val="0011092D"/>
    <w:rsid w:val="00111430"/>
    <w:rsid w:val="00112922"/>
    <w:rsid w:val="001139C8"/>
    <w:rsid w:val="001157E6"/>
    <w:rsid w:val="00115A4C"/>
    <w:rsid w:val="001211C2"/>
    <w:rsid w:val="00121A98"/>
    <w:rsid w:val="00122AA4"/>
    <w:rsid w:val="00122E28"/>
    <w:rsid w:val="001232D0"/>
    <w:rsid w:val="00125BCE"/>
    <w:rsid w:val="0012639A"/>
    <w:rsid w:val="00127FAE"/>
    <w:rsid w:val="00134EC8"/>
    <w:rsid w:val="00137846"/>
    <w:rsid w:val="00140FD0"/>
    <w:rsid w:val="00142E86"/>
    <w:rsid w:val="00144336"/>
    <w:rsid w:val="00144A06"/>
    <w:rsid w:val="00144E84"/>
    <w:rsid w:val="0014501C"/>
    <w:rsid w:val="00146F91"/>
    <w:rsid w:val="001507DF"/>
    <w:rsid w:val="00152259"/>
    <w:rsid w:val="00153415"/>
    <w:rsid w:val="001547CA"/>
    <w:rsid w:val="00154B62"/>
    <w:rsid w:val="00154F9C"/>
    <w:rsid w:val="001562FA"/>
    <w:rsid w:val="00160921"/>
    <w:rsid w:val="0016331D"/>
    <w:rsid w:val="00163655"/>
    <w:rsid w:val="00163854"/>
    <w:rsid w:val="00165A9A"/>
    <w:rsid w:val="00167B0D"/>
    <w:rsid w:val="00171033"/>
    <w:rsid w:val="001715BB"/>
    <w:rsid w:val="00172A27"/>
    <w:rsid w:val="00172BBF"/>
    <w:rsid w:val="0017394A"/>
    <w:rsid w:val="0017488D"/>
    <w:rsid w:val="00175F68"/>
    <w:rsid w:val="00176589"/>
    <w:rsid w:val="00176C88"/>
    <w:rsid w:val="00180376"/>
    <w:rsid w:val="001822B0"/>
    <w:rsid w:val="0018230F"/>
    <w:rsid w:val="001844D6"/>
    <w:rsid w:val="0018459A"/>
    <w:rsid w:val="00185D7F"/>
    <w:rsid w:val="00186521"/>
    <w:rsid w:val="00187F37"/>
    <w:rsid w:val="0019010B"/>
    <w:rsid w:val="00190633"/>
    <w:rsid w:val="0019071D"/>
    <w:rsid w:val="00190B9A"/>
    <w:rsid w:val="0019134D"/>
    <w:rsid w:val="00191E78"/>
    <w:rsid w:val="0019285E"/>
    <w:rsid w:val="00192C78"/>
    <w:rsid w:val="00194E1F"/>
    <w:rsid w:val="0019519C"/>
    <w:rsid w:val="0019545E"/>
    <w:rsid w:val="00196E62"/>
    <w:rsid w:val="00197259"/>
    <w:rsid w:val="001A0033"/>
    <w:rsid w:val="001A141C"/>
    <w:rsid w:val="001A352E"/>
    <w:rsid w:val="001A434D"/>
    <w:rsid w:val="001A6633"/>
    <w:rsid w:val="001B218F"/>
    <w:rsid w:val="001B21AE"/>
    <w:rsid w:val="001C31CB"/>
    <w:rsid w:val="001C41C7"/>
    <w:rsid w:val="001C5E54"/>
    <w:rsid w:val="001C7184"/>
    <w:rsid w:val="001C730C"/>
    <w:rsid w:val="001C770D"/>
    <w:rsid w:val="001C7B1B"/>
    <w:rsid w:val="001D03C8"/>
    <w:rsid w:val="001D06D0"/>
    <w:rsid w:val="001D1C72"/>
    <w:rsid w:val="001D1D5B"/>
    <w:rsid w:val="001D2824"/>
    <w:rsid w:val="001D3E8B"/>
    <w:rsid w:val="001D4AC9"/>
    <w:rsid w:val="001D4BC1"/>
    <w:rsid w:val="001D570A"/>
    <w:rsid w:val="001D688E"/>
    <w:rsid w:val="001E14FD"/>
    <w:rsid w:val="001E291D"/>
    <w:rsid w:val="001E461E"/>
    <w:rsid w:val="001E54CE"/>
    <w:rsid w:val="001E61BD"/>
    <w:rsid w:val="001E6C14"/>
    <w:rsid w:val="001E70FE"/>
    <w:rsid w:val="001E77D6"/>
    <w:rsid w:val="001F00E4"/>
    <w:rsid w:val="001F0634"/>
    <w:rsid w:val="001F1F03"/>
    <w:rsid w:val="001F4671"/>
    <w:rsid w:val="001F6BB0"/>
    <w:rsid w:val="001F7B81"/>
    <w:rsid w:val="001F7E0A"/>
    <w:rsid w:val="00201415"/>
    <w:rsid w:val="0020141D"/>
    <w:rsid w:val="00204063"/>
    <w:rsid w:val="0020563F"/>
    <w:rsid w:val="0020668E"/>
    <w:rsid w:val="00211510"/>
    <w:rsid w:val="002126B6"/>
    <w:rsid w:val="00214771"/>
    <w:rsid w:val="0021477B"/>
    <w:rsid w:val="002160B9"/>
    <w:rsid w:val="0021611E"/>
    <w:rsid w:val="00216882"/>
    <w:rsid w:val="002168CF"/>
    <w:rsid w:val="00217789"/>
    <w:rsid w:val="00220D74"/>
    <w:rsid w:val="002213EA"/>
    <w:rsid w:val="00223351"/>
    <w:rsid w:val="00223B5B"/>
    <w:rsid w:val="00224505"/>
    <w:rsid w:val="002265AA"/>
    <w:rsid w:val="00226925"/>
    <w:rsid w:val="00226E60"/>
    <w:rsid w:val="00227359"/>
    <w:rsid w:val="00231FC0"/>
    <w:rsid w:val="00233392"/>
    <w:rsid w:val="002366D2"/>
    <w:rsid w:val="00242CDB"/>
    <w:rsid w:val="0024313A"/>
    <w:rsid w:val="0024456C"/>
    <w:rsid w:val="0024625D"/>
    <w:rsid w:val="00247F2A"/>
    <w:rsid w:val="002509C7"/>
    <w:rsid w:val="00251975"/>
    <w:rsid w:val="00252788"/>
    <w:rsid w:val="002533A3"/>
    <w:rsid w:val="00253B8C"/>
    <w:rsid w:val="00254D9A"/>
    <w:rsid w:val="00255373"/>
    <w:rsid w:val="002553DF"/>
    <w:rsid w:val="0025557C"/>
    <w:rsid w:val="0025790B"/>
    <w:rsid w:val="002642F5"/>
    <w:rsid w:val="00264630"/>
    <w:rsid w:val="002653AC"/>
    <w:rsid w:val="00265722"/>
    <w:rsid w:val="00266037"/>
    <w:rsid w:val="00266978"/>
    <w:rsid w:val="00266DA1"/>
    <w:rsid w:val="00266DAB"/>
    <w:rsid w:val="00272C40"/>
    <w:rsid w:val="00273F65"/>
    <w:rsid w:val="00274BFD"/>
    <w:rsid w:val="00275526"/>
    <w:rsid w:val="00275757"/>
    <w:rsid w:val="00277EE3"/>
    <w:rsid w:val="00281B9A"/>
    <w:rsid w:val="002826EB"/>
    <w:rsid w:val="00284651"/>
    <w:rsid w:val="00284D4C"/>
    <w:rsid w:val="002904ED"/>
    <w:rsid w:val="00290893"/>
    <w:rsid w:val="00290A4A"/>
    <w:rsid w:val="0029197D"/>
    <w:rsid w:val="00293329"/>
    <w:rsid w:val="002A1894"/>
    <w:rsid w:val="002A2964"/>
    <w:rsid w:val="002A3DA0"/>
    <w:rsid w:val="002A5BC6"/>
    <w:rsid w:val="002A6688"/>
    <w:rsid w:val="002B0A68"/>
    <w:rsid w:val="002B0E84"/>
    <w:rsid w:val="002B2349"/>
    <w:rsid w:val="002B389F"/>
    <w:rsid w:val="002B4AAF"/>
    <w:rsid w:val="002B5421"/>
    <w:rsid w:val="002B55FE"/>
    <w:rsid w:val="002B75A8"/>
    <w:rsid w:val="002C036C"/>
    <w:rsid w:val="002C063A"/>
    <w:rsid w:val="002C0CF5"/>
    <w:rsid w:val="002C31AA"/>
    <w:rsid w:val="002C3DA6"/>
    <w:rsid w:val="002C3DD6"/>
    <w:rsid w:val="002C446D"/>
    <w:rsid w:val="002C6117"/>
    <w:rsid w:val="002C6DB5"/>
    <w:rsid w:val="002D3AB7"/>
    <w:rsid w:val="002D3AEF"/>
    <w:rsid w:val="002D6AFD"/>
    <w:rsid w:val="002D7737"/>
    <w:rsid w:val="002E134B"/>
    <w:rsid w:val="002E25FC"/>
    <w:rsid w:val="002E393C"/>
    <w:rsid w:val="002E5F4C"/>
    <w:rsid w:val="002E6721"/>
    <w:rsid w:val="002E7C23"/>
    <w:rsid w:val="002F29C4"/>
    <w:rsid w:val="002F2C81"/>
    <w:rsid w:val="002F389F"/>
    <w:rsid w:val="002F45BC"/>
    <w:rsid w:val="002F4C49"/>
    <w:rsid w:val="002F5E07"/>
    <w:rsid w:val="00301106"/>
    <w:rsid w:val="003029FF"/>
    <w:rsid w:val="0030325C"/>
    <w:rsid w:val="00304D9D"/>
    <w:rsid w:val="00306DA6"/>
    <w:rsid w:val="0031156D"/>
    <w:rsid w:val="003122D5"/>
    <w:rsid w:val="00313E17"/>
    <w:rsid w:val="0031712C"/>
    <w:rsid w:val="00320153"/>
    <w:rsid w:val="003224C7"/>
    <w:rsid w:val="00331380"/>
    <w:rsid w:val="00331423"/>
    <w:rsid w:val="00331AA1"/>
    <w:rsid w:val="00332367"/>
    <w:rsid w:val="0033357B"/>
    <w:rsid w:val="00335A6D"/>
    <w:rsid w:val="003363E0"/>
    <w:rsid w:val="0033710A"/>
    <w:rsid w:val="00337172"/>
    <w:rsid w:val="00337AF2"/>
    <w:rsid w:val="00337EC3"/>
    <w:rsid w:val="003405D3"/>
    <w:rsid w:val="00341DFC"/>
    <w:rsid w:val="003444E9"/>
    <w:rsid w:val="00345077"/>
    <w:rsid w:val="00350B80"/>
    <w:rsid w:val="0035109F"/>
    <w:rsid w:val="00351B3C"/>
    <w:rsid w:val="0035299D"/>
    <w:rsid w:val="00356734"/>
    <w:rsid w:val="00356F2E"/>
    <w:rsid w:val="003601A7"/>
    <w:rsid w:val="00361109"/>
    <w:rsid w:val="00363191"/>
    <w:rsid w:val="00363504"/>
    <w:rsid w:val="0036433E"/>
    <w:rsid w:val="00365572"/>
    <w:rsid w:val="003669E3"/>
    <w:rsid w:val="00370112"/>
    <w:rsid w:val="00370696"/>
    <w:rsid w:val="00371546"/>
    <w:rsid w:val="003727DA"/>
    <w:rsid w:val="0037289B"/>
    <w:rsid w:val="00373305"/>
    <w:rsid w:val="003739B6"/>
    <w:rsid w:val="003745A5"/>
    <w:rsid w:val="00375900"/>
    <w:rsid w:val="00375A8A"/>
    <w:rsid w:val="00375BC6"/>
    <w:rsid w:val="00380DB4"/>
    <w:rsid w:val="00381A67"/>
    <w:rsid w:val="003823A6"/>
    <w:rsid w:val="003838B9"/>
    <w:rsid w:val="00383D2C"/>
    <w:rsid w:val="0038516F"/>
    <w:rsid w:val="00387E86"/>
    <w:rsid w:val="00391BBC"/>
    <w:rsid w:val="00392F32"/>
    <w:rsid w:val="00396E72"/>
    <w:rsid w:val="003A42AD"/>
    <w:rsid w:val="003A430B"/>
    <w:rsid w:val="003B00EC"/>
    <w:rsid w:val="003B1841"/>
    <w:rsid w:val="003B32A0"/>
    <w:rsid w:val="003B343A"/>
    <w:rsid w:val="003B600B"/>
    <w:rsid w:val="003B72A3"/>
    <w:rsid w:val="003C2C6C"/>
    <w:rsid w:val="003C2FD0"/>
    <w:rsid w:val="003C4A62"/>
    <w:rsid w:val="003C4CEB"/>
    <w:rsid w:val="003C51FE"/>
    <w:rsid w:val="003C6DEC"/>
    <w:rsid w:val="003C7EAF"/>
    <w:rsid w:val="003D26D0"/>
    <w:rsid w:val="003D5ED1"/>
    <w:rsid w:val="003D63E6"/>
    <w:rsid w:val="003E22F6"/>
    <w:rsid w:val="003E2F07"/>
    <w:rsid w:val="003E31AA"/>
    <w:rsid w:val="003E3D00"/>
    <w:rsid w:val="003F4B74"/>
    <w:rsid w:val="00400144"/>
    <w:rsid w:val="00400D54"/>
    <w:rsid w:val="0040151D"/>
    <w:rsid w:val="0040285C"/>
    <w:rsid w:val="004043E5"/>
    <w:rsid w:val="00404A76"/>
    <w:rsid w:val="00404C4F"/>
    <w:rsid w:val="00406C36"/>
    <w:rsid w:val="00407912"/>
    <w:rsid w:val="00410860"/>
    <w:rsid w:val="00411594"/>
    <w:rsid w:val="0041270E"/>
    <w:rsid w:val="004134C2"/>
    <w:rsid w:val="00416AC9"/>
    <w:rsid w:val="00416CB0"/>
    <w:rsid w:val="00420268"/>
    <w:rsid w:val="0042292D"/>
    <w:rsid w:val="00422B14"/>
    <w:rsid w:val="00424562"/>
    <w:rsid w:val="0042456A"/>
    <w:rsid w:val="004259CB"/>
    <w:rsid w:val="00426CB5"/>
    <w:rsid w:val="0042700C"/>
    <w:rsid w:val="00430DF1"/>
    <w:rsid w:val="00431B3D"/>
    <w:rsid w:val="00434DA3"/>
    <w:rsid w:val="004365C7"/>
    <w:rsid w:val="004369A7"/>
    <w:rsid w:val="0043725F"/>
    <w:rsid w:val="00440E4C"/>
    <w:rsid w:val="00441309"/>
    <w:rsid w:val="00441A1F"/>
    <w:rsid w:val="00441C87"/>
    <w:rsid w:val="0044275F"/>
    <w:rsid w:val="00444B08"/>
    <w:rsid w:val="00444C05"/>
    <w:rsid w:val="00444E95"/>
    <w:rsid w:val="004451F2"/>
    <w:rsid w:val="00447A83"/>
    <w:rsid w:val="00450AE7"/>
    <w:rsid w:val="004516AF"/>
    <w:rsid w:val="00452527"/>
    <w:rsid w:val="00453F94"/>
    <w:rsid w:val="0045405E"/>
    <w:rsid w:val="0045524D"/>
    <w:rsid w:val="00455720"/>
    <w:rsid w:val="00461E0D"/>
    <w:rsid w:val="00462328"/>
    <w:rsid w:val="00462D9E"/>
    <w:rsid w:val="004666CB"/>
    <w:rsid w:val="00466864"/>
    <w:rsid w:val="00466F57"/>
    <w:rsid w:val="00467C9D"/>
    <w:rsid w:val="00470261"/>
    <w:rsid w:val="004711A9"/>
    <w:rsid w:val="00471ABA"/>
    <w:rsid w:val="004744C6"/>
    <w:rsid w:val="00477510"/>
    <w:rsid w:val="00480985"/>
    <w:rsid w:val="00480CC1"/>
    <w:rsid w:val="00480FF7"/>
    <w:rsid w:val="004811BA"/>
    <w:rsid w:val="0048253E"/>
    <w:rsid w:val="00482F37"/>
    <w:rsid w:val="00483507"/>
    <w:rsid w:val="00485D45"/>
    <w:rsid w:val="00486A6C"/>
    <w:rsid w:val="00486DD5"/>
    <w:rsid w:val="00486F85"/>
    <w:rsid w:val="00487178"/>
    <w:rsid w:val="00487444"/>
    <w:rsid w:val="004902E2"/>
    <w:rsid w:val="00490E3D"/>
    <w:rsid w:val="004917FC"/>
    <w:rsid w:val="004922CC"/>
    <w:rsid w:val="004940D3"/>
    <w:rsid w:val="004960D3"/>
    <w:rsid w:val="00497FEC"/>
    <w:rsid w:val="004A0C4A"/>
    <w:rsid w:val="004A0D93"/>
    <w:rsid w:val="004A12AC"/>
    <w:rsid w:val="004A2354"/>
    <w:rsid w:val="004A6D8C"/>
    <w:rsid w:val="004B0B30"/>
    <w:rsid w:val="004B1194"/>
    <w:rsid w:val="004B1599"/>
    <w:rsid w:val="004B3136"/>
    <w:rsid w:val="004B5526"/>
    <w:rsid w:val="004B7127"/>
    <w:rsid w:val="004C1BF8"/>
    <w:rsid w:val="004C2000"/>
    <w:rsid w:val="004C4C0A"/>
    <w:rsid w:val="004C4C12"/>
    <w:rsid w:val="004C51D4"/>
    <w:rsid w:val="004C75D9"/>
    <w:rsid w:val="004D0C41"/>
    <w:rsid w:val="004D1CFA"/>
    <w:rsid w:val="004D2141"/>
    <w:rsid w:val="004D3932"/>
    <w:rsid w:val="004D5055"/>
    <w:rsid w:val="004D5AAF"/>
    <w:rsid w:val="004D5BE2"/>
    <w:rsid w:val="004D5E18"/>
    <w:rsid w:val="004D6163"/>
    <w:rsid w:val="004D6C75"/>
    <w:rsid w:val="004E17EB"/>
    <w:rsid w:val="004E20E1"/>
    <w:rsid w:val="004E3906"/>
    <w:rsid w:val="004E3BD3"/>
    <w:rsid w:val="004E605C"/>
    <w:rsid w:val="004E691B"/>
    <w:rsid w:val="004E78A6"/>
    <w:rsid w:val="004F0C90"/>
    <w:rsid w:val="004F10F4"/>
    <w:rsid w:val="004F14E2"/>
    <w:rsid w:val="004F15A3"/>
    <w:rsid w:val="004F2F63"/>
    <w:rsid w:val="004F3020"/>
    <w:rsid w:val="004F3355"/>
    <w:rsid w:val="004F45E5"/>
    <w:rsid w:val="004F483B"/>
    <w:rsid w:val="004F58A4"/>
    <w:rsid w:val="00500B33"/>
    <w:rsid w:val="0050192C"/>
    <w:rsid w:val="00502068"/>
    <w:rsid w:val="005023E9"/>
    <w:rsid w:val="005030D1"/>
    <w:rsid w:val="00503239"/>
    <w:rsid w:val="005048A9"/>
    <w:rsid w:val="00504CD2"/>
    <w:rsid w:val="005058C6"/>
    <w:rsid w:val="00506FB3"/>
    <w:rsid w:val="00512B61"/>
    <w:rsid w:val="00512E3B"/>
    <w:rsid w:val="00513143"/>
    <w:rsid w:val="005131E7"/>
    <w:rsid w:val="00517C1B"/>
    <w:rsid w:val="00521905"/>
    <w:rsid w:val="00521A8A"/>
    <w:rsid w:val="0052537A"/>
    <w:rsid w:val="005261C6"/>
    <w:rsid w:val="00526A8B"/>
    <w:rsid w:val="005306F5"/>
    <w:rsid w:val="0053145D"/>
    <w:rsid w:val="0053265E"/>
    <w:rsid w:val="00534837"/>
    <w:rsid w:val="00534ED6"/>
    <w:rsid w:val="005356DD"/>
    <w:rsid w:val="0054383E"/>
    <w:rsid w:val="00544067"/>
    <w:rsid w:val="00544689"/>
    <w:rsid w:val="005448AE"/>
    <w:rsid w:val="00544EBF"/>
    <w:rsid w:val="0054752F"/>
    <w:rsid w:val="005477FF"/>
    <w:rsid w:val="005514EA"/>
    <w:rsid w:val="00551E13"/>
    <w:rsid w:val="0055265D"/>
    <w:rsid w:val="00557F13"/>
    <w:rsid w:val="0056057A"/>
    <w:rsid w:val="005634A0"/>
    <w:rsid w:val="00564A34"/>
    <w:rsid w:val="00564BAA"/>
    <w:rsid w:val="005669ED"/>
    <w:rsid w:val="00571676"/>
    <w:rsid w:val="0057386A"/>
    <w:rsid w:val="005745C2"/>
    <w:rsid w:val="00575575"/>
    <w:rsid w:val="005756EF"/>
    <w:rsid w:val="00580472"/>
    <w:rsid w:val="00583DB2"/>
    <w:rsid w:val="0058644F"/>
    <w:rsid w:val="00586B5E"/>
    <w:rsid w:val="0058793F"/>
    <w:rsid w:val="00587E86"/>
    <w:rsid w:val="005905CC"/>
    <w:rsid w:val="0059345F"/>
    <w:rsid w:val="005942B5"/>
    <w:rsid w:val="005964FC"/>
    <w:rsid w:val="00596640"/>
    <w:rsid w:val="005A1A2E"/>
    <w:rsid w:val="005A2814"/>
    <w:rsid w:val="005A52CE"/>
    <w:rsid w:val="005A5694"/>
    <w:rsid w:val="005A60A3"/>
    <w:rsid w:val="005A6FA6"/>
    <w:rsid w:val="005B1513"/>
    <w:rsid w:val="005B1F01"/>
    <w:rsid w:val="005B2A09"/>
    <w:rsid w:val="005B3D95"/>
    <w:rsid w:val="005B45B8"/>
    <w:rsid w:val="005B6567"/>
    <w:rsid w:val="005C1011"/>
    <w:rsid w:val="005C1A4B"/>
    <w:rsid w:val="005C2C22"/>
    <w:rsid w:val="005C3351"/>
    <w:rsid w:val="005C46BB"/>
    <w:rsid w:val="005C6C9D"/>
    <w:rsid w:val="005D0EC6"/>
    <w:rsid w:val="005D3EBA"/>
    <w:rsid w:val="005D3F7B"/>
    <w:rsid w:val="005D3F83"/>
    <w:rsid w:val="005D49EF"/>
    <w:rsid w:val="005D5021"/>
    <w:rsid w:val="005D6B6D"/>
    <w:rsid w:val="005E0304"/>
    <w:rsid w:val="005E1F5B"/>
    <w:rsid w:val="005E2522"/>
    <w:rsid w:val="005E34A7"/>
    <w:rsid w:val="005E3ECC"/>
    <w:rsid w:val="005E6FB7"/>
    <w:rsid w:val="005F0064"/>
    <w:rsid w:val="005F2F17"/>
    <w:rsid w:val="005F30D3"/>
    <w:rsid w:val="005F322B"/>
    <w:rsid w:val="005F379A"/>
    <w:rsid w:val="005F3D40"/>
    <w:rsid w:val="005F4287"/>
    <w:rsid w:val="005F469C"/>
    <w:rsid w:val="005F7FD5"/>
    <w:rsid w:val="00600FE7"/>
    <w:rsid w:val="006019D1"/>
    <w:rsid w:val="00605524"/>
    <w:rsid w:val="00605B31"/>
    <w:rsid w:val="00605C5D"/>
    <w:rsid w:val="006060AB"/>
    <w:rsid w:val="006065FB"/>
    <w:rsid w:val="00607DDC"/>
    <w:rsid w:val="00612869"/>
    <w:rsid w:val="006146BA"/>
    <w:rsid w:val="00615453"/>
    <w:rsid w:val="00620063"/>
    <w:rsid w:val="00620D75"/>
    <w:rsid w:val="00621F2C"/>
    <w:rsid w:val="00624760"/>
    <w:rsid w:val="00624F2C"/>
    <w:rsid w:val="00625B80"/>
    <w:rsid w:val="00626BC0"/>
    <w:rsid w:val="0063051C"/>
    <w:rsid w:val="00631736"/>
    <w:rsid w:val="006328AE"/>
    <w:rsid w:val="0064020E"/>
    <w:rsid w:val="0064087A"/>
    <w:rsid w:val="0064264D"/>
    <w:rsid w:val="006451BF"/>
    <w:rsid w:val="006453CC"/>
    <w:rsid w:val="006468C6"/>
    <w:rsid w:val="00646E40"/>
    <w:rsid w:val="00647424"/>
    <w:rsid w:val="006476D3"/>
    <w:rsid w:val="00652FE7"/>
    <w:rsid w:val="0065431E"/>
    <w:rsid w:val="0065499A"/>
    <w:rsid w:val="00655124"/>
    <w:rsid w:val="00657909"/>
    <w:rsid w:val="006612EA"/>
    <w:rsid w:val="006617D1"/>
    <w:rsid w:val="00661C8C"/>
    <w:rsid w:val="006623D6"/>
    <w:rsid w:val="0066478A"/>
    <w:rsid w:val="0066625E"/>
    <w:rsid w:val="006676FD"/>
    <w:rsid w:val="0067005D"/>
    <w:rsid w:val="00672FF4"/>
    <w:rsid w:val="00675B54"/>
    <w:rsid w:val="00675BEE"/>
    <w:rsid w:val="006809FB"/>
    <w:rsid w:val="00682623"/>
    <w:rsid w:val="00683605"/>
    <w:rsid w:val="00684401"/>
    <w:rsid w:val="00684ECC"/>
    <w:rsid w:val="006856C3"/>
    <w:rsid w:val="006863E0"/>
    <w:rsid w:val="006877C1"/>
    <w:rsid w:val="00687A26"/>
    <w:rsid w:val="006904D3"/>
    <w:rsid w:val="0069132D"/>
    <w:rsid w:val="006929EA"/>
    <w:rsid w:val="00692BC9"/>
    <w:rsid w:val="006933CF"/>
    <w:rsid w:val="0069501F"/>
    <w:rsid w:val="00695141"/>
    <w:rsid w:val="006961A8"/>
    <w:rsid w:val="00696594"/>
    <w:rsid w:val="00697C87"/>
    <w:rsid w:val="00697D22"/>
    <w:rsid w:val="006A1579"/>
    <w:rsid w:val="006A2FDF"/>
    <w:rsid w:val="006A4A8A"/>
    <w:rsid w:val="006A4B96"/>
    <w:rsid w:val="006A5309"/>
    <w:rsid w:val="006A5968"/>
    <w:rsid w:val="006A68DA"/>
    <w:rsid w:val="006A6C9E"/>
    <w:rsid w:val="006A7E97"/>
    <w:rsid w:val="006B3727"/>
    <w:rsid w:val="006B4BAA"/>
    <w:rsid w:val="006B5EEE"/>
    <w:rsid w:val="006B7BA8"/>
    <w:rsid w:val="006B7E76"/>
    <w:rsid w:val="006C17B9"/>
    <w:rsid w:val="006C19CF"/>
    <w:rsid w:val="006C3458"/>
    <w:rsid w:val="006C3815"/>
    <w:rsid w:val="006C4170"/>
    <w:rsid w:val="006C4848"/>
    <w:rsid w:val="006C4A05"/>
    <w:rsid w:val="006C5ACD"/>
    <w:rsid w:val="006C7218"/>
    <w:rsid w:val="006C75F7"/>
    <w:rsid w:val="006C7E9B"/>
    <w:rsid w:val="006D0BDE"/>
    <w:rsid w:val="006D160E"/>
    <w:rsid w:val="006D1D34"/>
    <w:rsid w:val="006D3D10"/>
    <w:rsid w:val="006D4093"/>
    <w:rsid w:val="006D4430"/>
    <w:rsid w:val="006D586E"/>
    <w:rsid w:val="006D6C20"/>
    <w:rsid w:val="006D7C06"/>
    <w:rsid w:val="006D7D05"/>
    <w:rsid w:val="006E1A9B"/>
    <w:rsid w:val="006E2E41"/>
    <w:rsid w:val="006E5D67"/>
    <w:rsid w:val="006E6ED0"/>
    <w:rsid w:val="006E7124"/>
    <w:rsid w:val="006E7FC7"/>
    <w:rsid w:val="006F2488"/>
    <w:rsid w:val="006F356A"/>
    <w:rsid w:val="006F5923"/>
    <w:rsid w:val="006F6174"/>
    <w:rsid w:val="006F7D4D"/>
    <w:rsid w:val="0070045F"/>
    <w:rsid w:val="007048B2"/>
    <w:rsid w:val="00706406"/>
    <w:rsid w:val="00706DCA"/>
    <w:rsid w:val="00707A7B"/>
    <w:rsid w:val="007123F2"/>
    <w:rsid w:val="00712CFF"/>
    <w:rsid w:val="0071321B"/>
    <w:rsid w:val="007143E3"/>
    <w:rsid w:val="0071446F"/>
    <w:rsid w:val="007166B2"/>
    <w:rsid w:val="00717330"/>
    <w:rsid w:val="00720D3D"/>
    <w:rsid w:val="00720E8F"/>
    <w:rsid w:val="007210F9"/>
    <w:rsid w:val="00724416"/>
    <w:rsid w:val="0072773A"/>
    <w:rsid w:val="00727C00"/>
    <w:rsid w:val="007305B6"/>
    <w:rsid w:val="007319DA"/>
    <w:rsid w:val="00741F90"/>
    <w:rsid w:val="007425D7"/>
    <w:rsid w:val="00742D00"/>
    <w:rsid w:val="007431C0"/>
    <w:rsid w:val="00743AB2"/>
    <w:rsid w:val="00746AF7"/>
    <w:rsid w:val="00746FAD"/>
    <w:rsid w:val="0075022E"/>
    <w:rsid w:val="00752FA6"/>
    <w:rsid w:val="007530BD"/>
    <w:rsid w:val="00754168"/>
    <w:rsid w:val="00755570"/>
    <w:rsid w:val="00755F45"/>
    <w:rsid w:val="00757357"/>
    <w:rsid w:val="00757D36"/>
    <w:rsid w:val="00760BF7"/>
    <w:rsid w:val="00762022"/>
    <w:rsid w:val="007630BD"/>
    <w:rsid w:val="0076459F"/>
    <w:rsid w:val="00764E0B"/>
    <w:rsid w:val="00764FD2"/>
    <w:rsid w:val="007650F1"/>
    <w:rsid w:val="00765862"/>
    <w:rsid w:val="0077274B"/>
    <w:rsid w:val="0077550B"/>
    <w:rsid w:val="00775691"/>
    <w:rsid w:val="00775E75"/>
    <w:rsid w:val="007764A9"/>
    <w:rsid w:val="00780770"/>
    <w:rsid w:val="00784AB7"/>
    <w:rsid w:val="00784BFC"/>
    <w:rsid w:val="0078739B"/>
    <w:rsid w:val="00791D1D"/>
    <w:rsid w:val="00794CF9"/>
    <w:rsid w:val="0079594A"/>
    <w:rsid w:val="007A104C"/>
    <w:rsid w:val="007A2250"/>
    <w:rsid w:val="007A2E91"/>
    <w:rsid w:val="007A3563"/>
    <w:rsid w:val="007A56C3"/>
    <w:rsid w:val="007A610A"/>
    <w:rsid w:val="007B095E"/>
    <w:rsid w:val="007B256F"/>
    <w:rsid w:val="007B2905"/>
    <w:rsid w:val="007B335E"/>
    <w:rsid w:val="007B3CAC"/>
    <w:rsid w:val="007B435B"/>
    <w:rsid w:val="007B7E70"/>
    <w:rsid w:val="007C0495"/>
    <w:rsid w:val="007C67CB"/>
    <w:rsid w:val="007D115D"/>
    <w:rsid w:val="007D37FB"/>
    <w:rsid w:val="007D3AB0"/>
    <w:rsid w:val="007D3C57"/>
    <w:rsid w:val="007D6324"/>
    <w:rsid w:val="007D68C9"/>
    <w:rsid w:val="007D6F94"/>
    <w:rsid w:val="007D7B84"/>
    <w:rsid w:val="007E1E50"/>
    <w:rsid w:val="007E1F76"/>
    <w:rsid w:val="007E3453"/>
    <w:rsid w:val="007E3857"/>
    <w:rsid w:val="007E4180"/>
    <w:rsid w:val="007E4A3F"/>
    <w:rsid w:val="007E6CAE"/>
    <w:rsid w:val="007E6E94"/>
    <w:rsid w:val="007E775F"/>
    <w:rsid w:val="007E7D7D"/>
    <w:rsid w:val="007F0860"/>
    <w:rsid w:val="007F1299"/>
    <w:rsid w:val="007F19E2"/>
    <w:rsid w:val="007F2369"/>
    <w:rsid w:val="007F2A00"/>
    <w:rsid w:val="007F2DEA"/>
    <w:rsid w:val="007F353C"/>
    <w:rsid w:val="007F42B0"/>
    <w:rsid w:val="007F557D"/>
    <w:rsid w:val="007F5D9C"/>
    <w:rsid w:val="008002FC"/>
    <w:rsid w:val="008016A7"/>
    <w:rsid w:val="00801ED9"/>
    <w:rsid w:val="00802399"/>
    <w:rsid w:val="008027C8"/>
    <w:rsid w:val="00803922"/>
    <w:rsid w:val="00804D31"/>
    <w:rsid w:val="0080586D"/>
    <w:rsid w:val="00805A3D"/>
    <w:rsid w:val="00806DDF"/>
    <w:rsid w:val="00807174"/>
    <w:rsid w:val="00807C0F"/>
    <w:rsid w:val="00807F91"/>
    <w:rsid w:val="0081012C"/>
    <w:rsid w:val="0081039A"/>
    <w:rsid w:val="008103FD"/>
    <w:rsid w:val="00810BBC"/>
    <w:rsid w:val="00811D98"/>
    <w:rsid w:val="0081517F"/>
    <w:rsid w:val="0081549F"/>
    <w:rsid w:val="008176FD"/>
    <w:rsid w:val="008178EA"/>
    <w:rsid w:val="00820221"/>
    <w:rsid w:val="00820966"/>
    <w:rsid w:val="008216F7"/>
    <w:rsid w:val="00822153"/>
    <w:rsid w:val="00822FBD"/>
    <w:rsid w:val="00823AB7"/>
    <w:rsid w:val="00827169"/>
    <w:rsid w:val="00827C48"/>
    <w:rsid w:val="00827DAF"/>
    <w:rsid w:val="00830FAF"/>
    <w:rsid w:val="00831F70"/>
    <w:rsid w:val="00833134"/>
    <w:rsid w:val="00833713"/>
    <w:rsid w:val="00833D9B"/>
    <w:rsid w:val="008340FE"/>
    <w:rsid w:val="00835A40"/>
    <w:rsid w:val="00835AA0"/>
    <w:rsid w:val="00835FBF"/>
    <w:rsid w:val="00836DA8"/>
    <w:rsid w:val="00836ECE"/>
    <w:rsid w:val="00840A55"/>
    <w:rsid w:val="008414B9"/>
    <w:rsid w:val="0084380A"/>
    <w:rsid w:val="00844E66"/>
    <w:rsid w:val="00847CD5"/>
    <w:rsid w:val="00850B2A"/>
    <w:rsid w:val="00850F7C"/>
    <w:rsid w:val="0085322F"/>
    <w:rsid w:val="0085408C"/>
    <w:rsid w:val="0085557B"/>
    <w:rsid w:val="00856A09"/>
    <w:rsid w:val="00856B4C"/>
    <w:rsid w:val="00856BBC"/>
    <w:rsid w:val="00857149"/>
    <w:rsid w:val="00860A39"/>
    <w:rsid w:val="00861B3E"/>
    <w:rsid w:val="00862A70"/>
    <w:rsid w:val="00863847"/>
    <w:rsid w:val="008655A1"/>
    <w:rsid w:val="008666DD"/>
    <w:rsid w:val="00866CCD"/>
    <w:rsid w:val="00870018"/>
    <w:rsid w:val="00871411"/>
    <w:rsid w:val="00871A7B"/>
    <w:rsid w:val="00872192"/>
    <w:rsid w:val="008726D9"/>
    <w:rsid w:val="008740D8"/>
    <w:rsid w:val="0087506B"/>
    <w:rsid w:val="0087651D"/>
    <w:rsid w:val="0087693A"/>
    <w:rsid w:val="00876C63"/>
    <w:rsid w:val="00876D94"/>
    <w:rsid w:val="0088624B"/>
    <w:rsid w:val="0089069E"/>
    <w:rsid w:val="008912D3"/>
    <w:rsid w:val="008914CB"/>
    <w:rsid w:val="008937B1"/>
    <w:rsid w:val="00894090"/>
    <w:rsid w:val="00894A43"/>
    <w:rsid w:val="00895477"/>
    <w:rsid w:val="008A15AE"/>
    <w:rsid w:val="008A1DBB"/>
    <w:rsid w:val="008A2A18"/>
    <w:rsid w:val="008A6A39"/>
    <w:rsid w:val="008B185F"/>
    <w:rsid w:val="008B3113"/>
    <w:rsid w:val="008B45F2"/>
    <w:rsid w:val="008B4E65"/>
    <w:rsid w:val="008B5744"/>
    <w:rsid w:val="008B7818"/>
    <w:rsid w:val="008C04C6"/>
    <w:rsid w:val="008C1D87"/>
    <w:rsid w:val="008C2047"/>
    <w:rsid w:val="008C2490"/>
    <w:rsid w:val="008C2FED"/>
    <w:rsid w:val="008C4AC0"/>
    <w:rsid w:val="008C5304"/>
    <w:rsid w:val="008C6459"/>
    <w:rsid w:val="008C7CC2"/>
    <w:rsid w:val="008D01F8"/>
    <w:rsid w:val="008D0325"/>
    <w:rsid w:val="008D0AD4"/>
    <w:rsid w:val="008D2BA4"/>
    <w:rsid w:val="008D4CB3"/>
    <w:rsid w:val="008D55C2"/>
    <w:rsid w:val="008D5CDB"/>
    <w:rsid w:val="008D643C"/>
    <w:rsid w:val="008D6554"/>
    <w:rsid w:val="008D756F"/>
    <w:rsid w:val="008D7E71"/>
    <w:rsid w:val="008E6072"/>
    <w:rsid w:val="008E6640"/>
    <w:rsid w:val="008F2669"/>
    <w:rsid w:val="008F2710"/>
    <w:rsid w:val="008F432E"/>
    <w:rsid w:val="008F784B"/>
    <w:rsid w:val="008F7A01"/>
    <w:rsid w:val="00900AF7"/>
    <w:rsid w:val="00901909"/>
    <w:rsid w:val="00901ACE"/>
    <w:rsid w:val="00901AD0"/>
    <w:rsid w:val="00901B37"/>
    <w:rsid w:val="009043D1"/>
    <w:rsid w:val="0090500B"/>
    <w:rsid w:val="0090746E"/>
    <w:rsid w:val="0090771A"/>
    <w:rsid w:val="00907D44"/>
    <w:rsid w:val="009106C1"/>
    <w:rsid w:val="00910BA4"/>
    <w:rsid w:val="00912C9D"/>
    <w:rsid w:val="00915499"/>
    <w:rsid w:val="00916595"/>
    <w:rsid w:val="009169DE"/>
    <w:rsid w:val="0091704B"/>
    <w:rsid w:val="00922E94"/>
    <w:rsid w:val="00924CB1"/>
    <w:rsid w:val="00925905"/>
    <w:rsid w:val="00926039"/>
    <w:rsid w:val="009275C5"/>
    <w:rsid w:val="00927772"/>
    <w:rsid w:val="00931E88"/>
    <w:rsid w:val="00933939"/>
    <w:rsid w:val="00934162"/>
    <w:rsid w:val="009342D4"/>
    <w:rsid w:val="00934993"/>
    <w:rsid w:val="00936818"/>
    <w:rsid w:val="009369EF"/>
    <w:rsid w:val="00936A52"/>
    <w:rsid w:val="00940B15"/>
    <w:rsid w:val="0094391C"/>
    <w:rsid w:val="00946996"/>
    <w:rsid w:val="0095322B"/>
    <w:rsid w:val="0095360A"/>
    <w:rsid w:val="009604D5"/>
    <w:rsid w:val="009626CA"/>
    <w:rsid w:val="00962D06"/>
    <w:rsid w:val="00963402"/>
    <w:rsid w:val="00964835"/>
    <w:rsid w:val="00966917"/>
    <w:rsid w:val="00967387"/>
    <w:rsid w:val="00967C5A"/>
    <w:rsid w:val="009700D7"/>
    <w:rsid w:val="009709AB"/>
    <w:rsid w:val="00971FD5"/>
    <w:rsid w:val="0097223A"/>
    <w:rsid w:val="009729E3"/>
    <w:rsid w:val="00974167"/>
    <w:rsid w:val="00974BED"/>
    <w:rsid w:val="00976143"/>
    <w:rsid w:val="00980073"/>
    <w:rsid w:val="00982041"/>
    <w:rsid w:val="00983099"/>
    <w:rsid w:val="009832E7"/>
    <w:rsid w:val="009836DB"/>
    <w:rsid w:val="00984A57"/>
    <w:rsid w:val="00984EF3"/>
    <w:rsid w:val="009911A1"/>
    <w:rsid w:val="00992322"/>
    <w:rsid w:val="00993261"/>
    <w:rsid w:val="00993578"/>
    <w:rsid w:val="00997E03"/>
    <w:rsid w:val="009A0770"/>
    <w:rsid w:val="009A0BA3"/>
    <w:rsid w:val="009A1A8B"/>
    <w:rsid w:val="009A2A56"/>
    <w:rsid w:val="009A418D"/>
    <w:rsid w:val="009A520C"/>
    <w:rsid w:val="009A6EB5"/>
    <w:rsid w:val="009A75FE"/>
    <w:rsid w:val="009A77F2"/>
    <w:rsid w:val="009B137E"/>
    <w:rsid w:val="009B2144"/>
    <w:rsid w:val="009B6315"/>
    <w:rsid w:val="009B6C73"/>
    <w:rsid w:val="009C2575"/>
    <w:rsid w:val="009C4645"/>
    <w:rsid w:val="009C59F9"/>
    <w:rsid w:val="009C63B1"/>
    <w:rsid w:val="009C6C6F"/>
    <w:rsid w:val="009D0173"/>
    <w:rsid w:val="009D0895"/>
    <w:rsid w:val="009D3644"/>
    <w:rsid w:val="009D3EAE"/>
    <w:rsid w:val="009D4BEF"/>
    <w:rsid w:val="009D4D73"/>
    <w:rsid w:val="009D5DD3"/>
    <w:rsid w:val="009D691B"/>
    <w:rsid w:val="009D6DC4"/>
    <w:rsid w:val="009D7295"/>
    <w:rsid w:val="009D761B"/>
    <w:rsid w:val="009D7AAE"/>
    <w:rsid w:val="009E0D4A"/>
    <w:rsid w:val="009E246D"/>
    <w:rsid w:val="009E2A07"/>
    <w:rsid w:val="009E3AA4"/>
    <w:rsid w:val="009E3C63"/>
    <w:rsid w:val="009E4F1A"/>
    <w:rsid w:val="009E6590"/>
    <w:rsid w:val="009F01CF"/>
    <w:rsid w:val="009F06C5"/>
    <w:rsid w:val="009F0C46"/>
    <w:rsid w:val="009F599E"/>
    <w:rsid w:val="009F5B9C"/>
    <w:rsid w:val="009F7D3B"/>
    <w:rsid w:val="00A00126"/>
    <w:rsid w:val="00A003C1"/>
    <w:rsid w:val="00A00655"/>
    <w:rsid w:val="00A00C58"/>
    <w:rsid w:val="00A010F0"/>
    <w:rsid w:val="00A02290"/>
    <w:rsid w:val="00A04535"/>
    <w:rsid w:val="00A070EE"/>
    <w:rsid w:val="00A07363"/>
    <w:rsid w:val="00A0739C"/>
    <w:rsid w:val="00A13043"/>
    <w:rsid w:val="00A13616"/>
    <w:rsid w:val="00A1363C"/>
    <w:rsid w:val="00A13BD0"/>
    <w:rsid w:val="00A14DE4"/>
    <w:rsid w:val="00A151FA"/>
    <w:rsid w:val="00A179D3"/>
    <w:rsid w:val="00A23587"/>
    <w:rsid w:val="00A23EE3"/>
    <w:rsid w:val="00A25C59"/>
    <w:rsid w:val="00A3012B"/>
    <w:rsid w:val="00A30F3D"/>
    <w:rsid w:val="00A31F82"/>
    <w:rsid w:val="00A350E9"/>
    <w:rsid w:val="00A3538E"/>
    <w:rsid w:val="00A3720D"/>
    <w:rsid w:val="00A37505"/>
    <w:rsid w:val="00A40594"/>
    <w:rsid w:val="00A41A0B"/>
    <w:rsid w:val="00A44C46"/>
    <w:rsid w:val="00A455E5"/>
    <w:rsid w:val="00A455F7"/>
    <w:rsid w:val="00A456F5"/>
    <w:rsid w:val="00A45853"/>
    <w:rsid w:val="00A46E22"/>
    <w:rsid w:val="00A50DD7"/>
    <w:rsid w:val="00A513D2"/>
    <w:rsid w:val="00A51406"/>
    <w:rsid w:val="00A520D1"/>
    <w:rsid w:val="00A530A2"/>
    <w:rsid w:val="00A54120"/>
    <w:rsid w:val="00A54A51"/>
    <w:rsid w:val="00A56887"/>
    <w:rsid w:val="00A60B29"/>
    <w:rsid w:val="00A60B80"/>
    <w:rsid w:val="00A61197"/>
    <w:rsid w:val="00A63267"/>
    <w:rsid w:val="00A64046"/>
    <w:rsid w:val="00A64535"/>
    <w:rsid w:val="00A706F1"/>
    <w:rsid w:val="00A71411"/>
    <w:rsid w:val="00A71C30"/>
    <w:rsid w:val="00A71EF1"/>
    <w:rsid w:val="00A72235"/>
    <w:rsid w:val="00A72A25"/>
    <w:rsid w:val="00A736A6"/>
    <w:rsid w:val="00A740D7"/>
    <w:rsid w:val="00A75555"/>
    <w:rsid w:val="00A759CD"/>
    <w:rsid w:val="00A776D2"/>
    <w:rsid w:val="00A836BF"/>
    <w:rsid w:val="00A83C4D"/>
    <w:rsid w:val="00A83D4C"/>
    <w:rsid w:val="00A84317"/>
    <w:rsid w:val="00A85490"/>
    <w:rsid w:val="00A85845"/>
    <w:rsid w:val="00A86794"/>
    <w:rsid w:val="00A9216C"/>
    <w:rsid w:val="00A93438"/>
    <w:rsid w:val="00A9361C"/>
    <w:rsid w:val="00A94EEF"/>
    <w:rsid w:val="00A9587C"/>
    <w:rsid w:val="00A9619D"/>
    <w:rsid w:val="00A967E5"/>
    <w:rsid w:val="00A9697A"/>
    <w:rsid w:val="00A96CB3"/>
    <w:rsid w:val="00A97AA9"/>
    <w:rsid w:val="00AA054E"/>
    <w:rsid w:val="00AA17E3"/>
    <w:rsid w:val="00AA1C72"/>
    <w:rsid w:val="00AA2A5E"/>
    <w:rsid w:val="00AA2BF1"/>
    <w:rsid w:val="00AA3558"/>
    <w:rsid w:val="00AA5D0C"/>
    <w:rsid w:val="00AA6B2C"/>
    <w:rsid w:val="00AB15E6"/>
    <w:rsid w:val="00AB1EE0"/>
    <w:rsid w:val="00AB2014"/>
    <w:rsid w:val="00AB234B"/>
    <w:rsid w:val="00AB23FC"/>
    <w:rsid w:val="00AB2493"/>
    <w:rsid w:val="00AB3C03"/>
    <w:rsid w:val="00AB50AF"/>
    <w:rsid w:val="00AB52EA"/>
    <w:rsid w:val="00AB5644"/>
    <w:rsid w:val="00AB7BAC"/>
    <w:rsid w:val="00AC0EF8"/>
    <w:rsid w:val="00AC263A"/>
    <w:rsid w:val="00AC2A27"/>
    <w:rsid w:val="00AC2E64"/>
    <w:rsid w:val="00AC3DBE"/>
    <w:rsid w:val="00AC4959"/>
    <w:rsid w:val="00AC67EB"/>
    <w:rsid w:val="00AC7995"/>
    <w:rsid w:val="00AD039B"/>
    <w:rsid w:val="00AD0565"/>
    <w:rsid w:val="00AD0A0A"/>
    <w:rsid w:val="00AD32D9"/>
    <w:rsid w:val="00AD3352"/>
    <w:rsid w:val="00AD47E3"/>
    <w:rsid w:val="00AD4A59"/>
    <w:rsid w:val="00AD5746"/>
    <w:rsid w:val="00AD60A8"/>
    <w:rsid w:val="00AD64B8"/>
    <w:rsid w:val="00AE089F"/>
    <w:rsid w:val="00AE36AF"/>
    <w:rsid w:val="00AE3F46"/>
    <w:rsid w:val="00AE4061"/>
    <w:rsid w:val="00AE68F6"/>
    <w:rsid w:val="00AF17F6"/>
    <w:rsid w:val="00AF4901"/>
    <w:rsid w:val="00AF4B88"/>
    <w:rsid w:val="00AF670F"/>
    <w:rsid w:val="00AF75AC"/>
    <w:rsid w:val="00AF766A"/>
    <w:rsid w:val="00B014BB"/>
    <w:rsid w:val="00B044A3"/>
    <w:rsid w:val="00B045EC"/>
    <w:rsid w:val="00B058FF"/>
    <w:rsid w:val="00B074D0"/>
    <w:rsid w:val="00B10CFD"/>
    <w:rsid w:val="00B14A84"/>
    <w:rsid w:val="00B158C3"/>
    <w:rsid w:val="00B22517"/>
    <w:rsid w:val="00B22741"/>
    <w:rsid w:val="00B2293D"/>
    <w:rsid w:val="00B2353C"/>
    <w:rsid w:val="00B24275"/>
    <w:rsid w:val="00B272BE"/>
    <w:rsid w:val="00B27A14"/>
    <w:rsid w:val="00B32C84"/>
    <w:rsid w:val="00B33E5E"/>
    <w:rsid w:val="00B34D85"/>
    <w:rsid w:val="00B3567F"/>
    <w:rsid w:val="00B3710C"/>
    <w:rsid w:val="00B37FE3"/>
    <w:rsid w:val="00B413CC"/>
    <w:rsid w:val="00B41521"/>
    <w:rsid w:val="00B415FE"/>
    <w:rsid w:val="00B42205"/>
    <w:rsid w:val="00B43502"/>
    <w:rsid w:val="00B441D0"/>
    <w:rsid w:val="00B445B9"/>
    <w:rsid w:val="00B46A08"/>
    <w:rsid w:val="00B46C4E"/>
    <w:rsid w:val="00B47DAA"/>
    <w:rsid w:val="00B5001D"/>
    <w:rsid w:val="00B504BE"/>
    <w:rsid w:val="00B506B0"/>
    <w:rsid w:val="00B51FD6"/>
    <w:rsid w:val="00B52A04"/>
    <w:rsid w:val="00B53238"/>
    <w:rsid w:val="00B5343C"/>
    <w:rsid w:val="00B53EA7"/>
    <w:rsid w:val="00B561E7"/>
    <w:rsid w:val="00B568BF"/>
    <w:rsid w:val="00B63C74"/>
    <w:rsid w:val="00B65D8B"/>
    <w:rsid w:val="00B664E9"/>
    <w:rsid w:val="00B67A2A"/>
    <w:rsid w:val="00B70610"/>
    <w:rsid w:val="00B72DDC"/>
    <w:rsid w:val="00B7347F"/>
    <w:rsid w:val="00B74AB7"/>
    <w:rsid w:val="00B75565"/>
    <w:rsid w:val="00B76017"/>
    <w:rsid w:val="00B7689E"/>
    <w:rsid w:val="00B81053"/>
    <w:rsid w:val="00B81D18"/>
    <w:rsid w:val="00B82164"/>
    <w:rsid w:val="00B870C8"/>
    <w:rsid w:val="00B87B00"/>
    <w:rsid w:val="00B90513"/>
    <w:rsid w:val="00B90A5B"/>
    <w:rsid w:val="00B916FF"/>
    <w:rsid w:val="00B92345"/>
    <w:rsid w:val="00B92C4F"/>
    <w:rsid w:val="00B9530E"/>
    <w:rsid w:val="00B95B12"/>
    <w:rsid w:val="00BA02A3"/>
    <w:rsid w:val="00BA149E"/>
    <w:rsid w:val="00BA14BA"/>
    <w:rsid w:val="00BA17A9"/>
    <w:rsid w:val="00BA30F2"/>
    <w:rsid w:val="00BA4EAC"/>
    <w:rsid w:val="00BA617C"/>
    <w:rsid w:val="00BA68B2"/>
    <w:rsid w:val="00BA7C51"/>
    <w:rsid w:val="00BA7E1E"/>
    <w:rsid w:val="00BA7E21"/>
    <w:rsid w:val="00BB18C4"/>
    <w:rsid w:val="00BB505E"/>
    <w:rsid w:val="00BB7324"/>
    <w:rsid w:val="00BB78A6"/>
    <w:rsid w:val="00BC0543"/>
    <w:rsid w:val="00BC11E8"/>
    <w:rsid w:val="00BC15FB"/>
    <w:rsid w:val="00BC16FF"/>
    <w:rsid w:val="00BC22CF"/>
    <w:rsid w:val="00BC3D6F"/>
    <w:rsid w:val="00BC4C6A"/>
    <w:rsid w:val="00BC57F5"/>
    <w:rsid w:val="00BC782B"/>
    <w:rsid w:val="00BD498B"/>
    <w:rsid w:val="00BD604B"/>
    <w:rsid w:val="00BD65CD"/>
    <w:rsid w:val="00BD6A7C"/>
    <w:rsid w:val="00BD768A"/>
    <w:rsid w:val="00BD7AFF"/>
    <w:rsid w:val="00BD7CA7"/>
    <w:rsid w:val="00BE13B9"/>
    <w:rsid w:val="00BE4FCF"/>
    <w:rsid w:val="00BE5DA9"/>
    <w:rsid w:val="00BE69FF"/>
    <w:rsid w:val="00BF0872"/>
    <w:rsid w:val="00BF1745"/>
    <w:rsid w:val="00BF19FA"/>
    <w:rsid w:val="00BF239E"/>
    <w:rsid w:val="00BF4C3E"/>
    <w:rsid w:val="00BF757A"/>
    <w:rsid w:val="00C017FF"/>
    <w:rsid w:val="00C01FBD"/>
    <w:rsid w:val="00C02090"/>
    <w:rsid w:val="00C03970"/>
    <w:rsid w:val="00C04AA0"/>
    <w:rsid w:val="00C060B9"/>
    <w:rsid w:val="00C06806"/>
    <w:rsid w:val="00C0746C"/>
    <w:rsid w:val="00C07847"/>
    <w:rsid w:val="00C07ED9"/>
    <w:rsid w:val="00C11341"/>
    <w:rsid w:val="00C1729C"/>
    <w:rsid w:val="00C17352"/>
    <w:rsid w:val="00C17507"/>
    <w:rsid w:val="00C17BFA"/>
    <w:rsid w:val="00C20FC0"/>
    <w:rsid w:val="00C22767"/>
    <w:rsid w:val="00C22C2F"/>
    <w:rsid w:val="00C24FA4"/>
    <w:rsid w:val="00C25992"/>
    <w:rsid w:val="00C2610D"/>
    <w:rsid w:val="00C267E3"/>
    <w:rsid w:val="00C27B64"/>
    <w:rsid w:val="00C30167"/>
    <w:rsid w:val="00C308DC"/>
    <w:rsid w:val="00C31AC5"/>
    <w:rsid w:val="00C31CE3"/>
    <w:rsid w:val="00C3206E"/>
    <w:rsid w:val="00C362AD"/>
    <w:rsid w:val="00C37F27"/>
    <w:rsid w:val="00C40CC6"/>
    <w:rsid w:val="00C41E59"/>
    <w:rsid w:val="00C449B4"/>
    <w:rsid w:val="00C4510D"/>
    <w:rsid w:val="00C471D2"/>
    <w:rsid w:val="00C4754D"/>
    <w:rsid w:val="00C52276"/>
    <w:rsid w:val="00C5311E"/>
    <w:rsid w:val="00C5343D"/>
    <w:rsid w:val="00C54A52"/>
    <w:rsid w:val="00C5766E"/>
    <w:rsid w:val="00C60A5E"/>
    <w:rsid w:val="00C61028"/>
    <w:rsid w:val="00C62B36"/>
    <w:rsid w:val="00C63219"/>
    <w:rsid w:val="00C64182"/>
    <w:rsid w:val="00C70604"/>
    <w:rsid w:val="00C72A86"/>
    <w:rsid w:val="00C7392F"/>
    <w:rsid w:val="00C74920"/>
    <w:rsid w:val="00C7610F"/>
    <w:rsid w:val="00C773F9"/>
    <w:rsid w:val="00C775A1"/>
    <w:rsid w:val="00C77B0A"/>
    <w:rsid w:val="00C8091E"/>
    <w:rsid w:val="00C80EE0"/>
    <w:rsid w:val="00C8162B"/>
    <w:rsid w:val="00C816BA"/>
    <w:rsid w:val="00C81CA2"/>
    <w:rsid w:val="00C8291D"/>
    <w:rsid w:val="00C833B1"/>
    <w:rsid w:val="00C852E0"/>
    <w:rsid w:val="00C87E78"/>
    <w:rsid w:val="00C91C9D"/>
    <w:rsid w:val="00C93A2E"/>
    <w:rsid w:val="00C94590"/>
    <w:rsid w:val="00C96BF3"/>
    <w:rsid w:val="00C97AFD"/>
    <w:rsid w:val="00CA13D6"/>
    <w:rsid w:val="00CA17E1"/>
    <w:rsid w:val="00CA2484"/>
    <w:rsid w:val="00CA2910"/>
    <w:rsid w:val="00CA296D"/>
    <w:rsid w:val="00CA32BF"/>
    <w:rsid w:val="00CA32DC"/>
    <w:rsid w:val="00CA5D88"/>
    <w:rsid w:val="00CA5EA6"/>
    <w:rsid w:val="00CA6433"/>
    <w:rsid w:val="00CA647F"/>
    <w:rsid w:val="00CA69D7"/>
    <w:rsid w:val="00CA70D9"/>
    <w:rsid w:val="00CA79F7"/>
    <w:rsid w:val="00CB00DA"/>
    <w:rsid w:val="00CB5291"/>
    <w:rsid w:val="00CB644D"/>
    <w:rsid w:val="00CB7517"/>
    <w:rsid w:val="00CC016D"/>
    <w:rsid w:val="00CC01F2"/>
    <w:rsid w:val="00CC07FA"/>
    <w:rsid w:val="00CC0B97"/>
    <w:rsid w:val="00CC2B30"/>
    <w:rsid w:val="00CC3532"/>
    <w:rsid w:val="00CC5AC0"/>
    <w:rsid w:val="00CC6554"/>
    <w:rsid w:val="00CD00BC"/>
    <w:rsid w:val="00CD1954"/>
    <w:rsid w:val="00CD1F12"/>
    <w:rsid w:val="00CD34FF"/>
    <w:rsid w:val="00CD37B5"/>
    <w:rsid w:val="00CD3B65"/>
    <w:rsid w:val="00CD3CB1"/>
    <w:rsid w:val="00CD4112"/>
    <w:rsid w:val="00CD43FA"/>
    <w:rsid w:val="00CD608D"/>
    <w:rsid w:val="00CD7616"/>
    <w:rsid w:val="00CD795A"/>
    <w:rsid w:val="00CE11DD"/>
    <w:rsid w:val="00CE3283"/>
    <w:rsid w:val="00CE4D95"/>
    <w:rsid w:val="00CE629D"/>
    <w:rsid w:val="00CF07E6"/>
    <w:rsid w:val="00CF226E"/>
    <w:rsid w:val="00CF2562"/>
    <w:rsid w:val="00CF2F99"/>
    <w:rsid w:val="00CF33B6"/>
    <w:rsid w:val="00CF406F"/>
    <w:rsid w:val="00CF5521"/>
    <w:rsid w:val="00CF656C"/>
    <w:rsid w:val="00CF7D29"/>
    <w:rsid w:val="00D01FB8"/>
    <w:rsid w:val="00D021C2"/>
    <w:rsid w:val="00D02A81"/>
    <w:rsid w:val="00D04C65"/>
    <w:rsid w:val="00D04C90"/>
    <w:rsid w:val="00D062BE"/>
    <w:rsid w:val="00D06457"/>
    <w:rsid w:val="00D06776"/>
    <w:rsid w:val="00D07E73"/>
    <w:rsid w:val="00D115E6"/>
    <w:rsid w:val="00D13FEF"/>
    <w:rsid w:val="00D151E7"/>
    <w:rsid w:val="00D1730F"/>
    <w:rsid w:val="00D17B1C"/>
    <w:rsid w:val="00D17E67"/>
    <w:rsid w:val="00D22018"/>
    <w:rsid w:val="00D22406"/>
    <w:rsid w:val="00D2384D"/>
    <w:rsid w:val="00D25869"/>
    <w:rsid w:val="00D25C0A"/>
    <w:rsid w:val="00D25D86"/>
    <w:rsid w:val="00D263F1"/>
    <w:rsid w:val="00D26487"/>
    <w:rsid w:val="00D265C8"/>
    <w:rsid w:val="00D323C4"/>
    <w:rsid w:val="00D33F2B"/>
    <w:rsid w:val="00D34189"/>
    <w:rsid w:val="00D34CE8"/>
    <w:rsid w:val="00D3593A"/>
    <w:rsid w:val="00D375D6"/>
    <w:rsid w:val="00D4001C"/>
    <w:rsid w:val="00D421AC"/>
    <w:rsid w:val="00D438F0"/>
    <w:rsid w:val="00D44372"/>
    <w:rsid w:val="00D443D4"/>
    <w:rsid w:val="00D45834"/>
    <w:rsid w:val="00D4603C"/>
    <w:rsid w:val="00D5120F"/>
    <w:rsid w:val="00D5206B"/>
    <w:rsid w:val="00D520A6"/>
    <w:rsid w:val="00D52ADB"/>
    <w:rsid w:val="00D53161"/>
    <w:rsid w:val="00D5508F"/>
    <w:rsid w:val="00D55786"/>
    <w:rsid w:val="00D55EC2"/>
    <w:rsid w:val="00D55F02"/>
    <w:rsid w:val="00D60812"/>
    <w:rsid w:val="00D60A30"/>
    <w:rsid w:val="00D623DD"/>
    <w:rsid w:val="00D62D39"/>
    <w:rsid w:val="00D632DB"/>
    <w:rsid w:val="00D63708"/>
    <w:rsid w:val="00D6481B"/>
    <w:rsid w:val="00D66900"/>
    <w:rsid w:val="00D67371"/>
    <w:rsid w:val="00D70935"/>
    <w:rsid w:val="00D724FE"/>
    <w:rsid w:val="00D759E5"/>
    <w:rsid w:val="00D77706"/>
    <w:rsid w:val="00D77A2F"/>
    <w:rsid w:val="00D80219"/>
    <w:rsid w:val="00D8128F"/>
    <w:rsid w:val="00D82717"/>
    <w:rsid w:val="00D82D31"/>
    <w:rsid w:val="00D82E17"/>
    <w:rsid w:val="00D84645"/>
    <w:rsid w:val="00D859AC"/>
    <w:rsid w:val="00D86198"/>
    <w:rsid w:val="00D874EA"/>
    <w:rsid w:val="00D87704"/>
    <w:rsid w:val="00D878BD"/>
    <w:rsid w:val="00D90EDE"/>
    <w:rsid w:val="00D9165A"/>
    <w:rsid w:val="00D91EAA"/>
    <w:rsid w:val="00D92AC0"/>
    <w:rsid w:val="00D930EE"/>
    <w:rsid w:val="00D94DD8"/>
    <w:rsid w:val="00D96028"/>
    <w:rsid w:val="00D97628"/>
    <w:rsid w:val="00DA1892"/>
    <w:rsid w:val="00DA22EF"/>
    <w:rsid w:val="00DA34B6"/>
    <w:rsid w:val="00DA36CA"/>
    <w:rsid w:val="00DA48A7"/>
    <w:rsid w:val="00DA5083"/>
    <w:rsid w:val="00DA5907"/>
    <w:rsid w:val="00DA6E7B"/>
    <w:rsid w:val="00DB0AED"/>
    <w:rsid w:val="00DB10AB"/>
    <w:rsid w:val="00DB1F0A"/>
    <w:rsid w:val="00DB3CCC"/>
    <w:rsid w:val="00DB53CB"/>
    <w:rsid w:val="00DB5E22"/>
    <w:rsid w:val="00DB66CC"/>
    <w:rsid w:val="00DB67F3"/>
    <w:rsid w:val="00DB6CDA"/>
    <w:rsid w:val="00DC11F9"/>
    <w:rsid w:val="00DC2867"/>
    <w:rsid w:val="00DC343A"/>
    <w:rsid w:val="00DD130F"/>
    <w:rsid w:val="00DD4131"/>
    <w:rsid w:val="00DD4387"/>
    <w:rsid w:val="00DD5B36"/>
    <w:rsid w:val="00DE1A98"/>
    <w:rsid w:val="00DE1DAD"/>
    <w:rsid w:val="00DE295D"/>
    <w:rsid w:val="00DE2B95"/>
    <w:rsid w:val="00DE45E9"/>
    <w:rsid w:val="00DE51F9"/>
    <w:rsid w:val="00DE56BC"/>
    <w:rsid w:val="00DE7F8F"/>
    <w:rsid w:val="00DF03B9"/>
    <w:rsid w:val="00DF0C4B"/>
    <w:rsid w:val="00DF0F34"/>
    <w:rsid w:val="00DF1657"/>
    <w:rsid w:val="00DF36FD"/>
    <w:rsid w:val="00DF38F5"/>
    <w:rsid w:val="00DF6462"/>
    <w:rsid w:val="00DF6D4A"/>
    <w:rsid w:val="00DF7117"/>
    <w:rsid w:val="00E01C2C"/>
    <w:rsid w:val="00E020B4"/>
    <w:rsid w:val="00E023F7"/>
    <w:rsid w:val="00E035A1"/>
    <w:rsid w:val="00E03911"/>
    <w:rsid w:val="00E049CB"/>
    <w:rsid w:val="00E04D19"/>
    <w:rsid w:val="00E05B4C"/>
    <w:rsid w:val="00E10691"/>
    <w:rsid w:val="00E1143F"/>
    <w:rsid w:val="00E1160F"/>
    <w:rsid w:val="00E116BC"/>
    <w:rsid w:val="00E11A5D"/>
    <w:rsid w:val="00E12377"/>
    <w:rsid w:val="00E12D42"/>
    <w:rsid w:val="00E12E5C"/>
    <w:rsid w:val="00E13986"/>
    <w:rsid w:val="00E14FF2"/>
    <w:rsid w:val="00E2059A"/>
    <w:rsid w:val="00E21265"/>
    <w:rsid w:val="00E234C8"/>
    <w:rsid w:val="00E23FD9"/>
    <w:rsid w:val="00E241D9"/>
    <w:rsid w:val="00E24E21"/>
    <w:rsid w:val="00E26111"/>
    <w:rsid w:val="00E26C77"/>
    <w:rsid w:val="00E27F54"/>
    <w:rsid w:val="00E30277"/>
    <w:rsid w:val="00E308BB"/>
    <w:rsid w:val="00E313CE"/>
    <w:rsid w:val="00E3244D"/>
    <w:rsid w:val="00E32751"/>
    <w:rsid w:val="00E33895"/>
    <w:rsid w:val="00E3398B"/>
    <w:rsid w:val="00E367DC"/>
    <w:rsid w:val="00E36D70"/>
    <w:rsid w:val="00E37693"/>
    <w:rsid w:val="00E377C9"/>
    <w:rsid w:val="00E37B82"/>
    <w:rsid w:val="00E37D59"/>
    <w:rsid w:val="00E42E68"/>
    <w:rsid w:val="00E449C3"/>
    <w:rsid w:val="00E453B2"/>
    <w:rsid w:val="00E46571"/>
    <w:rsid w:val="00E501E2"/>
    <w:rsid w:val="00E5484C"/>
    <w:rsid w:val="00E550CC"/>
    <w:rsid w:val="00E55672"/>
    <w:rsid w:val="00E56669"/>
    <w:rsid w:val="00E56FEA"/>
    <w:rsid w:val="00E60196"/>
    <w:rsid w:val="00E61F8D"/>
    <w:rsid w:val="00E6239F"/>
    <w:rsid w:val="00E63C2D"/>
    <w:rsid w:val="00E64D01"/>
    <w:rsid w:val="00E67590"/>
    <w:rsid w:val="00E67F1D"/>
    <w:rsid w:val="00E709FC"/>
    <w:rsid w:val="00E71ADD"/>
    <w:rsid w:val="00E73876"/>
    <w:rsid w:val="00E74575"/>
    <w:rsid w:val="00E74AD8"/>
    <w:rsid w:val="00E76CEE"/>
    <w:rsid w:val="00E77286"/>
    <w:rsid w:val="00E77455"/>
    <w:rsid w:val="00E77A51"/>
    <w:rsid w:val="00E804D3"/>
    <w:rsid w:val="00E80AC4"/>
    <w:rsid w:val="00E816A6"/>
    <w:rsid w:val="00E81DB4"/>
    <w:rsid w:val="00E82C77"/>
    <w:rsid w:val="00E84A30"/>
    <w:rsid w:val="00E857F8"/>
    <w:rsid w:val="00E86ECC"/>
    <w:rsid w:val="00E87CB3"/>
    <w:rsid w:val="00E91141"/>
    <w:rsid w:val="00E924DE"/>
    <w:rsid w:val="00E925A6"/>
    <w:rsid w:val="00E945AC"/>
    <w:rsid w:val="00E94859"/>
    <w:rsid w:val="00E94C30"/>
    <w:rsid w:val="00E95C4B"/>
    <w:rsid w:val="00E965EE"/>
    <w:rsid w:val="00E9683E"/>
    <w:rsid w:val="00E96ECC"/>
    <w:rsid w:val="00E9744A"/>
    <w:rsid w:val="00E97657"/>
    <w:rsid w:val="00EA2A51"/>
    <w:rsid w:val="00EA3F51"/>
    <w:rsid w:val="00EA536C"/>
    <w:rsid w:val="00EB0052"/>
    <w:rsid w:val="00EB0FBB"/>
    <w:rsid w:val="00EB215C"/>
    <w:rsid w:val="00EB3768"/>
    <w:rsid w:val="00EB3A44"/>
    <w:rsid w:val="00EB3ADD"/>
    <w:rsid w:val="00EB5817"/>
    <w:rsid w:val="00EB5D26"/>
    <w:rsid w:val="00EB7522"/>
    <w:rsid w:val="00EB7D69"/>
    <w:rsid w:val="00EC2870"/>
    <w:rsid w:val="00EC2AC1"/>
    <w:rsid w:val="00EC4184"/>
    <w:rsid w:val="00EC70FA"/>
    <w:rsid w:val="00EC76A0"/>
    <w:rsid w:val="00EC7BA7"/>
    <w:rsid w:val="00ED0CB1"/>
    <w:rsid w:val="00ED230B"/>
    <w:rsid w:val="00ED2F4C"/>
    <w:rsid w:val="00ED3570"/>
    <w:rsid w:val="00ED368F"/>
    <w:rsid w:val="00ED3B71"/>
    <w:rsid w:val="00ED4A3F"/>
    <w:rsid w:val="00ED4FDE"/>
    <w:rsid w:val="00ED6D87"/>
    <w:rsid w:val="00EE1DB5"/>
    <w:rsid w:val="00EE3357"/>
    <w:rsid w:val="00EF041E"/>
    <w:rsid w:val="00EF0C29"/>
    <w:rsid w:val="00EF30E2"/>
    <w:rsid w:val="00EF3119"/>
    <w:rsid w:val="00EF3282"/>
    <w:rsid w:val="00EF6658"/>
    <w:rsid w:val="00EF6C64"/>
    <w:rsid w:val="00F00BD6"/>
    <w:rsid w:val="00F016BB"/>
    <w:rsid w:val="00F039CF"/>
    <w:rsid w:val="00F05335"/>
    <w:rsid w:val="00F0536E"/>
    <w:rsid w:val="00F05D39"/>
    <w:rsid w:val="00F06333"/>
    <w:rsid w:val="00F10E47"/>
    <w:rsid w:val="00F12F6E"/>
    <w:rsid w:val="00F13CBC"/>
    <w:rsid w:val="00F14855"/>
    <w:rsid w:val="00F21417"/>
    <w:rsid w:val="00F21E4B"/>
    <w:rsid w:val="00F22A72"/>
    <w:rsid w:val="00F231CE"/>
    <w:rsid w:val="00F247C8"/>
    <w:rsid w:val="00F25BF4"/>
    <w:rsid w:val="00F2635E"/>
    <w:rsid w:val="00F278B9"/>
    <w:rsid w:val="00F30AFD"/>
    <w:rsid w:val="00F318C5"/>
    <w:rsid w:val="00F3199A"/>
    <w:rsid w:val="00F319A5"/>
    <w:rsid w:val="00F33B1D"/>
    <w:rsid w:val="00F343E0"/>
    <w:rsid w:val="00F360B3"/>
    <w:rsid w:val="00F40A28"/>
    <w:rsid w:val="00F41232"/>
    <w:rsid w:val="00F41319"/>
    <w:rsid w:val="00F4198F"/>
    <w:rsid w:val="00F421E6"/>
    <w:rsid w:val="00F4303A"/>
    <w:rsid w:val="00F475D0"/>
    <w:rsid w:val="00F5118A"/>
    <w:rsid w:val="00F555B0"/>
    <w:rsid w:val="00F6162A"/>
    <w:rsid w:val="00F66759"/>
    <w:rsid w:val="00F677CF"/>
    <w:rsid w:val="00F67967"/>
    <w:rsid w:val="00F67CF6"/>
    <w:rsid w:val="00F72651"/>
    <w:rsid w:val="00F76DB1"/>
    <w:rsid w:val="00F8175E"/>
    <w:rsid w:val="00F81B05"/>
    <w:rsid w:val="00F81F15"/>
    <w:rsid w:val="00F82049"/>
    <w:rsid w:val="00F82C9F"/>
    <w:rsid w:val="00F8388A"/>
    <w:rsid w:val="00F84E80"/>
    <w:rsid w:val="00F87537"/>
    <w:rsid w:val="00F947DC"/>
    <w:rsid w:val="00F97424"/>
    <w:rsid w:val="00F9781A"/>
    <w:rsid w:val="00FA057C"/>
    <w:rsid w:val="00FA086F"/>
    <w:rsid w:val="00FA0D16"/>
    <w:rsid w:val="00FA185B"/>
    <w:rsid w:val="00FA5F66"/>
    <w:rsid w:val="00FA60BF"/>
    <w:rsid w:val="00FA6883"/>
    <w:rsid w:val="00FA7405"/>
    <w:rsid w:val="00FB0D12"/>
    <w:rsid w:val="00FB1CB4"/>
    <w:rsid w:val="00FB3D40"/>
    <w:rsid w:val="00FB44EB"/>
    <w:rsid w:val="00FB675F"/>
    <w:rsid w:val="00FC11FC"/>
    <w:rsid w:val="00FC1300"/>
    <w:rsid w:val="00FC1C93"/>
    <w:rsid w:val="00FC42A3"/>
    <w:rsid w:val="00FC55F9"/>
    <w:rsid w:val="00FC60D4"/>
    <w:rsid w:val="00FC77AE"/>
    <w:rsid w:val="00FC7D9F"/>
    <w:rsid w:val="00FD2BAD"/>
    <w:rsid w:val="00FD2F51"/>
    <w:rsid w:val="00FD330C"/>
    <w:rsid w:val="00FD3660"/>
    <w:rsid w:val="00FD484C"/>
    <w:rsid w:val="00FD49D6"/>
    <w:rsid w:val="00FD55FB"/>
    <w:rsid w:val="00FD569D"/>
    <w:rsid w:val="00FD678B"/>
    <w:rsid w:val="00FD6903"/>
    <w:rsid w:val="00FE02B0"/>
    <w:rsid w:val="00FE13BF"/>
    <w:rsid w:val="00FE225D"/>
    <w:rsid w:val="00FE5C3E"/>
    <w:rsid w:val="00FF0A2F"/>
    <w:rsid w:val="00FF1B04"/>
    <w:rsid w:val="00FF22F8"/>
    <w:rsid w:val="00FF3255"/>
    <w:rsid w:val="020A6A96"/>
    <w:rsid w:val="0356786B"/>
    <w:rsid w:val="046E31C1"/>
    <w:rsid w:val="04B00AD0"/>
    <w:rsid w:val="056C4F65"/>
    <w:rsid w:val="06F4696E"/>
    <w:rsid w:val="07245E56"/>
    <w:rsid w:val="0AD5214B"/>
    <w:rsid w:val="0C023D8C"/>
    <w:rsid w:val="0DA21ACB"/>
    <w:rsid w:val="0E94232E"/>
    <w:rsid w:val="0F1306D5"/>
    <w:rsid w:val="11295396"/>
    <w:rsid w:val="123D50EA"/>
    <w:rsid w:val="14BA131F"/>
    <w:rsid w:val="15096404"/>
    <w:rsid w:val="163E2FB7"/>
    <w:rsid w:val="187A0D22"/>
    <w:rsid w:val="1A48157B"/>
    <w:rsid w:val="1BD70953"/>
    <w:rsid w:val="1BF87698"/>
    <w:rsid w:val="1E585AB7"/>
    <w:rsid w:val="1EB160C2"/>
    <w:rsid w:val="1FF145B9"/>
    <w:rsid w:val="20B54A10"/>
    <w:rsid w:val="2193546F"/>
    <w:rsid w:val="227E42CD"/>
    <w:rsid w:val="26F50BA9"/>
    <w:rsid w:val="29026D00"/>
    <w:rsid w:val="29E93D2D"/>
    <w:rsid w:val="2E7428A1"/>
    <w:rsid w:val="2EA644DF"/>
    <w:rsid w:val="2FB532A0"/>
    <w:rsid w:val="2FCB7531"/>
    <w:rsid w:val="319C4BEA"/>
    <w:rsid w:val="32606CDE"/>
    <w:rsid w:val="34C829B2"/>
    <w:rsid w:val="35381804"/>
    <w:rsid w:val="386A3F56"/>
    <w:rsid w:val="39787D17"/>
    <w:rsid w:val="3A810EF7"/>
    <w:rsid w:val="3B450E16"/>
    <w:rsid w:val="3C3802E9"/>
    <w:rsid w:val="3E586AB8"/>
    <w:rsid w:val="3E5C1B1D"/>
    <w:rsid w:val="3EAE14E9"/>
    <w:rsid w:val="3FD261A6"/>
    <w:rsid w:val="42EB2F9C"/>
    <w:rsid w:val="45226963"/>
    <w:rsid w:val="47810D03"/>
    <w:rsid w:val="49D1319D"/>
    <w:rsid w:val="4D39606F"/>
    <w:rsid w:val="4F8E3D4D"/>
    <w:rsid w:val="50440547"/>
    <w:rsid w:val="525166CF"/>
    <w:rsid w:val="53B3493A"/>
    <w:rsid w:val="5481363B"/>
    <w:rsid w:val="5537323C"/>
    <w:rsid w:val="55855837"/>
    <w:rsid w:val="56503211"/>
    <w:rsid w:val="598B567E"/>
    <w:rsid w:val="5B4A0071"/>
    <w:rsid w:val="5C624734"/>
    <w:rsid w:val="5FE91ABC"/>
    <w:rsid w:val="627F4265"/>
    <w:rsid w:val="628E734C"/>
    <w:rsid w:val="648D5239"/>
    <w:rsid w:val="6515495A"/>
    <w:rsid w:val="6580603B"/>
    <w:rsid w:val="662521D4"/>
    <w:rsid w:val="68C7223A"/>
    <w:rsid w:val="68EF6886"/>
    <w:rsid w:val="69037CE7"/>
    <w:rsid w:val="6AAF5AEF"/>
    <w:rsid w:val="6AB15689"/>
    <w:rsid w:val="6DFD607C"/>
    <w:rsid w:val="6FDD1093"/>
    <w:rsid w:val="709C0126"/>
    <w:rsid w:val="733E098F"/>
    <w:rsid w:val="76022652"/>
    <w:rsid w:val="76110058"/>
    <w:rsid w:val="768501BE"/>
    <w:rsid w:val="76C8601E"/>
    <w:rsid w:val="7D80556D"/>
    <w:rsid w:val="7ECB1052"/>
    <w:rsid w:val="7ED86E6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942A7FE-B913-4436-80A7-0AC28AD36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cs="宋体"/>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3" w:lineRule="auto"/>
      <w:outlineLvl w:val="1"/>
    </w:pPr>
    <w:rPr>
      <w:rFonts w:ascii="Arial" w:eastAsia="黑体" w:hAnsi="Arial" w:cs="Times New Roman"/>
      <w:b/>
      <w:sz w:val="32"/>
      <w:szCs w:val="20"/>
    </w:rPr>
  </w:style>
  <w:style w:type="paragraph" w:styleId="3">
    <w:name w:val="heading 3"/>
    <w:basedOn w:val="a"/>
    <w:next w:val="a"/>
    <w:link w:val="3Char"/>
    <w:qFormat/>
    <w:pPr>
      <w:keepNext/>
      <w:keepLines/>
      <w:spacing w:before="260" w:after="260" w:line="413" w:lineRule="auto"/>
      <w:outlineLvl w:val="2"/>
    </w:pPr>
    <w:rPr>
      <w:rFonts w:ascii="Times New Roman" w:hAnsi="Times New Roman" w:cs="Times New Roman"/>
      <w:b/>
      <w:sz w:val="32"/>
      <w:szCs w:val="20"/>
    </w:rPr>
  </w:style>
  <w:style w:type="paragraph" w:styleId="4">
    <w:name w:val="heading 4"/>
    <w:basedOn w:val="a"/>
    <w:next w:val="a"/>
    <w:link w:val="4Char"/>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rPr>
      <w:rFonts w:ascii="Times New Roman" w:hAnsi="Times New Roman" w:cs="Times New Roman"/>
      <w:szCs w:val="20"/>
    </w:rPr>
  </w:style>
  <w:style w:type="paragraph" w:styleId="a4">
    <w:name w:val="Document Map"/>
    <w:basedOn w:val="a"/>
    <w:link w:val="Char"/>
    <w:qFormat/>
    <w:pPr>
      <w:shd w:val="clear" w:color="auto" w:fill="000080"/>
    </w:pPr>
    <w:rPr>
      <w:rFonts w:ascii="Times New Roman" w:hAnsi="Times New Roman" w:cs="Times New Roman"/>
      <w:szCs w:val="20"/>
    </w:rPr>
  </w:style>
  <w:style w:type="paragraph" w:styleId="a5">
    <w:name w:val="annotation text"/>
    <w:basedOn w:val="a"/>
    <w:link w:val="Char0"/>
    <w:uiPriority w:val="99"/>
    <w:qFormat/>
    <w:pPr>
      <w:widowControl/>
      <w:jc w:val="left"/>
    </w:pPr>
    <w:rPr>
      <w:rFonts w:ascii="宋体" w:hAnsi="宋体"/>
      <w:kern w:val="0"/>
      <w:sz w:val="24"/>
      <w:szCs w:val="24"/>
    </w:rPr>
  </w:style>
  <w:style w:type="paragraph" w:styleId="a6">
    <w:name w:val="Body Text"/>
    <w:basedOn w:val="a"/>
    <w:link w:val="Char1"/>
    <w:qFormat/>
    <w:pPr>
      <w:autoSpaceDE w:val="0"/>
      <w:autoSpaceDN w:val="0"/>
      <w:adjustRightInd w:val="0"/>
      <w:spacing w:line="360" w:lineRule="auto"/>
      <w:jc w:val="left"/>
    </w:pPr>
    <w:rPr>
      <w:rFonts w:ascii="宋体"/>
      <w:kern w:val="0"/>
      <w:sz w:val="20"/>
      <w:szCs w:val="20"/>
    </w:rPr>
  </w:style>
  <w:style w:type="paragraph" w:styleId="30">
    <w:name w:val="toc 3"/>
    <w:basedOn w:val="a"/>
    <w:next w:val="a"/>
    <w:uiPriority w:val="39"/>
    <w:qFormat/>
    <w:pPr>
      <w:widowControl/>
      <w:spacing w:after="100" w:line="276" w:lineRule="auto"/>
      <w:ind w:left="440"/>
      <w:jc w:val="left"/>
    </w:pPr>
    <w:rPr>
      <w:kern w:val="0"/>
      <w:sz w:val="22"/>
    </w:rPr>
  </w:style>
  <w:style w:type="paragraph" w:styleId="a7">
    <w:name w:val="Plain Text"/>
    <w:basedOn w:val="a"/>
    <w:link w:val="Char2"/>
    <w:qFormat/>
    <w:pPr>
      <w:adjustRightInd w:val="0"/>
      <w:spacing w:line="312" w:lineRule="atLeast"/>
      <w:textAlignment w:val="baseline"/>
    </w:pPr>
    <w:rPr>
      <w:rFonts w:ascii="宋体" w:hAnsi="Courier New" w:cs="Times New Roman"/>
      <w:kern w:val="0"/>
      <w:szCs w:val="20"/>
    </w:rPr>
  </w:style>
  <w:style w:type="paragraph" w:styleId="20">
    <w:name w:val="Body Text Indent 2"/>
    <w:basedOn w:val="a"/>
    <w:link w:val="2Char0"/>
    <w:qFormat/>
    <w:pPr>
      <w:spacing w:line="360" w:lineRule="auto"/>
      <w:ind w:firstLine="425"/>
    </w:pPr>
    <w:rPr>
      <w:rFonts w:ascii="仿宋_GB2312" w:eastAsia="仿宋_GB2312" w:hAnsi="Times New Roman" w:cs="Times New Roman"/>
      <w:sz w:val="28"/>
      <w:szCs w:val="20"/>
    </w:rPr>
  </w:style>
  <w:style w:type="paragraph" w:styleId="a8">
    <w:name w:val="Balloon Text"/>
    <w:basedOn w:val="a"/>
    <w:link w:val="Char3"/>
    <w:uiPriority w:val="99"/>
    <w:qFormat/>
    <w:rPr>
      <w:sz w:val="18"/>
      <w:szCs w:val="18"/>
    </w:rPr>
  </w:style>
  <w:style w:type="paragraph" w:styleId="a9">
    <w:name w:val="footer"/>
    <w:basedOn w:val="a"/>
    <w:link w:val="Char4"/>
    <w:uiPriority w:val="99"/>
    <w:qFormat/>
    <w:pPr>
      <w:tabs>
        <w:tab w:val="center" w:pos="4153"/>
        <w:tab w:val="right" w:pos="8306"/>
      </w:tabs>
      <w:snapToGrid w:val="0"/>
      <w:jc w:val="left"/>
    </w:pPr>
    <w:rPr>
      <w:sz w:val="18"/>
      <w:szCs w:val="18"/>
    </w:rPr>
  </w:style>
  <w:style w:type="paragraph" w:styleId="aa">
    <w:name w:val="header"/>
    <w:basedOn w:val="a"/>
    <w:link w:val="Char5"/>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widowControl/>
      <w:spacing w:after="100" w:line="276" w:lineRule="auto"/>
      <w:jc w:val="left"/>
    </w:pPr>
    <w:rPr>
      <w:kern w:val="0"/>
      <w:sz w:val="22"/>
    </w:rPr>
  </w:style>
  <w:style w:type="paragraph" w:styleId="ab">
    <w:name w:val="footnote text"/>
    <w:basedOn w:val="a"/>
    <w:link w:val="Char6"/>
    <w:qFormat/>
    <w:pPr>
      <w:snapToGrid w:val="0"/>
      <w:jc w:val="left"/>
    </w:pPr>
    <w:rPr>
      <w:rFonts w:ascii="Times New Roman" w:hAnsi="Times New Roman" w:cs="Times New Roman"/>
      <w:sz w:val="18"/>
      <w:szCs w:val="20"/>
    </w:rPr>
  </w:style>
  <w:style w:type="paragraph" w:styleId="31">
    <w:name w:val="Body Text Indent 3"/>
    <w:basedOn w:val="a"/>
    <w:link w:val="3Char0"/>
    <w:qFormat/>
    <w:pPr>
      <w:autoSpaceDE w:val="0"/>
      <w:autoSpaceDN w:val="0"/>
      <w:adjustRightInd w:val="0"/>
      <w:spacing w:line="360" w:lineRule="auto"/>
      <w:ind w:left="420" w:firstLine="435"/>
    </w:pPr>
    <w:rPr>
      <w:rFonts w:ascii="Times New Roman" w:hAnsi="Times New Roman" w:cs="Times New Roman"/>
      <w:color w:val="0000FF"/>
      <w:szCs w:val="20"/>
    </w:rPr>
  </w:style>
  <w:style w:type="paragraph" w:styleId="21">
    <w:name w:val="toc 2"/>
    <w:basedOn w:val="a"/>
    <w:next w:val="a"/>
    <w:uiPriority w:val="39"/>
    <w:qFormat/>
    <w:pPr>
      <w:widowControl/>
      <w:spacing w:after="100" w:line="276" w:lineRule="auto"/>
      <w:ind w:left="220"/>
      <w:jc w:val="left"/>
    </w:pPr>
    <w:rPr>
      <w:kern w:val="0"/>
      <w:sz w:val="22"/>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c">
    <w:name w:val="Normal (Web)"/>
    <w:basedOn w:val="a"/>
    <w:qFormat/>
    <w:pPr>
      <w:widowControl/>
      <w:spacing w:before="100" w:beforeAutospacing="1" w:after="100" w:afterAutospacing="1"/>
      <w:jc w:val="left"/>
    </w:pPr>
    <w:rPr>
      <w:rFonts w:ascii="宋体" w:hAnsi="宋体"/>
      <w:kern w:val="0"/>
      <w:sz w:val="24"/>
      <w:szCs w:val="24"/>
    </w:rPr>
  </w:style>
  <w:style w:type="paragraph" w:styleId="ad">
    <w:name w:val="Title"/>
    <w:basedOn w:val="a"/>
    <w:next w:val="a"/>
    <w:link w:val="Char7"/>
    <w:qFormat/>
    <w:pPr>
      <w:spacing w:before="240" w:after="60"/>
      <w:jc w:val="center"/>
      <w:outlineLvl w:val="0"/>
    </w:pPr>
    <w:rPr>
      <w:rFonts w:ascii="Cambria" w:hAnsi="Cambria"/>
      <w:b/>
      <w:sz w:val="32"/>
      <w:szCs w:val="20"/>
    </w:rPr>
  </w:style>
  <w:style w:type="paragraph" w:styleId="ae">
    <w:name w:val="annotation subject"/>
    <w:basedOn w:val="a5"/>
    <w:next w:val="a5"/>
    <w:link w:val="Char8"/>
    <w:qFormat/>
    <w:pPr>
      <w:widowControl w:val="0"/>
    </w:pPr>
    <w:rPr>
      <w:rFonts w:ascii="Calibri" w:hAnsi="Calibri"/>
      <w:b/>
      <w:bCs/>
      <w:kern w:val="2"/>
      <w:sz w:val="21"/>
      <w:szCs w:val="22"/>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uiPriority w:val="22"/>
    <w:qFormat/>
    <w:rPr>
      <w:b/>
      <w:bCs/>
    </w:rPr>
  </w:style>
  <w:style w:type="character" w:styleId="af1">
    <w:name w:val="page number"/>
    <w:basedOn w:val="a0"/>
    <w:qFormat/>
  </w:style>
  <w:style w:type="character" w:styleId="af2">
    <w:name w:val="Hyperlink"/>
    <w:basedOn w:val="a0"/>
    <w:uiPriority w:val="99"/>
    <w:unhideWhenUsed/>
    <w:qFormat/>
    <w:rPr>
      <w:color w:val="0000FF" w:themeColor="hyperlink"/>
      <w:u w:val="single"/>
    </w:rPr>
  </w:style>
  <w:style w:type="character" w:styleId="af3">
    <w:name w:val="annotation reference"/>
    <w:qFormat/>
    <w:rPr>
      <w:sz w:val="21"/>
      <w:szCs w:val="21"/>
    </w:rPr>
  </w:style>
  <w:style w:type="character" w:styleId="af4">
    <w:name w:val="footnote reference"/>
    <w:qFormat/>
    <w:rPr>
      <w:vertAlign w:val="superscript"/>
    </w:rPr>
  </w:style>
  <w:style w:type="character" w:customStyle="1" w:styleId="Char5">
    <w:name w:val="页眉 Char"/>
    <w:basedOn w:val="a0"/>
    <w:link w:val="aa"/>
    <w:uiPriority w:val="99"/>
    <w:qFormat/>
    <w:rPr>
      <w:sz w:val="18"/>
      <w:szCs w:val="18"/>
    </w:rPr>
  </w:style>
  <w:style w:type="character" w:customStyle="1" w:styleId="Char4">
    <w:name w:val="页脚 Char"/>
    <w:basedOn w:val="a0"/>
    <w:link w:val="a9"/>
    <w:uiPriority w:val="99"/>
    <w:qFormat/>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paragraph" w:customStyle="1" w:styleId="af5">
    <w:name w:val="a"/>
    <w:basedOn w:val="a"/>
    <w:uiPriority w:val="99"/>
    <w:qFormat/>
    <w:pPr>
      <w:widowControl/>
      <w:spacing w:before="100" w:beforeAutospacing="1" w:after="100" w:afterAutospacing="1"/>
      <w:jc w:val="left"/>
    </w:pPr>
    <w:rPr>
      <w:rFonts w:ascii="宋体" w:hAnsi="宋体"/>
      <w:kern w:val="0"/>
      <w:sz w:val="24"/>
      <w:szCs w:val="24"/>
    </w:rPr>
  </w:style>
  <w:style w:type="character" w:customStyle="1" w:styleId="Char0">
    <w:name w:val="批注文字 Char"/>
    <w:basedOn w:val="a0"/>
    <w:link w:val="a5"/>
    <w:uiPriority w:val="99"/>
    <w:qFormat/>
    <w:rPr>
      <w:rFonts w:ascii="宋体" w:eastAsia="宋体" w:hAnsi="宋体" w:cs="宋体"/>
      <w:kern w:val="0"/>
      <w:sz w:val="24"/>
      <w:szCs w:val="24"/>
    </w:rPr>
  </w:style>
  <w:style w:type="character" w:customStyle="1" w:styleId="Char3">
    <w:name w:val="批注框文本 Char"/>
    <w:basedOn w:val="a0"/>
    <w:link w:val="a8"/>
    <w:uiPriority w:val="99"/>
    <w:qFormat/>
    <w:rPr>
      <w:sz w:val="18"/>
      <w:szCs w:val="18"/>
    </w:rPr>
  </w:style>
  <w:style w:type="paragraph" w:styleId="af6">
    <w:name w:val="List Paragraph"/>
    <w:basedOn w:val="a"/>
    <w:qFormat/>
    <w:pPr>
      <w:ind w:firstLineChars="200" w:firstLine="420"/>
    </w:pPr>
  </w:style>
  <w:style w:type="character" w:customStyle="1" w:styleId="1Char">
    <w:name w:val="标题 1 Char"/>
    <w:basedOn w:val="a0"/>
    <w:link w:val="1"/>
    <w:uiPriority w:val="9"/>
    <w:qFormat/>
    <w:rPr>
      <w:b/>
      <w:bCs/>
      <w:kern w:val="44"/>
      <w:sz w:val="44"/>
      <w:szCs w:val="44"/>
    </w:rPr>
  </w:style>
  <w:style w:type="paragraph" w:customStyle="1" w:styleId="TOC1">
    <w:name w:val="TOC 标题1"/>
    <w:basedOn w:val="1"/>
    <w:next w:val="a"/>
    <w:uiPriority w:val="39"/>
    <w:qFormat/>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11">
    <w:name w:val="修订1"/>
    <w:uiPriority w:val="99"/>
    <w:qFormat/>
    <w:rPr>
      <w:rFonts w:ascii="Calibri" w:hAnsi="Calibri" w:cs="宋体"/>
      <w:kern w:val="2"/>
      <w:sz w:val="21"/>
      <w:szCs w:val="22"/>
    </w:rPr>
  </w:style>
  <w:style w:type="character" w:customStyle="1" w:styleId="Char8">
    <w:name w:val="批注主题 Char"/>
    <w:basedOn w:val="Char0"/>
    <w:link w:val="ae"/>
    <w:uiPriority w:val="99"/>
    <w:qFormat/>
    <w:rPr>
      <w:rFonts w:ascii="宋体" w:eastAsia="宋体" w:hAnsi="宋体" w:cs="宋体"/>
      <w:b/>
      <w:bCs/>
      <w:kern w:val="0"/>
      <w:sz w:val="24"/>
      <w:szCs w:val="24"/>
    </w:rPr>
  </w:style>
  <w:style w:type="character" w:customStyle="1" w:styleId="HTMLChar">
    <w:name w:val="HTML 预设格式 Char"/>
    <w:basedOn w:val="a0"/>
    <w:link w:val="HTML"/>
    <w:uiPriority w:val="99"/>
    <w:qFormat/>
    <w:rPr>
      <w:rFonts w:ascii="宋体" w:eastAsia="宋体" w:hAnsi="宋体" w:cs="宋体"/>
      <w:kern w:val="0"/>
      <w:sz w:val="24"/>
      <w:szCs w:val="24"/>
    </w:rPr>
  </w:style>
  <w:style w:type="paragraph" w:customStyle="1" w:styleId="p0">
    <w:name w:val="p0"/>
    <w:basedOn w:val="a"/>
    <w:qFormat/>
    <w:pPr>
      <w:widowControl/>
      <w:spacing w:before="100" w:beforeAutospacing="1" w:after="100" w:afterAutospacing="1"/>
      <w:jc w:val="left"/>
    </w:pPr>
    <w:rPr>
      <w:rFonts w:ascii="宋体" w:hAnsi="宋体"/>
      <w:kern w:val="0"/>
      <w:sz w:val="24"/>
      <w:szCs w:val="24"/>
    </w:rPr>
  </w:style>
  <w:style w:type="paragraph" w:customStyle="1" w:styleId="22">
    <w:name w:val="修订2"/>
    <w:hidden/>
    <w:uiPriority w:val="99"/>
    <w:semiHidden/>
    <w:qFormat/>
    <w:rPr>
      <w:rFonts w:ascii="Calibri" w:hAnsi="Calibri" w:cs="宋体"/>
      <w:kern w:val="2"/>
      <w:sz w:val="21"/>
      <w:szCs w:val="22"/>
    </w:rPr>
  </w:style>
  <w:style w:type="character" w:customStyle="1" w:styleId="Char10">
    <w:name w:val="批注文字 Char1"/>
    <w:basedOn w:val="a0"/>
    <w:qFormat/>
    <w:rPr>
      <w:kern w:val="2"/>
      <w:sz w:val="21"/>
    </w:rPr>
  </w:style>
  <w:style w:type="paragraph" w:customStyle="1" w:styleId="32">
    <w:name w:val="修订3"/>
    <w:hidden/>
    <w:uiPriority w:val="99"/>
    <w:semiHidden/>
    <w:qFormat/>
    <w:rPr>
      <w:rFonts w:ascii="Calibri" w:hAnsi="Calibri" w:cs="宋体"/>
      <w:kern w:val="2"/>
      <w:sz w:val="21"/>
      <w:szCs w:val="22"/>
    </w:rPr>
  </w:style>
  <w:style w:type="paragraph" w:customStyle="1" w:styleId="TOC2">
    <w:name w:val="TOC 标题2"/>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2Char">
    <w:name w:val="标题 2 Char"/>
    <w:basedOn w:val="a0"/>
    <w:link w:val="2"/>
    <w:qFormat/>
    <w:rPr>
      <w:rFonts w:ascii="Arial" w:eastAsia="黑体" w:hAnsi="Arial" w:cs="Times New Roman"/>
      <w:b/>
      <w:kern w:val="2"/>
      <w:sz w:val="32"/>
    </w:rPr>
  </w:style>
  <w:style w:type="character" w:customStyle="1" w:styleId="3Char">
    <w:name w:val="标题 3 Char"/>
    <w:basedOn w:val="a0"/>
    <w:link w:val="3"/>
    <w:qFormat/>
    <w:rPr>
      <w:rFonts w:ascii="Times New Roman" w:hAnsi="Times New Roman" w:cs="Times New Roman"/>
      <w:b/>
      <w:kern w:val="2"/>
      <w:sz w:val="32"/>
    </w:rPr>
  </w:style>
  <w:style w:type="character" w:customStyle="1" w:styleId="4Char">
    <w:name w:val="标题 4 Char"/>
    <w:basedOn w:val="a0"/>
    <w:link w:val="4"/>
    <w:uiPriority w:val="9"/>
    <w:semiHidden/>
    <w:qFormat/>
    <w:rPr>
      <w:rFonts w:asciiTheme="majorHAnsi" w:eastAsiaTheme="majorEastAsia" w:hAnsiTheme="majorHAnsi" w:cstheme="majorBidi"/>
      <w:b/>
      <w:bCs/>
      <w:kern w:val="2"/>
      <w:sz w:val="28"/>
      <w:szCs w:val="28"/>
    </w:rPr>
  </w:style>
  <w:style w:type="character" w:customStyle="1" w:styleId="unnamed11">
    <w:name w:val="unnamed11"/>
    <w:qFormat/>
    <w:rPr>
      <w:rFonts w:ascii="宋体" w:eastAsia="宋体" w:hAnsi="宋体" w:hint="eastAsia"/>
      <w:sz w:val="18"/>
    </w:rPr>
  </w:style>
  <w:style w:type="character" w:customStyle="1" w:styleId="read">
    <w:name w:val="read"/>
    <w:basedOn w:val="a0"/>
    <w:qFormat/>
  </w:style>
  <w:style w:type="character" w:customStyle="1" w:styleId="Char7">
    <w:name w:val="标题 Char"/>
    <w:link w:val="ad"/>
    <w:qFormat/>
    <w:rPr>
      <w:rFonts w:ascii="Cambria" w:hAnsi="Cambria"/>
      <w:b/>
      <w:kern w:val="2"/>
      <w:sz w:val="32"/>
    </w:rPr>
  </w:style>
  <w:style w:type="character" w:customStyle="1" w:styleId="Char1">
    <w:name w:val="正文文本 Char"/>
    <w:link w:val="a6"/>
    <w:qFormat/>
    <w:rPr>
      <w:rFonts w:ascii="宋体"/>
    </w:rPr>
  </w:style>
  <w:style w:type="paragraph" w:customStyle="1" w:styleId="Char9">
    <w:name w:val="Char"/>
    <w:basedOn w:val="a"/>
    <w:qFormat/>
    <w:rPr>
      <w:rFonts w:ascii="Times New Roman" w:hAnsi="Times New Roman" w:cs="Times New Roman"/>
      <w:szCs w:val="20"/>
    </w:rPr>
  </w:style>
  <w:style w:type="paragraph" w:customStyle="1" w:styleId="CharCharCharChar">
    <w:name w:val="Char Char Char Char"/>
    <w:basedOn w:val="a"/>
    <w:qFormat/>
    <w:pPr>
      <w:tabs>
        <w:tab w:val="left" w:pos="360"/>
      </w:tabs>
    </w:pPr>
    <w:rPr>
      <w:rFonts w:ascii="Times New Roman" w:hAnsi="Times New Roman" w:cs="Times New Roman"/>
      <w:szCs w:val="20"/>
    </w:rPr>
  </w:style>
  <w:style w:type="paragraph" w:customStyle="1" w:styleId="CharChar1">
    <w:name w:val="Char Char1"/>
    <w:basedOn w:val="a"/>
    <w:qFormat/>
    <w:rPr>
      <w:rFonts w:ascii="Times New Roman" w:hAnsi="Times New Roman" w:cs="Times New Roman"/>
      <w:szCs w:val="20"/>
    </w:rPr>
  </w:style>
  <w:style w:type="paragraph" w:customStyle="1" w:styleId="unnamed1">
    <w:name w:val="unnamed1"/>
    <w:basedOn w:val="a"/>
    <w:qFormat/>
    <w:pPr>
      <w:spacing w:before="60" w:after="60"/>
      <w:ind w:left="15" w:right="15"/>
    </w:pPr>
    <w:rPr>
      <w:rFonts w:ascii="宋体" w:hAnsi="宋体" w:cs="Times New Roman" w:hint="eastAsia"/>
      <w:color w:val="000000"/>
      <w:sz w:val="18"/>
      <w:szCs w:val="18"/>
    </w:rPr>
  </w:style>
  <w:style w:type="paragraph" w:customStyle="1" w:styleId="af7">
    <w:name w:val="正文正文"/>
    <w:basedOn w:val="a"/>
    <w:qFormat/>
    <w:pPr>
      <w:spacing w:afterLines="25" w:line="360" w:lineRule="auto"/>
      <w:ind w:firstLineChars="200" w:firstLine="200"/>
    </w:pPr>
    <w:rPr>
      <w:rFonts w:ascii="Times New Roman" w:hAnsi="Times New Roman" w:cs="Times New Roman"/>
      <w:sz w:val="24"/>
      <w:szCs w:val="20"/>
    </w:rPr>
  </w:style>
  <w:style w:type="paragraph" w:customStyle="1" w:styleId="Char20">
    <w:name w:val="Char2"/>
    <w:basedOn w:val="a"/>
    <w:qFormat/>
    <w:rPr>
      <w:rFonts w:ascii="Times New Roman" w:hAnsi="Times New Roman" w:cs="Times New Roman"/>
      <w:szCs w:val="20"/>
    </w:rPr>
  </w:style>
  <w:style w:type="character" w:customStyle="1" w:styleId="Char">
    <w:name w:val="文档结构图 Char"/>
    <w:basedOn w:val="a0"/>
    <w:link w:val="a4"/>
    <w:qFormat/>
    <w:rPr>
      <w:rFonts w:ascii="Times New Roman" w:hAnsi="Times New Roman" w:cs="Times New Roman"/>
      <w:kern w:val="2"/>
      <w:sz w:val="21"/>
      <w:shd w:val="clear" w:color="auto" w:fill="000080"/>
    </w:rPr>
  </w:style>
  <w:style w:type="character" w:customStyle="1" w:styleId="Char2">
    <w:name w:val="纯文本 Char"/>
    <w:basedOn w:val="a0"/>
    <w:link w:val="a7"/>
    <w:qFormat/>
    <w:rPr>
      <w:rFonts w:ascii="宋体" w:hAnsi="Courier New" w:cs="Times New Roman"/>
      <w:sz w:val="21"/>
    </w:rPr>
  </w:style>
  <w:style w:type="paragraph" w:customStyle="1" w:styleId="CharChar">
    <w:name w:val="Char Char"/>
    <w:basedOn w:val="a"/>
    <w:qFormat/>
    <w:rPr>
      <w:rFonts w:ascii="Times New Roman" w:hAnsi="Times New Roman" w:cs="Times New Roman"/>
      <w:szCs w:val="20"/>
    </w:rPr>
  </w:style>
  <w:style w:type="character" w:customStyle="1" w:styleId="Char11">
    <w:name w:val="正文文本 Char1"/>
    <w:basedOn w:val="a0"/>
    <w:uiPriority w:val="99"/>
    <w:semiHidden/>
    <w:qFormat/>
    <w:rPr>
      <w:kern w:val="2"/>
      <w:sz w:val="21"/>
      <w:szCs w:val="22"/>
    </w:rPr>
  </w:style>
  <w:style w:type="character" w:customStyle="1" w:styleId="Char12">
    <w:name w:val="标题 Char1"/>
    <w:basedOn w:val="a0"/>
    <w:uiPriority w:val="10"/>
    <w:qFormat/>
    <w:rPr>
      <w:rFonts w:asciiTheme="majorHAnsi" w:hAnsiTheme="majorHAnsi" w:cstheme="majorBidi"/>
      <w:b/>
      <w:bCs/>
      <w:kern w:val="2"/>
      <w:sz w:val="32"/>
      <w:szCs w:val="32"/>
    </w:rPr>
  </w:style>
  <w:style w:type="paragraph" w:customStyle="1" w:styleId="CharCharChar">
    <w:name w:val="Char Char Char"/>
    <w:basedOn w:val="a"/>
    <w:qFormat/>
    <w:rPr>
      <w:rFonts w:ascii="Times New Roman" w:hAnsi="Times New Roman" w:cs="Times New Roman"/>
      <w:szCs w:val="20"/>
    </w:rPr>
  </w:style>
  <w:style w:type="paragraph" w:customStyle="1" w:styleId="msonormal1">
    <w:name w:val="msonormal1"/>
    <w:qFormat/>
    <w:pPr>
      <w:widowControl w:val="0"/>
      <w:jc w:val="both"/>
    </w:pPr>
    <w:rPr>
      <w:kern w:val="2"/>
      <w:sz w:val="21"/>
    </w:rPr>
  </w:style>
  <w:style w:type="character" w:customStyle="1" w:styleId="3Char0">
    <w:name w:val="正文文本缩进 3 Char"/>
    <w:basedOn w:val="a0"/>
    <w:link w:val="31"/>
    <w:qFormat/>
    <w:rPr>
      <w:rFonts w:ascii="Times New Roman" w:hAnsi="Times New Roman" w:cs="Times New Roman"/>
      <w:color w:val="0000FF"/>
      <w:kern w:val="2"/>
      <w:sz w:val="21"/>
    </w:rPr>
  </w:style>
  <w:style w:type="character" w:customStyle="1" w:styleId="2Char0">
    <w:name w:val="正文文本缩进 2 Char"/>
    <w:basedOn w:val="a0"/>
    <w:link w:val="20"/>
    <w:qFormat/>
    <w:rPr>
      <w:rFonts w:ascii="仿宋_GB2312" w:eastAsia="仿宋_GB2312" w:hAnsi="Times New Roman" w:cs="Times New Roman"/>
      <w:kern w:val="2"/>
      <w:sz w:val="28"/>
    </w:rPr>
  </w:style>
  <w:style w:type="character" w:customStyle="1" w:styleId="Char6">
    <w:name w:val="脚注文本 Char"/>
    <w:basedOn w:val="a0"/>
    <w:link w:val="ab"/>
    <w:qFormat/>
    <w:rPr>
      <w:rFonts w:ascii="Times New Roman" w:hAnsi="Times New Roman" w:cs="Times New Roman"/>
      <w:kern w:val="2"/>
      <w:sz w:val="18"/>
    </w:rPr>
  </w:style>
  <w:style w:type="paragraph" w:customStyle="1" w:styleId="Listbullet">
    <w:name w:val="List_bullet"/>
    <w:basedOn w:val="a"/>
    <w:qFormat/>
    <w:pPr>
      <w:widowControl/>
      <w:numPr>
        <w:numId w:val="1"/>
      </w:numPr>
      <w:jc w:val="left"/>
    </w:pPr>
    <w:rPr>
      <w:rFonts w:ascii="Times New Roman" w:hAnsi="Times New Roman" w:cs="Times New Roman"/>
      <w:kern w:val="0"/>
      <w:sz w:val="24"/>
      <w:szCs w:val="20"/>
    </w:rPr>
  </w:style>
  <w:style w:type="paragraph" w:customStyle="1" w:styleId="InfoBlue">
    <w:name w:val="InfoBlue"/>
    <w:basedOn w:val="a"/>
    <w:next w:val="a6"/>
    <w:qFormat/>
    <w:pPr>
      <w:tabs>
        <w:tab w:val="left" w:pos="420"/>
      </w:tabs>
      <w:spacing w:after="120" w:line="240" w:lineRule="atLeast"/>
      <w:ind w:left="420" w:hanging="420"/>
      <w:jc w:val="left"/>
    </w:pPr>
    <w:rPr>
      <w:rFonts w:ascii="宋体" w:hAnsi="宋体" w:cs="Times New Roman"/>
      <w:szCs w:val="20"/>
    </w:rPr>
  </w:style>
  <w:style w:type="paragraph" w:customStyle="1" w:styleId="af8">
    <w:name w:val="正文所"/>
    <w:basedOn w:val="a"/>
    <w:qFormat/>
    <w:pPr>
      <w:spacing w:line="360" w:lineRule="auto"/>
      <w:ind w:firstLineChars="200" w:firstLine="420"/>
    </w:pPr>
    <w:rPr>
      <w:rFonts w:ascii="宋体" w:hAnsi="Times New Roman" w:cs="Times New Roman"/>
      <w:szCs w:val="20"/>
    </w:rPr>
  </w:style>
  <w:style w:type="paragraph" w:customStyle="1" w:styleId="CharChar6">
    <w:name w:val="Char Char6"/>
    <w:basedOn w:val="a"/>
    <w:qFormat/>
    <w:rPr>
      <w:rFonts w:ascii="Times New Roman" w:hAnsi="Times New Roman" w:cs="Times New Roman"/>
      <w:szCs w:val="20"/>
    </w:rPr>
  </w:style>
  <w:style w:type="paragraph" w:customStyle="1" w:styleId="CharCharCharChar1">
    <w:name w:val="Char Char Char Char1"/>
    <w:basedOn w:val="a"/>
    <w:qFormat/>
    <w:pPr>
      <w:tabs>
        <w:tab w:val="left" w:pos="360"/>
      </w:tabs>
    </w:pPr>
    <w:rPr>
      <w:rFonts w:ascii="Times New Roman" w:hAnsi="Times New Roman" w:cs="Times New Roman"/>
      <w:szCs w:val="20"/>
    </w:rPr>
  </w:style>
  <w:style w:type="paragraph" w:customStyle="1" w:styleId="CharChar11">
    <w:name w:val="Char Char11"/>
    <w:basedOn w:val="a"/>
    <w:qFormat/>
    <w:rPr>
      <w:rFonts w:ascii="Times New Roman" w:hAnsi="Times New Roman" w:cs="Times New Roman"/>
      <w:szCs w:val="20"/>
    </w:rPr>
  </w:style>
  <w:style w:type="paragraph" w:customStyle="1" w:styleId="Char13">
    <w:name w:val="Char1"/>
    <w:basedOn w:val="a"/>
    <w:qFormat/>
    <w:rPr>
      <w:rFonts w:ascii="Times New Roman" w:hAnsi="Times New Roman" w:cs="Times New Roman"/>
      <w:szCs w:val="20"/>
    </w:rPr>
  </w:style>
  <w:style w:type="paragraph" w:customStyle="1" w:styleId="CharChar5">
    <w:name w:val="Char Char5"/>
    <w:basedOn w:val="a"/>
    <w:qFormat/>
    <w:rPr>
      <w:rFonts w:ascii="Times New Roman" w:hAnsi="Times New Roman" w:cs="Times New Roman"/>
      <w:szCs w:val="20"/>
    </w:rPr>
  </w:style>
  <w:style w:type="paragraph" w:customStyle="1" w:styleId="CharCharChar1">
    <w:name w:val="Char Char Char1"/>
    <w:basedOn w:val="a"/>
    <w:qFormat/>
    <w:rPr>
      <w:rFonts w:ascii="Times New Roman" w:hAnsi="Times New Roman" w:cs="Times New Roman"/>
      <w:szCs w:val="20"/>
    </w:rPr>
  </w:style>
  <w:style w:type="paragraph" w:customStyle="1" w:styleId="CharChar4">
    <w:name w:val="Char Char4"/>
    <w:basedOn w:val="a"/>
    <w:qFormat/>
    <w:rPr>
      <w:rFonts w:ascii="Times New Roman" w:hAnsi="Times New Roman" w:cs="Times New Roman"/>
      <w:szCs w:val="20"/>
    </w:rPr>
  </w:style>
  <w:style w:type="paragraph" w:customStyle="1" w:styleId="CharChar3">
    <w:name w:val="Char Char3"/>
    <w:basedOn w:val="a"/>
    <w:qFormat/>
    <w:rPr>
      <w:rFonts w:ascii="Times New Roman" w:hAnsi="Times New Roman" w:cs="Times New Roman"/>
      <w:szCs w:val="20"/>
    </w:rPr>
  </w:style>
  <w:style w:type="paragraph" w:customStyle="1" w:styleId="CharChar2">
    <w:name w:val="Char Char2"/>
    <w:basedOn w:val="a"/>
    <w:qFormat/>
    <w:rPr>
      <w:rFonts w:ascii="Times New Roman" w:hAnsi="Times New Roman" w:cs="Times New Roman"/>
      <w:szCs w:val="20"/>
    </w:rPr>
  </w:style>
  <w:style w:type="paragraph" w:customStyle="1" w:styleId="12">
    <w:name w:val="正文1"/>
    <w:qFormat/>
    <w:pPr>
      <w:jc w:val="both"/>
    </w:pPr>
    <w:rPr>
      <w:kern w:val="2"/>
      <w:sz w:val="21"/>
      <w:szCs w:val="21"/>
    </w:rPr>
  </w:style>
  <w:style w:type="paragraph" w:customStyle="1" w:styleId="40">
    <w:name w:val="修订4"/>
    <w:hidden/>
    <w:uiPriority w:val="99"/>
    <w:semiHidden/>
    <w:qFormat/>
    <w:rPr>
      <w:rFonts w:ascii="Calibri" w:hAnsi="Calibri" w:cs="宋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settings" Target="settings.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styles" Target="styles.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footnotes" Target="footnotes.xml"/><Relationship Id="rId28" Type="http://schemas.openxmlformats.org/officeDocument/2006/relationships/hyperlink" Target="http://www.chinawealth.com.cn" TargetMode="External"/><Relationship Id="rId10" Type="http://schemas.openxmlformats.org/officeDocument/2006/relationships/customXml" Target="../customXml/item10.xml"/><Relationship Id="rId19" Type="http://schemas.openxmlformats.org/officeDocument/2006/relationships/numbering" Target="numbering.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webSettings" Target="webSettings.xm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11.xml><?xml version="1.0" encoding="utf-8"?>
<mcd:customData xmlns="http://www.wps.cn/android/officeDocument/2013/mofficeCustomData" xmlns:mcd="http://www.wps.cn/android/officeDocument/2013/mofficeCustomData" version="2">
  <mcd:comments/>
</mcd:customData>
</file>

<file path=customXml/item12.xml><?xml version="1.0" encoding="utf-8"?>
<mcd:customData xmlns="http://www.wps.cn/android/officeDocument/2013/mofficeCustomData" xmlns:mcd="http://www.wps.cn/android/officeDocument/2013/mofficeCustomData" version="2">
  <mcd:comments/>
</mcd:customData>
</file>

<file path=customXml/item13.xml><?xml version="1.0" encoding="utf-8"?>
<mcd:customData xmlns="http://www.wps.cn/android/officeDocument/2013/mofficeCustomData" xmlns:mcd="http://www.wps.cn/android/officeDocument/2013/mofficeCustomData" version="2">
  <mcd:comments/>
</mcd:customData>
</file>

<file path=customXml/item14.xml><?xml version="1.0" encoding="utf-8"?>
<mcd:customData xmlns="http://www.wps.cn/android/officeDocument/2013/mofficeCustomData" xmlns:mcd="http://www.wps.cn/android/officeDocument/2013/mofficeCustomData" version="2">
  <mcd:comments/>
</mcd:customData>
</file>

<file path=customXml/item15.xml><?xml version="1.0" encoding="utf-8"?>
<mcd:customData xmlns="http://www.wps.cn/android/officeDocument/2013/mofficeCustomData" xmlns:mcd="http://www.wps.cn/android/officeDocument/2013/mofficeCustomData" version="2">
  <mcd:comments/>
</mcd:customData>
</file>

<file path=customXml/item16.xml><?xml version="1.0" encoding="utf-8"?>
<mcd:customData xmlns="http://www.wps.cn/android/officeDocument/2013/mofficeCustomData" xmlns:mcd="http://www.wps.cn/android/officeDocument/2013/mofficeCustomData" version="2">
  <mcd:comments/>
</mcd:customData>
</file>

<file path=customXml/item17.xml><?xml version="1.0" encoding="utf-8"?>
<s:customData xmlns="http://www.wps.cn/officeDocument/2013/wpsCustomData" xmlns:s="http://www.wps.cn/officeDocument/2013/wpsCustomData">
  <customSectProps>
    <customSectPr/>
    <customSectPr/>
  </customSectProps>
</s:customData>
</file>

<file path=customXml/item18.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14D43D-ED98-4C7B-A3AE-26D78B80CA82}">
  <ds:schemaRefs>
    <ds:schemaRef ds:uri="http://www.wps.cn/android/officeDocument/2013/mofficeCustomData"/>
  </ds:schemaRefs>
</ds:datastoreItem>
</file>

<file path=customXml/itemProps2.xml><?xml version="1.0" encoding="utf-8"?>
<ds:datastoreItem xmlns:ds="http://schemas.openxmlformats.org/officeDocument/2006/customXml" ds:itemID="{A06CD169-7F5C-4082-81B2-6ECAA9AF6149}">
  <ds:schemaRefs>
    <ds:schemaRef ds:uri="http://www.wps.cn/android/officeDocument/2013/mofficeCustomData"/>
  </ds:schemaRefs>
</ds:datastoreItem>
</file>

<file path=customXml/itemProps3.xml><?xml version="1.0" encoding="utf-8"?>
<ds:datastoreItem xmlns:ds="http://schemas.openxmlformats.org/officeDocument/2006/customXml" ds:itemID="{3A3C3A8D-C5E4-45AF-8B48-C3BF528808AD}">
  <ds:schemaRefs>
    <ds:schemaRef ds:uri="http://www.wps.cn/android/officeDocument/2013/mofficeCustomData"/>
  </ds:schemaRefs>
</ds:datastoreItem>
</file>

<file path=customXml/itemProps4.xml><?xml version="1.0" encoding="utf-8"?>
<ds:datastoreItem xmlns:ds="http://schemas.openxmlformats.org/officeDocument/2006/customXml" ds:itemID="{509BA638-9D3A-4AA3-A169-FF78BC0E4BE9}">
  <ds:schemaRefs>
    <ds:schemaRef ds:uri="http://www.wps.cn/android/officeDocument/2013/mofficeCustomData"/>
  </ds:schemaRefs>
</ds:datastoreItem>
</file>

<file path=customXml/itemProps5.xml><?xml version="1.0" encoding="utf-8"?>
<ds:datastoreItem xmlns:ds="http://schemas.openxmlformats.org/officeDocument/2006/customXml" ds:itemID="{7E5C9D84-6DB6-48FB-8632-D5279FC233C8}">
  <ds:schemaRefs>
    <ds:schemaRef ds:uri="http://www.wps.cn/android/officeDocument/2013/mofficeCustomData"/>
  </ds:schemaRefs>
</ds:datastoreItem>
</file>

<file path=customXml/itemProps6.xml><?xml version="1.0" encoding="utf-8"?>
<ds:datastoreItem xmlns:ds="http://schemas.openxmlformats.org/officeDocument/2006/customXml" ds:itemID="{CF487381-D648-48A1-B1E4-A4540B0D3650}">
  <ds:schemaRefs>
    <ds:schemaRef ds:uri="http://www.wps.cn/android/officeDocument/2013/mofficeCustomData"/>
  </ds:schemaRefs>
</ds:datastoreItem>
</file>

<file path=customXml/itemProps7.xml><?xml version="1.0" encoding="utf-8"?>
<ds:datastoreItem xmlns:ds="http://schemas.openxmlformats.org/officeDocument/2006/customXml" ds:itemID="{D902962D-C8CC-43BF-804A-CD60AE6D7475}">
  <ds:schemaRefs>
    <ds:schemaRef ds:uri="http://www.wps.cn/android/officeDocument/2013/mofficeCustomData"/>
  </ds:schemaRefs>
</ds:datastoreItem>
</file>

<file path=customXml/itemProps8.xml><?xml version="1.0" encoding="utf-8"?>
<ds:datastoreItem xmlns:ds="http://schemas.openxmlformats.org/officeDocument/2006/customXml" ds:itemID="{1990A2D8-324F-45D5-B9CD-07245ED2860B}">
  <ds:schemaRefs>
    <ds:schemaRef ds:uri="http://www.wps.cn/android/officeDocument/2013/mofficeCustomData"/>
  </ds:schemaRefs>
</ds:datastoreItem>
</file>

<file path=customXml/itemProps9.xml><?xml version="1.0" encoding="utf-8"?>
<ds:datastoreItem xmlns:ds="http://schemas.openxmlformats.org/officeDocument/2006/customXml" ds:itemID="{2108FF18-8EC8-4170-A536-1AA8E39CC797}">
  <ds:schemaRefs>
    <ds:schemaRef ds:uri="http://www.wps.cn/android/officeDocument/2013/mofficeCustomData"/>
  </ds:schemaRefs>
</ds:datastoreItem>
</file>

<file path=customXml/itemProps10.xml><?xml version="1.0" encoding="utf-8"?>
<ds:datastoreItem xmlns:ds="http://schemas.openxmlformats.org/officeDocument/2006/customXml" ds:itemID="{AC86F3EB-DB57-4B60-8A7E-BBB67A22EE0B}">
  <ds:schemaRefs>
    <ds:schemaRef ds:uri="http://www.wps.cn/android/officeDocument/2013/mofficeCustomData"/>
  </ds:schemaRefs>
</ds:datastoreItem>
</file>

<file path=customXml/itemProps11.xml><?xml version="1.0" encoding="utf-8"?>
<ds:datastoreItem xmlns:ds="http://schemas.openxmlformats.org/officeDocument/2006/customXml" ds:itemID="{EC45DDBE-A426-47CA-BC62-D025DE29F1BC}">
  <ds:schemaRefs>
    <ds:schemaRef ds:uri="http://www.wps.cn/android/officeDocument/2013/mofficeCustomData"/>
  </ds:schemaRefs>
</ds:datastoreItem>
</file>

<file path=customXml/itemProps12.xml><?xml version="1.0" encoding="utf-8"?>
<ds:datastoreItem xmlns:ds="http://schemas.openxmlformats.org/officeDocument/2006/customXml" ds:itemID="{79B37214-9E52-4241-8DD2-9E9CD9442006}">
  <ds:schemaRefs>
    <ds:schemaRef ds:uri="http://www.wps.cn/android/officeDocument/2013/mofficeCustomData"/>
  </ds:schemaRefs>
</ds:datastoreItem>
</file>

<file path=customXml/itemProps13.xml><?xml version="1.0" encoding="utf-8"?>
<ds:datastoreItem xmlns:ds="http://schemas.openxmlformats.org/officeDocument/2006/customXml" ds:itemID="{1A3BDF38-4832-4575-A8AB-7A1679738229}">
  <ds:schemaRefs>
    <ds:schemaRef ds:uri="http://www.wps.cn/android/officeDocument/2013/mofficeCustomData"/>
  </ds:schemaRefs>
</ds:datastoreItem>
</file>

<file path=customXml/itemProps14.xml><?xml version="1.0" encoding="utf-8"?>
<ds:datastoreItem xmlns:ds="http://schemas.openxmlformats.org/officeDocument/2006/customXml" ds:itemID="{0A7AA9EF-3B8C-4BAA-9155-A6E3E5337D3C}">
  <ds:schemaRefs>
    <ds:schemaRef ds:uri="http://www.wps.cn/android/officeDocument/2013/mofficeCustomData"/>
  </ds:schemaRefs>
</ds:datastoreItem>
</file>

<file path=customXml/itemProps15.xml><?xml version="1.0" encoding="utf-8"?>
<ds:datastoreItem xmlns:ds="http://schemas.openxmlformats.org/officeDocument/2006/customXml" ds:itemID="{E6D3D55C-3DD8-4C31-8069-E5508DD844FB}">
  <ds:schemaRefs>
    <ds:schemaRef ds:uri="http://www.wps.cn/android/officeDocument/2013/mofficeCustomData"/>
  </ds:schemaRefs>
</ds:datastoreItem>
</file>

<file path=customXml/itemProps16.xml><?xml version="1.0" encoding="utf-8"?>
<ds:datastoreItem xmlns:ds="http://schemas.openxmlformats.org/officeDocument/2006/customXml" ds:itemID="{BEEE0313-55EB-45FA-BBBD-C0232D367255}">
  <ds:schemaRefs>
    <ds:schemaRef ds:uri="http://www.wps.cn/android/officeDocument/2013/mofficeCustomData"/>
  </ds:schemaRefs>
</ds:datastoreItem>
</file>

<file path=customXml/itemProps17.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18.xml><?xml version="1.0" encoding="utf-8"?>
<ds:datastoreItem xmlns:ds="http://schemas.openxmlformats.org/officeDocument/2006/customXml" ds:itemID="{7DAD2761-6566-4D0D-AD22-11F38F7F5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3590</Words>
  <Characters>20464</Characters>
  <Application>Microsoft Office Word</Application>
  <DocSecurity>0</DocSecurity>
  <Lines>170</Lines>
  <Paragraphs>48</Paragraphs>
  <ScaleCrop>false</ScaleCrop>
  <Company>Microsoft</Company>
  <LinksUpToDate>false</LinksUpToDate>
  <CharactersWithSpaces>24006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张淼雯</dc:creator>
  <cp:lastModifiedBy>郭向新</cp:lastModifiedBy>
  <cp:revision>126</cp:revision>
  <cp:lastPrinted>2020-09-21T06:35:00Z</cp:lastPrinted>
  <dcterms:created xsi:type="dcterms:W3CDTF">2021-09-06T06:01:00Z</dcterms:created>
  <dcterms:modified xsi:type="dcterms:W3CDTF">2023-09-27T09:17:00Z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2052-11.8.2.10164</vt:lpwstr>
  </property>
</Properties>
</file>