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8C" w:rsidRDefault="00C1729C">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理财产品</w:t>
      </w:r>
      <w:r>
        <w:rPr>
          <w:rStyle w:val="af0"/>
          <w:rFonts w:ascii="黑体" w:eastAsia="黑体" w:hAnsi="黑体" w:hint="eastAsia"/>
          <w:sz w:val="44"/>
          <w:szCs w:val="44"/>
        </w:rPr>
        <w:t xml:space="preserve"> </w:t>
      </w: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rPr>
          <w:rStyle w:val="af0"/>
          <w:rFonts w:ascii="黑体" w:eastAsia="黑体" w:hAnsi="黑体"/>
          <w:bCs w:val="0"/>
          <w:sz w:val="28"/>
          <w:szCs w:val="28"/>
        </w:rPr>
      </w:pPr>
    </w:p>
    <w:p w:rsidR="004A6D8C" w:rsidRDefault="004A6D8C">
      <w:pPr>
        <w:adjustRightInd w:val="0"/>
        <w:spacing w:line="360" w:lineRule="auto"/>
        <w:jc w:val="center"/>
        <w:rPr>
          <w:rStyle w:val="af0"/>
          <w:rFonts w:ascii="黑体" w:eastAsia="黑体" w:hAnsi="黑体"/>
          <w:bCs w:val="0"/>
          <w:sz w:val="28"/>
          <w:szCs w:val="28"/>
        </w:rPr>
      </w:pPr>
    </w:p>
    <w:p w:rsidR="004A6D8C" w:rsidRDefault="004A6D8C">
      <w:pPr>
        <w:adjustRightInd w:val="0"/>
        <w:spacing w:line="360" w:lineRule="auto"/>
        <w:jc w:val="center"/>
        <w:rPr>
          <w:rStyle w:val="af0"/>
          <w:rFonts w:ascii="黑体" w:eastAsia="黑体" w:hAnsi="黑体"/>
          <w:bCs w:val="0"/>
          <w:sz w:val="28"/>
          <w:szCs w:val="28"/>
        </w:rPr>
      </w:pPr>
    </w:p>
    <w:p w:rsidR="004A6D8C" w:rsidRDefault="00C1729C">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Pr>
          <w:rStyle w:val="af0"/>
          <w:rFonts w:ascii="宋体" w:hAnsi="宋体" w:cs="Times New Roman" w:hint="eastAsia"/>
          <w:sz w:val="32"/>
          <w:szCs w:val="32"/>
        </w:rPr>
        <w:t>10</w:t>
      </w:r>
      <w:r>
        <w:rPr>
          <w:rStyle w:val="af0"/>
          <w:rFonts w:ascii="宋体" w:hAnsi="宋体" w:cs="Times New Roman" w:hint="eastAsia"/>
          <w:sz w:val="32"/>
          <w:szCs w:val="32"/>
        </w:rPr>
        <w:t>】月</w:t>
      </w:r>
    </w:p>
    <w:p w:rsidR="004A6D8C" w:rsidRDefault="004A6D8C">
      <w:pPr>
        <w:adjustRightInd w:val="0"/>
        <w:spacing w:line="360" w:lineRule="auto"/>
        <w:jc w:val="center"/>
        <w:rPr>
          <w:rStyle w:val="af0"/>
          <w:rFonts w:ascii="宋体" w:hAnsi="宋体"/>
          <w:sz w:val="32"/>
          <w:szCs w:val="32"/>
        </w:rPr>
      </w:pPr>
    </w:p>
    <w:p w:rsidR="004A6D8C" w:rsidRDefault="00C1729C">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4A6D8C" w:rsidRDefault="00C1729C">
          <w:pPr>
            <w:pStyle w:val="TOC2"/>
            <w:spacing w:line="360" w:lineRule="auto"/>
            <w:jc w:val="center"/>
          </w:pPr>
          <w:r>
            <w:rPr>
              <w:lang w:val="zh-CN"/>
            </w:rPr>
            <w:t>目录</w:t>
          </w:r>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Pr>
                <w:rStyle w:val="af2"/>
                <w:rFonts w:hAnsi="宋体" w:hint="eastAsia"/>
              </w:rPr>
              <w:t>第二条</w:t>
            </w:r>
            <w:r>
              <w:rPr>
                <w:rStyle w:val="af2"/>
                <w:rFonts w:hAnsi="宋体"/>
              </w:rPr>
              <w:t xml:space="preserve">  </w:t>
            </w:r>
            <w:r>
              <w:rPr>
                <w:rStyle w:val="af2"/>
                <w:rFonts w:hAnsi="宋体" w:hint="eastAsia"/>
              </w:rPr>
              <w:t>理财产品基本情况</w:t>
            </w:r>
            <w:r>
              <w:tab/>
            </w:r>
            <w:r>
              <w:fldChar w:fldCharType="begin"/>
            </w:r>
            <w:r>
              <w:instrText xml:space="preserve"> PAGEREF _Toc88747121 \h </w:instrText>
            </w:r>
            <w:r>
              <w:fldChar w:fldCharType="separate"/>
            </w:r>
            <w:r>
              <w:t>5</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PAGERE</w:instrText>
            </w:r>
            <w:r>
              <w:instrText xml:space="preserve">F _Toc88747122 \h </w:instrText>
            </w:r>
            <w:r>
              <w:fldChar w:fldCharType="separate"/>
            </w:r>
            <w:r>
              <w:t>8</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_Toc88747123 \h </w:instrText>
            </w:r>
            <w:r>
              <w:fldChar w:fldCharType="separate"/>
            </w:r>
            <w:r>
              <w:t>10</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_Toc88747124 \h </w:instrText>
            </w:r>
            <w:r>
              <w:fldChar w:fldCharType="separate"/>
            </w:r>
            <w:r>
              <w:t>11</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_Toc88747125 \h </w:instrText>
            </w:r>
            <w:r>
              <w:fldChar w:fldCharType="separate"/>
            </w:r>
            <w:r>
              <w:t>14</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_Toc88747126 \h </w:instrText>
            </w:r>
            <w:r>
              <w:fldChar w:fldCharType="separate"/>
            </w:r>
            <w:r>
              <w:t>15</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_Toc88747127 \h </w:instrText>
            </w:r>
            <w:r>
              <w:fldChar w:fldCharType="separate"/>
            </w:r>
            <w:r>
              <w:t>19</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理财产品的费用与税收</w:t>
            </w:r>
            <w:r>
              <w:tab/>
            </w:r>
            <w:r>
              <w:fldChar w:fldCharType="begin"/>
            </w:r>
            <w:r>
              <w:instrText xml:space="preserve"> P</w:instrText>
            </w:r>
            <w:r>
              <w:instrText xml:space="preserve">AGEREF _Toc88747128 \h </w:instrText>
            </w:r>
            <w:r>
              <w:fldChar w:fldCharType="separate"/>
            </w:r>
            <w:r>
              <w:t>20</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_Toc88747129 \h </w:instrText>
            </w:r>
            <w:r>
              <w:fldChar w:fldCharType="separate"/>
            </w:r>
            <w:r>
              <w:t>23</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_Toc88747130 \h </w:instrText>
            </w:r>
            <w:r>
              <w:fldChar w:fldCharType="separate"/>
            </w:r>
            <w:r>
              <w:t>25</w:t>
            </w:r>
            <w:r>
              <w:fldChar w:fldCharType="end"/>
            </w:r>
          </w:hyperlink>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_Toc88747131 \h </w:instrText>
            </w:r>
            <w:r>
              <w:fldChar w:fldCharType="separate"/>
            </w:r>
            <w:r>
              <w:t>27</w:t>
            </w:r>
            <w:r>
              <w:fldChar w:fldCharType="end"/>
            </w:r>
          </w:hyperlink>
        </w:p>
        <w:p w:rsidR="004A6D8C" w:rsidRDefault="00C1729C">
          <w:pPr>
            <w:spacing w:line="360" w:lineRule="auto"/>
          </w:pPr>
          <w:r>
            <w:fldChar w:fldCharType="end"/>
          </w:r>
        </w:p>
      </w:sdtContent>
    </w:sdt>
    <w:p w:rsidR="004A6D8C" w:rsidRDefault="004A6D8C">
      <w:pPr>
        <w:widowControl/>
        <w:spacing w:line="360" w:lineRule="auto"/>
        <w:jc w:val="left"/>
        <w:rPr>
          <w:rFonts w:ascii="Times New Roman"/>
          <w:sz w:val="30"/>
        </w:rPr>
      </w:pPr>
    </w:p>
    <w:p w:rsidR="004A6D8C" w:rsidRDefault="004A6D8C">
      <w:pPr>
        <w:widowControl/>
        <w:spacing w:line="360" w:lineRule="auto"/>
        <w:jc w:val="left"/>
        <w:rPr>
          <w:rFonts w:ascii="Times New Roman"/>
          <w:sz w:val="30"/>
        </w:rPr>
        <w:sectPr w:rsidR="004A6D8C">
          <w:headerReference w:type="default" r:id="rId26"/>
          <w:footerReference w:type="default" r:id="rId27"/>
          <w:pgSz w:w="11906" w:h="16838"/>
          <w:pgMar w:top="1276" w:right="1800" w:bottom="1418" w:left="1800" w:header="567" w:footer="850" w:gutter="0"/>
          <w:cols w:space="425"/>
          <w:docGrid w:type="lines" w:linePitch="312"/>
        </w:sectPr>
      </w:pPr>
    </w:p>
    <w:p w:rsidR="004A6D8C" w:rsidRDefault="00C1729C">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）银保监会认定的其他业务活动。各</w:t>
      </w:r>
      <w:r>
        <w:rPr>
          <w:rFonts w:asciiTheme="majorEastAsia" w:eastAsiaTheme="majorEastAsia" w:hAnsiTheme="majorEastAsia" w:hint="eastAsia"/>
          <w:bCs/>
          <w:color w:val="auto"/>
          <w:sz w:val="18"/>
          <w:szCs w:val="18"/>
        </w:rPr>
        <w:t>销售机构的具体名单</w:t>
      </w:r>
      <w:r>
        <w:rPr>
          <w:rFonts w:asciiTheme="majorEastAsia" w:eastAsiaTheme="majorEastAsia" w:hAnsiTheme="majorEastAsia" w:hint="eastAsia"/>
          <w:bCs/>
          <w:color w:val="auto"/>
          <w:sz w:val="18"/>
          <w:szCs w:val="18"/>
        </w:rPr>
        <w:t>见产品管理人届时发布的相关公告及相关《（代理）销售协议书》中的约定。</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）合格投资者：合格投资者是指具备相应风险识别能力和风险承受能力，投资于单只理财产品不低于一定金额且符合下列条件的自然人、法人或者依法成立的其他组织：</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w:t>
      </w:r>
      <w:r>
        <w:rPr>
          <w:rFonts w:asciiTheme="majorEastAsia" w:eastAsiaTheme="majorEastAsia" w:hAnsiTheme="majorEastAsia"/>
          <w:bCs/>
          <w:sz w:val="18"/>
          <w:szCs w:val="18"/>
        </w:rPr>
        <w:t>民币的法人或者依法成立的其他组织；</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4A6D8C" w:rsidRDefault="00C1729C">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w:t>
      </w:r>
      <w:r>
        <w:rPr>
          <w:rFonts w:asciiTheme="majorEastAsia" w:eastAsiaTheme="majorEastAsia" w:hAnsiTheme="majorEastAsia" w:hint="eastAsia"/>
          <w:bCs/>
          <w:sz w:val="18"/>
          <w:szCs w:val="18"/>
        </w:rPr>
        <w:t>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投资协议书》，以及对该文件的有效修改或补充。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产品说明书》，以及对该文件的有效修改或补充。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（代理）销售协议书》（文件名称以代理销售机构实际编制为准），以及对该文件的有效修改或补充。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风险揭示书》（文件名称以代理销售机构实际编制为准），以及对该文件的有效修改或补充。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w:t>
      </w:r>
      <w:r>
        <w:rPr>
          <w:rFonts w:asciiTheme="majorEastAsia" w:eastAsiaTheme="majorEastAsia" w:hAnsiTheme="majorEastAsia" w:hint="eastAsia"/>
          <w:bCs/>
          <w:sz w:val="18"/>
          <w:szCs w:val="18"/>
        </w:rPr>
        <w:t>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投资者权益须知》（文件名称以代理销售机构实际编制为准），以及对该文件的有效修改或补充。</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w:t>
      </w:r>
      <w:r>
        <w:rPr>
          <w:rFonts w:asciiTheme="majorEastAsia" w:eastAsiaTheme="majorEastAsia" w:hAnsiTheme="majorEastAsia" w:hint="eastAsia"/>
          <w:bCs/>
          <w:sz w:val="18"/>
          <w:szCs w:val="18"/>
        </w:rPr>
        <w:t>机构应采用对应较高风险的</w:t>
      </w:r>
      <w:r>
        <w:rPr>
          <w:rFonts w:asciiTheme="majorEastAsia" w:eastAsiaTheme="majorEastAsia" w:hAnsiTheme="majorEastAsia" w:hint="eastAsia"/>
          <w:bCs/>
          <w:sz w:val="18"/>
          <w:szCs w:val="18"/>
        </w:rPr>
        <w:lastRenderedPageBreak/>
        <w:t>评级结果。</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指产品当前份额净值及产品成立到现在理财产品分红之和</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4A6D8C" w:rsidRDefault="00C1729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4A6D8C" w:rsidRDefault="00C1729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15</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w:t>
      </w:r>
      <w:r>
        <w:rPr>
          <w:rFonts w:asciiTheme="majorEastAsia" w:eastAsiaTheme="majorEastAsia" w:hAnsiTheme="majorEastAsia"/>
          <w:bCs/>
          <w:color w:val="auto"/>
          <w:sz w:val="18"/>
          <w:szCs w:val="18"/>
        </w:rPr>
        <w:t>）终止分配：指在理财产品终止日当日及之后的理财产品利益分配。</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4A6D8C" w:rsidRDefault="00C1729C">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4A6D8C" w:rsidRDefault="00C1729C">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4A6D8C" w:rsidRDefault="00C1729C">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4A6D8C" w:rsidRDefault="00C1729C">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4A6D8C">
        <w:trPr>
          <w:trHeight w:val="401"/>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4A6D8C" w:rsidRDefault="00C1729C">
            <w:pPr>
              <w:spacing w:line="360" w:lineRule="auto"/>
              <w:jc w:val="left"/>
              <w:rPr>
                <w:rFonts w:asciiTheme="minorEastAsia" w:hAnsiTheme="minorEastAsia"/>
                <w:sz w:val="18"/>
                <w:szCs w:val="18"/>
              </w:rPr>
            </w:pPr>
            <w:r>
              <w:rPr>
                <w:rFonts w:asciiTheme="minorEastAsia" w:hAnsiTheme="minorEastAsia" w:hint="eastAsia"/>
                <w:sz w:val="18"/>
                <w:szCs w:val="18"/>
              </w:rPr>
              <w:t>兴银理财稳利丰收封闭式</w:t>
            </w:r>
            <w:r>
              <w:rPr>
                <w:rFonts w:asciiTheme="minorEastAsia" w:hAnsiTheme="minorEastAsia" w:hint="eastAsia"/>
                <w:sz w:val="18"/>
                <w:szCs w:val="18"/>
              </w:rPr>
              <w:t>3005</w:t>
            </w:r>
            <w:r>
              <w:rPr>
                <w:rFonts w:asciiTheme="minorEastAsia" w:hAnsiTheme="minorEastAsia" w:hint="eastAsia"/>
                <w:sz w:val="18"/>
                <w:szCs w:val="18"/>
              </w:rPr>
              <w:t>号固收类理财产品</w:t>
            </w:r>
          </w:p>
        </w:tc>
      </w:tr>
      <w:tr w:rsidR="004A6D8C">
        <w:trPr>
          <w:trHeight w:val="383"/>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4A6D8C" w:rsidRDefault="00C1729C">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w:t>
            </w:r>
            <w:r>
              <w:rPr>
                <w:rFonts w:asciiTheme="minorEastAsia" w:hAnsiTheme="minorEastAsia" w:hint="eastAsia"/>
                <w:sz w:val="18"/>
                <w:szCs w:val="18"/>
              </w:rPr>
              <w:t>3005</w:t>
            </w:r>
            <w:r>
              <w:rPr>
                <w:rFonts w:asciiTheme="minorEastAsia" w:hAnsiTheme="minorEastAsia" w:hint="eastAsia"/>
                <w:sz w:val="18"/>
                <w:szCs w:val="18"/>
              </w:rPr>
              <w:t>号</w:t>
            </w:r>
            <w:r>
              <w:rPr>
                <w:rFonts w:asciiTheme="minorEastAsia" w:hAnsiTheme="minorEastAsia" w:hint="eastAsia"/>
                <w:sz w:val="18"/>
                <w:szCs w:val="18"/>
              </w:rPr>
              <w:t>A</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A</w:t>
            </w:r>
            <w:r>
              <w:rPr>
                <w:rFonts w:asciiTheme="minorEastAsia" w:hAnsiTheme="minorEastAsia" w:hint="eastAsia"/>
                <w:sz w:val="18"/>
                <w:szCs w:val="18"/>
              </w:rPr>
              <w:t>】类份额）</w:t>
            </w:r>
          </w:p>
          <w:p w:rsidR="004A6D8C" w:rsidRDefault="00C1729C">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w:t>
            </w:r>
            <w:r>
              <w:rPr>
                <w:rFonts w:asciiTheme="minorEastAsia" w:hAnsiTheme="minorEastAsia" w:hint="eastAsia"/>
                <w:sz w:val="18"/>
                <w:szCs w:val="18"/>
              </w:rPr>
              <w:t>3005</w:t>
            </w:r>
            <w:r>
              <w:rPr>
                <w:rFonts w:asciiTheme="minorEastAsia" w:hAnsiTheme="minorEastAsia" w:hint="eastAsia"/>
                <w:sz w:val="18"/>
                <w:szCs w:val="18"/>
              </w:rPr>
              <w:t>号</w:t>
            </w:r>
            <w:r>
              <w:rPr>
                <w:rFonts w:asciiTheme="minorEastAsia" w:hAnsiTheme="minorEastAsia" w:hint="eastAsia"/>
                <w:sz w:val="18"/>
                <w:szCs w:val="18"/>
              </w:rPr>
              <w:t>B</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B</w:t>
            </w:r>
            <w:r>
              <w:rPr>
                <w:rFonts w:asciiTheme="minorEastAsia" w:hAnsiTheme="minorEastAsia" w:hint="eastAsia"/>
                <w:sz w:val="18"/>
                <w:szCs w:val="18"/>
              </w:rPr>
              <w:t>】类份额）</w:t>
            </w:r>
          </w:p>
        </w:tc>
      </w:tr>
      <w:tr w:rsidR="004A6D8C">
        <w:trPr>
          <w:trHeight w:val="251"/>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4A6D8C" w:rsidRDefault="00C1729C">
            <w:pPr>
              <w:spacing w:line="360" w:lineRule="auto"/>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Z7002023000998</w:t>
            </w:r>
            <w:r>
              <w:rPr>
                <w:rFonts w:asciiTheme="minorEastAsia" w:hAnsiTheme="minorEastAsia" w:hint="eastAsia"/>
                <w:sz w:val="18"/>
                <w:szCs w:val="18"/>
              </w:rPr>
              <w:t>】投资者可依据理财产品登记编码在中国理财网</w:t>
            </w:r>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4A6D8C">
        <w:trPr>
          <w:trHeight w:val="251"/>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4A6D8C" w:rsidRDefault="00C1729C">
            <w:pPr>
              <w:spacing w:line="360" w:lineRule="auto"/>
              <w:jc w:val="left"/>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9C333050</w:t>
            </w:r>
            <w:r>
              <w:rPr>
                <w:rFonts w:asciiTheme="minorEastAsia" w:hAnsiTheme="minorEastAsia" w:hint="eastAsia"/>
                <w:sz w:val="18"/>
                <w:szCs w:val="18"/>
              </w:rPr>
              <w:t>】</w:t>
            </w:r>
          </w:p>
        </w:tc>
      </w:tr>
      <w:tr w:rsidR="004A6D8C">
        <w:trPr>
          <w:trHeight w:val="50"/>
          <w:jc w:val="center"/>
        </w:trPr>
        <w:tc>
          <w:tcPr>
            <w:tcW w:w="1828" w:type="dxa"/>
            <w:shd w:val="solid" w:color="FFFFFF" w:fill="FFFFFF"/>
          </w:tcPr>
          <w:p w:rsidR="004A6D8C" w:rsidRDefault="00C1729C">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4A6D8C" w:rsidRDefault="00C1729C">
            <w:pPr>
              <w:spacing w:line="360" w:lineRule="auto"/>
              <w:jc w:val="left"/>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9C33305A</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A</w:t>
            </w:r>
            <w:r>
              <w:rPr>
                <w:rFonts w:asciiTheme="minorEastAsia" w:hAnsiTheme="minorEastAsia" w:hint="eastAsia"/>
                <w:sz w:val="18"/>
                <w:szCs w:val="18"/>
              </w:rPr>
              <w:t>】类份额）</w:t>
            </w:r>
          </w:p>
          <w:p w:rsidR="004A6D8C" w:rsidRDefault="00C1729C">
            <w:pPr>
              <w:spacing w:line="360" w:lineRule="auto"/>
              <w:jc w:val="left"/>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9C33305B</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B</w:t>
            </w:r>
            <w:r>
              <w:rPr>
                <w:rFonts w:asciiTheme="minorEastAsia" w:hAnsiTheme="minorEastAsia" w:hint="eastAsia"/>
                <w:sz w:val="18"/>
                <w:szCs w:val="18"/>
              </w:rPr>
              <w:t>】类份额）</w:t>
            </w:r>
          </w:p>
        </w:tc>
      </w:tr>
      <w:tr w:rsidR="004A6D8C">
        <w:trPr>
          <w:trHeight w:val="251"/>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4A6D8C" w:rsidRDefault="00C1729C">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本产品设置不同的理财产品份额，每类理财产品份额以下内容将单独设置：</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4A6D8C" w:rsidRDefault="00C1729C">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4A6D8C" w:rsidRDefault="00C1729C">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4A6D8C" w:rsidRDefault="00C1729C">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宋体" w:hAnsi="宋体" w:hint="eastAsia"/>
                <w:bCs/>
                <w:sz w:val="18"/>
                <w:szCs w:val="18"/>
              </w:rPr>
              <w:t>封闭式</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4A6D8C" w:rsidRDefault="00C1729C">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4A6D8C" w:rsidRDefault="00C1729C">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w:t>
            </w:r>
            <w:r>
              <w:rPr>
                <w:rFonts w:asciiTheme="majorEastAsia" w:eastAsiaTheme="majorEastAsia" w:hAnsiTheme="majorEastAsia"/>
                <w:sz w:val="18"/>
                <w:szCs w:val="18"/>
              </w:rPr>
              <w:lastRenderedPageBreak/>
              <w:t>品</w:t>
            </w:r>
            <w:r>
              <w:rPr>
                <w:rFonts w:ascii="宋体" w:hAnsi="宋体" w:hint="eastAsia"/>
                <w:bCs/>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产品</w:t>
            </w:r>
            <w:r>
              <w:rPr>
                <w:rFonts w:asciiTheme="majorEastAsia" w:eastAsiaTheme="majorEastAsia" w:hAnsiTheme="majorEastAsia"/>
                <w:b/>
                <w:sz w:val="18"/>
                <w:szCs w:val="18"/>
              </w:rPr>
              <w:t>收益特征</w:t>
            </w:r>
          </w:p>
        </w:tc>
        <w:tc>
          <w:tcPr>
            <w:tcW w:w="7816" w:type="dxa"/>
            <w:shd w:val="solid" w:color="FFFFFF" w:fill="FFFFFF"/>
            <w:vAlign w:val="center"/>
          </w:tcPr>
          <w:p w:rsidR="004A6D8C" w:rsidRDefault="00C1729C">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4A6D8C" w:rsidRDefault="00C1729C">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4A6D8C" w:rsidRDefault="00C1729C">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hint="eastAsia"/>
                <w:bCs/>
                <w:sz w:val="18"/>
                <w:szCs w:val="18"/>
              </w:rPr>
              <w:t xml:space="preserve"> </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4A6D8C" w:rsidRDefault="00C1729C">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4A6D8C" w:rsidRDefault="00C1729C">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4A6D8C" w:rsidRDefault="00C1729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4A6D8C" w:rsidRDefault="00C1729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4A6D8C" w:rsidRDefault="00C1729C">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4A6D8C" w:rsidRDefault="00C1729C">
            <w:pPr>
              <w:spacing w:line="360" w:lineRule="auto"/>
              <w:jc w:val="left"/>
              <w:rPr>
                <w:rFonts w:ascii="宋体" w:hAnsi="宋体"/>
                <w:sz w:val="18"/>
                <w:szCs w:val="18"/>
              </w:rPr>
            </w:pPr>
            <w:r>
              <w:rPr>
                <w:rFonts w:ascii="宋体" w:hAnsi="宋体" w:hint="eastAsia"/>
                <w:sz w:val="18"/>
                <w:szCs w:val="18"/>
              </w:rPr>
              <w:t>本产品由产品管理人销售。</w:t>
            </w:r>
          </w:p>
          <w:p w:rsidR="004A6D8C" w:rsidRDefault="00C1729C">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4A6D8C" w:rsidRDefault="00C1729C">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4A6D8C" w:rsidRDefault="00C1729C">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hint="eastAsia"/>
                <w:bCs/>
                <w:sz w:val="18"/>
                <w:szCs w:val="18"/>
              </w:rPr>
              <w:t>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】亿元。</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w:t>
            </w:r>
            <w:r>
              <w:rPr>
                <w:rFonts w:asciiTheme="majorEastAsia" w:eastAsiaTheme="majorEastAsia" w:hAnsiTheme="majorEastAsia" w:cs="仿宋_GB2312" w:hint="eastAsia"/>
                <w:kern w:val="0"/>
                <w:sz w:val="18"/>
                <w:szCs w:val="18"/>
              </w:rPr>
              <w:t>】个月</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hint="eastAsia"/>
                <w:bCs/>
                <w:sz w:val="18"/>
                <w:szCs w:val="18"/>
              </w:rPr>
              <w:t>【</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Pr>
                <w:rFonts w:asciiTheme="minorEastAsia" w:hAnsiTheme="minorEastAsia" w:hint="eastAsia"/>
                <w:bCs/>
                <w:sz w:val="18"/>
                <w:szCs w:val="18"/>
              </w:rPr>
              <w:t>10</w:t>
            </w:r>
            <w:r>
              <w:rPr>
                <w:rFonts w:asciiTheme="minorEastAsia" w:hAnsiTheme="minorEastAsia" w:hint="eastAsia"/>
                <w:bCs/>
                <w:sz w:val="18"/>
                <w:szCs w:val="18"/>
              </w:rPr>
              <w:t>】月【</w:t>
            </w:r>
            <w:r>
              <w:rPr>
                <w:rFonts w:asciiTheme="minorEastAsia" w:hAnsiTheme="minorEastAsia" w:hint="eastAsia"/>
                <w:bCs/>
                <w:sz w:val="18"/>
                <w:szCs w:val="18"/>
              </w:rPr>
              <w:t>12</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w:t>
            </w:r>
            <w:r>
              <w:rPr>
                <w:rFonts w:asciiTheme="minorEastAsia" w:hAnsiTheme="minorEastAsia" w:hint="eastAsia"/>
                <w:bCs/>
                <w:sz w:val="18"/>
                <w:szCs w:val="18"/>
              </w:rPr>
              <w:t>至【</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Pr>
                <w:rFonts w:asciiTheme="minorEastAsia" w:hAnsiTheme="minorEastAsia" w:hint="eastAsia"/>
                <w:bCs/>
                <w:sz w:val="18"/>
                <w:szCs w:val="18"/>
              </w:rPr>
              <w:t>10</w:t>
            </w:r>
            <w:r>
              <w:rPr>
                <w:rFonts w:asciiTheme="minorEastAsia" w:hAnsiTheme="minorEastAsia" w:hint="eastAsia"/>
                <w:bCs/>
                <w:sz w:val="18"/>
                <w:szCs w:val="18"/>
              </w:rPr>
              <w:t>】月【</w:t>
            </w:r>
            <w:r>
              <w:rPr>
                <w:rFonts w:asciiTheme="minorEastAsia" w:hAnsiTheme="minorEastAsia" w:hint="eastAsia"/>
                <w:bCs/>
                <w:sz w:val="18"/>
                <w:szCs w:val="18"/>
              </w:rPr>
              <w:t>18</w:t>
            </w:r>
            <w:r>
              <w:rPr>
                <w:rFonts w:asciiTheme="minorEastAsia" w:hAnsiTheme="minorEastAsia" w:hint="eastAsia"/>
                <w:bCs/>
                <w:sz w:val="18"/>
                <w:szCs w:val="18"/>
              </w:rPr>
              <w:t>】日</w:t>
            </w:r>
            <w:r>
              <w:rPr>
                <w:rFonts w:asciiTheme="minorEastAsia" w:hAnsiTheme="minorEastAsia" w:hint="eastAsia"/>
                <w:bCs/>
                <w:sz w:val="18"/>
                <w:szCs w:val="18"/>
              </w:rPr>
              <w:t>17:00</w:t>
            </w:r>
            <w:r>
              <w:rPr>
                <w:rFonts w:asciiTheme="minorEastAsia" w:hAnsiTheme="minorEastAsia" w:hint="eastAsia"/>
                <w:bCs/>
                <w:sz w:val="18"/>
                <w:szCs w:val="18"/>
              </w:rPr>
              <w:t>。</w:t>
            </w:r>
          </w:p>
          <w:p w:rsidR="004A6D8C" w:rsidRDefault="00C1729C">
            <w:pPr>
              <w:spacing w:line="360" w:lineRule="auto"/>
              <w:rPr>
                <w:rFonts w:ascii="宋体" w:hAnsi="宋体"/>
                <w:bCs/>
                <w:sz w:val="18"/>
                <w:szCs w:val="18"/>
              </w:rPr>
            </w:pPr>
            <w:r>
              <w:rPr>
                <w:rFonts w:ascii="宋体" w:hAnsi="宋体"/>
                <w:bCs/>
                <w:sz w:val="18"/>
                <w:szCs w:val="18"/>
              </w:rPr>
              <w:lastRenderedPageBreak/>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4A6D8C" w:rsidRDefault="00C1729C">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w:t>
            </w:r>
            <w:r>
              <w:rPr>
                <w:rFonts w:ascii="宋体" w:hAnsi="宋体" w:hint="eastAsia"/>
                <w:bCs/>
                <w:sz w:val="18"/>
                <w:szCs w:val="18"/>
              </w:rPr>
              <w:t>/</w:t>
            </w:r>
            <w:r>
              <w:rPr>
                <w:rFonts w:ascii="宋体" w:hAnsi="宋体" w:hint="eastAsia"/>
                <w:bCs/>
                <w:sz w:val="18"/>
                <w:szCs w:val="18"/>
              </w:rPr>
              <w:t>募集期内的利息不计入认购资金</w:t>
            </w:r>
            <w:r>
              <w:rPr>
                <w:rFonts w:ascii="宋体" w:hAnsi="宋体" w:hint="eastAsia"/>
                <w:sz w:val="18"/>
              </w:rPr>
              <w:t>。</w:t>
            </w:r>
          </w:p>
          <w:p w:rsidR="004A6D8C" w:rsidRDefault="00C1729C">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4A6D8C" w:rsidRDefault="00C1729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4A6D8C" w:rsidRDefault="00C1729C">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w:t>
            </w:r>
            <w:r>
              <w:rPr>
                <w:rFonts w:asciiTheme="minorEastAsia" w:hAnsiTheme="minorEastAsia" w:cs="Times New Roman"/>
                <w:sz w:val="18"/>
                <w:szCs w:val="18"/>
              </w:rPr>
              <w:t>】年【</w:t>
            </w:r>
            <w:r>
              <w:rPr>
                <w:rFonts w:asciiTheme="minorEastAsia" w:hAnsiTheme="minorEastAsia" w:cs="Times New Roman" w:hint="eastAsia"/>
                <w:sz w:val="18"/>
                <w:szCs w:val="18"/>
              </w:rPr>
              <w:t>10</w:t>
            </w:r>
            <w:r>
              <w:rPr>
                <w:rFonts w:asciiTheme="minorEastAsia" w:hAnsiTheme="minorEastAsia" w:cs="Times New Roman" w:hint="eastAsia"/>
                <w:sz w:val="18"/>
                <w:szCs w:val="18"/>
              </w:rPr>
              <w:t>】月【</w:t>
            </w:r>
            <w:r>
              <w:rPr>
                <w:rFonts w:asciiTheme="minorEastAsia" w:hAnsiTheme="minorEastAsia" w:cs="Times New Roman" w:hint="eastAsia"/>
                <w:sz w:val="18"/>
                <w:szCs w:val="18"/>
              </w:rPr>
              <w:t>19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4A6D8C" w:rsidRDefault="00C1729C">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w:t>
            </w:r>
            <w:r>
              <w:rPr>
                <w:rFonts w:asciiTheme="minorEastAsia" w:hAnsiTheme="minorEastAsia" w:cs="Times New Roman" w:hint="eastAsia"/>
                <w:sz w:val="18"/>
                <w:szCs w:val="18"/>
              </w:rPr>
              <w:t>4</w:t>
            </w:r>
            <w:r>
              <w:rPr>
                <w:rFonts w:asciiTheme="minorEastAsia" w:hAnsiTheme="minorEastAsia" w:cs="Times New Roman"/>
                <w:sz w:val="18"/>
                <w:szCs w:val="18"/>
              </w:rPr>
              <w:t>】年【</w:t>
            </w:r>
            <w:r>
              <w:rPr>
                <w:rFonts w:asciiTheme="minorEastAsia" w:hAnsiTheme="minorEastAsia" w:cs="Times New Roman"/>
                <w:sz w:val="18"/>
                <w:szCs w:val="18"/>
              </w:rPr>
              <w:t>1</w:t>
            </w:r>
            <w:r>
              <w:rPr>
                <w:rFonts w:asciiTheme="minorEastAsia" w:hAnsiTheme="minorEastAsia" w:cs="Times New Roman" w:hint="eastAsia"/>
                <w:sz w:val="18"/>
                <w:szCs w:val="18"/>
              </w:rPr>
              <w:t>】月【</w:t>
            </w:r>
            <w:r>
              <w:rPr>
                <w:rFonts w:asciiTheme="minorEastAsia" w:hAnsiTheme="minorEastAsia" w:cs="Times New Roman" w:hint="eastAsia"/>
                <w:sz w:val="18"/>
                <w:szCs w:val="18"/>
              </w:rPr>
              <w:t>25</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4A6D8C" w:rsidRDefault="00C1729C">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】元；超出起点金额的部分以【</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】元的整数倍递增。</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color w:val="000000" w:themeColor="text1"/>
                <w:sz w:val="18"/>
                <w:szCs w:val="18"/>
              </w:rPr>
              <w:t>】类份额）</w:t>
            </w:r>
          </w:p>
          <w:p w:rsidR="004A6D8C" w:rsidRDefault="00C1729C">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4A6D8C" w:rsidRDefault="00C1729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4A6D8C" w:rsidRDefault="00C1729C">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4A6D8C" w:rsidRDefault="00C1729C">
            <w:pPr>
              <w:pStyle w:val="Default"/>
              <w:spacing w:line="360" w:lineRule="auto"/>
              <w:rPr>
                <w:rFonts w:hAnsi="宋体"/>
                <w:bCs/>
                <w:sz w:val="18"/>
                <w:szCs w:val="18"/>
              </w:rPr>
            </w:pPr>
            <w:r>
              <w:rPr>
                <w:rFonts w:hAnsi="宋体" w:hint="eastAsia"/>
                <w:bCs/>
                <w:sz w:val="18"/>
                <w:szCs w:val="18"/>
              </w:rPr>
              <w:t>（适用【</w:t>
            </w:r>
            <w:r>
              <w:rPr>
                <w:rFonts w:hAnsi="宋体" w:hint="eastAsia"/>
                <w:bCs/>
                <w:sz w:val="18"/>
                <w:szCs w:val="18"/>
              </w:rPr>
              <w:t>/</w:t>
            </w:r>
            <w:r>
              <w:rPr>
                <w:rFonts w:hAnsi="宋体" w:hint="eastAsia"/>
                <w:bCs/>
                <w:sz w:val="18"/>
                <w:szCs w:val="18"/>
              </w:rPr>
              <w:t>】类份额）</w:t>
            </w:r>
          </w:p>
          <w:p w:rsidR="004A6D8C" w:rsidRDefault="00C1729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4A6D8C" w:rsidRDefault="00C1729C">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4A6D8C" w:rsidRDefault="00C1729C">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w:t>
            </w:r>
          </w:p>
          <w:p w:rsidR="004A6D8C" w:rsidRDefault="00C1729C">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1</w:t>
            </w:r>
            <w:r>
              <w:rPr>
                <w:rFonts w:ascii="黑体" w:eastAsia="黑体" w:hAnsi="黑体" w:hint="eastAsia"/>
                <w:bCs/>
                <w:color w:val="000000" w:themeColor="text1"/>
                <w:sz w:val="18"/>
                <w:szCs w:val="18"/>
              </w:rPr>
              <w:t>）投资者认购或申购确认后可能导致其持有份额超过产品总份额</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的，管理人有权拒绝或暂停认购、申购。</w:t>
            </w:r>
          </w:p>
          <w:p w:rsidR="004A6D8C" w:rsidRDefault="00C1729C">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2</w:t>
            </w:r>
            <w:r>
              <w:rPr>
                <w:rFonts w:ascii="黑体" w:eastAsia="黑体" w:hAnsi="黑体" w:hint="eastAsia"/>
                <w:bCs/>
                <w:color w:val="000000" w:themeColor="text1"/>
                <w:sz w:val="18"/>
                <w:szCs w:val="18"/>
              </w:rPr>
              <w:t>）非因管理人主观因素导致突破该比例限制的，在单一投资者持有比例降至</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以下之前，管理人不再接受该投资者对本产品的认购、申购申请。</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4A6D8C" w:rsidRDefault="00C1729C">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4A6D8C" w:rsidRDefault="00C1729C">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4A6D8C" w:rsidRDefault="00C1729C">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4A6D8C">
        <w:trPr>
          <w:trHeight w:val="1078"/>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4A6D8C" w:rsidRDefault="00C1729C">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w:t>
            </w:r>
            <w:r>
              <w:rPr>
                <w:rFonts w:ascii="宋体" w:hAnsi="宋体" w:hint="eastAsia"/>
                <w:b/>
                <w:bCs/>
                <w:sz w:val="18"/>
                <w:szCs w:val="18"/>
              </w:rPr>
              <w:t>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4A6D8C" w:rsidRDefault="00C1729C">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4A6D8C" w:rsidRDefault="00C1729C">
            <w:pPr>
              <w:spacing w:line="360" w:lineRule="auto"/>
              <w:jc w:val="left"/>
              <w:rPr>
                <w:rFonts w:ascii="宋体" w:hAnsi="宋体"/>
                <w:bCs/>
                <w:sz w:val="18"/>
                <w:szCs w:val="18"/>
              </w:rPr>
            </w:pPr>
            <w:r>
              <w:rPr>
                <w:rFonts w:ascii="宋体" w:hAnsi="宋体" w:hint="eastAsia"/>
                <w:bCs/>
                <w:sz w:val="18"/>
                <w:szCs w:val="18"/>
              </w:rPr>
              <w:t>年化</w:t>
            </w:r>
            <w:r>
              <w:rPr>
                <w:rFonts w:ascii="宋体" w:hAnsi="宋体"/>
                <w:bCs/>
                <w:sz w:val="18"/>
                <w:szCs w:val="18"/>
              </w:rPr>
              <w:t>【</w:t>
            </w:r>
            <w:r>
              <w:rPr>
                <w:rFonts w:ascii="宋体" w:hAnsi="宋体"/>
                <w:bCs/>
                <w:sz w:val="18"/>
                <w:szCs w:val="18"/>
              </w:rPr>
              <w:t>2.</w:t>
            </w:r>
            <w:r w:rsidR="00BF239E">
              <w:rPr>
                <w:rFonts w:ascii="宋体" w:hAnsi="宋体"/>
                <w:bCs/>
                <w:sz w:val="18"/>
                <w:szCs w:val="18"/>
              </w:rPr>
              <w:t>8</w:t>
            </w:r>
            <w:r>
              <w:rPr>
                <w:rFonts w:ascii="宋体" w:hAnsi="宋体"/>
                <w:bCs/>
                <w:sz w:val="18"/>
                <w:szCs w:val="18"/>
              </w:rPr>
              <w:t>5%</w:t>
            </w:r>
            <w:r>
              <w:rPr>
                <w:rFonts w:ascii="宋体" w:hAnsi="宋体" w:hint="eastAsia"/>
                <w:bCs/>
                <w:sz w:val="18"/>
                <w:szCs w:val="18"/>
              </w:rPr>
              <w:t>-</w:t>
            </w:r>
            <w:r>
              <w:rPr>
                <w:rFonts w:ascii="宋体" w:hAnsi="宋体"/>
                <w:bCs/>
                <w:sz w:val="18"/>
                <w:szCs w:val="18"/>
              </w:rPr>
              <w:t>3.6</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。（适用【</w:t>
            </w:r>
            <w:r>
              <w:rPr>
                <w:rFonts w:ascii="宋体" w:hAnsi="宋体" w:hint="eastAsia"/>
                <w:bCs/>
                <w:sz w:val="18"/>
                <w:szCs w:val="18"/>
              </w:rPr>
              <w:t>A</w:t>
            </w:r>
            <w:r>
              <w:rPr>
                <w:rFonts w:ascii="宋体" w:hAnsi="宋体" w:hint="eastAsia"/>
                <w:bCs/>
                <w:sz w:val="18"/>
                <w:szCs w:val="18"/>
              </w:rPr>
              <w:t>】类份额）</w:t>
            </w:r>
          </w:p>
          <w:p w:rsidR="004A6D8C" w:rsidRDefault="00C1729C">
            <w:pPr>
              <w:spacing w:line="360" w:lineRule="auto"/>
              <w:jc w:val="left"/>
              <w:rPr>
                <w:rFonts w:ascii="宋体" w:hAnsi="宋体"/>
                <w:bCs/>
                <w:sz w:val="18"/>
                <w:szCs w:val="18"/>
              </w:rPr>
            </w:pPr>
            <w:r>
              <w:rPr>
                <w:rFonts w:ascii="宋体" w:hAnsi="宋体" w:hint="eastAsia"/>
                <w:bCs/>
                <w:sz w:val="18"/>
                <w:szCs w:val="18"/>
              </w:rPr>
              <w:t>年化</w:t>
            </w:r>
            <w:r>
              <w:rPr>
                <w:rFonts w:ascii="宋体" w:hAnsi="宋体"/>
                <w:bCs/>
                <w:sz w:val="18"/>
                <w:szCs w:val="18"/>
              </w:rPr>
              <w:t>【</w:t>
            </w:r>
            <w:r w:rsidR="00BF239E">
              <w:rPr>
                <w:rFonts w:ascii="宋体" w:hAnsi="宋体" w:hint="eastAsia"/>
                <w:bCs/>
                <w:sz w:val="18"/>
                <w:szCs w:val="18"/>
              </w:rPr>
              <w:t>3.</w:t>
            </w:r>
            <w:r w:rsidR="00BF239E">
              <w:rPr>
                <w:rFonts w:ascii="宋体" w:hAnsi="宋体"/>
                <w:bCs/>
                <w:sz w:val="18"/>
                <w:szCs w:val="18"/>
              </w:rPr>
              <w:t>0</w:t>
            </w:r>
            <w:bookmarkStart w:id="4" w:name="_GoBack"/>
            <w:bookmarkEnd w:id="4"/>
            <w:r>
              <w:rPr>
                <w:rFonts w:ascii="宋体" w:hAnsi="宋体"/>
                <w:bCs/>
                <w:sz w:val="18"/>
                <w:szCs w:val="18"/>
              </w:rPr>
              <w:t>%</w:t>
            </w:r>
            <w:r>
              <w:rPr>
                <w:rFonts w:ascii="宋体" w:hAnsi="宋体" w:hint="eastAsia"/>
                <w:bCs/>
                <w:sz w:val="18"/>
                <w:szCs w:val="18"/>
              </w:rPr>
              <w:t>-</w:t>
            </w:r>
            <w:r>
              <w:rPr>
                <w:rFonts w:ascii="宋体" w:hAnsi="宋体"/>
                <w:bCs/>
                <w:sz w:val="18"/>
                <w:szCs w:val="18"/>
              </w:rPr>
              <w:t>3.</w:t>
            </w:r>
            <w:r>
              <w:rPr>
                <w:rFonts w:ascii="宋体" w:hAnsi="宋体" w:hint="eastAsia"/>
                <w:bCs/>
                <w:sz w:val="18"/>
                <w:szCs w:val="18"/>
              </w:rPr>
              <w:t>75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。（适用【</w:t>
            </w:r>
            <w:r>
              <w:rPr>
                <w:rFonts w:ascii="宋体" w:hAnsi="宋体" w:hint="eastAsia"/>
                <w:bCs/>
                <w:sz w:val="18"/>
                <w:szCs w:val="18"/>
              </w:rPr>
              <w:t>B</w:t>
            </w:r>
            <w:r>
              <w:rPr>
                <w:rFonts w:ascii="宋体" w:hAnsi="宋体" w:hint="eastAsia"/>
                <w:bCs/>
                <w:sz w:val="18"/>
                <w:szCs w:val="18"/>
              </w:rPr>
              <w:t>】类份额）</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w:t>
            </w:r>
            <w:r>
              <w:rPr>
                <w:rFonts w:asciiTheme="majorEastAsia" w:eastAsiaTheme="majorEastAsia" w:hAnsiTheme="majorEastAsia"/>
                <w:b/>
                <w:bCs/>
                <w:sz w:val="18"/>
                <w:szCs w:val="18"/>
              </w:rPr>
              <w:t>业绩比较基准的提示：</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w:t>
            </w:r>
            <w:r>
              <w:rPr>
                <w:rFonts w:asciiTheme="majorEastAsia" w:eastAsiaTheme="majorEastAsia" w:hAnsiTheme="majorEastAsia" w:hint="eastAsia"/>
                <w:b/>
                <w:bCs/>
                <w:sz w:val="18"/>
                <w:szCs w:val="18"/>
              </w:rPr>
              <w:t>1</w:t>
            </w:r>
            <w:r>
              <w:rPr>
                <w:rFonts w:asciiTheme="majorEastAsia" w:eastAsiaTheme="majorEastAsia" w:hAnsiTheme="majorEastAsia" w:hint="eastAsia"/>
                <w:b/>
                <w:bCs/>
                <w:sz w:val="18"/>
                <w:szCs w:val="18"/>
              </w:rPr>
              <w:t>）业绩比较基准不代表理财产品未来表现，不等于理财产品实际收益，不作为产品收益的业绩保证，投资须谨慎。</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4A6D8C">
        <w:trPr>
          <w:trHeight w:val="1078"/>
          <w:jc w:val="center"/>
        </w:trPr>
        <w:tc>
          <w:tcPr>
            <w:tcW w:w="1828" w:type="dxa"/>
            <w:shd w:val="solid" w:color="FFFFFF" w:fill="FFFFFF"/>
            <w:vAlign w:val="center"/>
          </w:tcPr>
          <w:p w:rsidR="004A6D8C" w:rsidRDefault="00C1729C">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4A6D8C" w:rsidRDefault="00C1729C">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.15</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B</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4A6D8C" w:rsidRDefault="00C1729C">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4A6D8C" w:rsidRDefault="00C1729C">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理财产品份额的转让</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4A6D8C" w:rsidRDefault="00C1729C">
      <w:pPr>
        <w:pStyle w:val="1"/>
        <w:spacing w:before="0" w:after="0" w:line="360" w:lineRule="auto"/>
        <w:jc w:val="center"/>
        <w:rPr>
          <w:rFonts w:ascii="Times New Roman"/>
          <w:sz w:val="30"/>
        </w:rPr>
      </w:pPr>
      <w:bookmarkStart w:id="5" w:name="_Toc88747122"/>
      <w:bookmarkStart w:id="6" w:name="_Toc79154666"/>
      <w:r>
        <w:rPr>
          <w:rFonts w:ascii="Times New Roman"/>
          <w:sz w:val="30"/>
        </w:rPr>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4A6D8C" w:rsidRDefault="00C1729C">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4A6D8C" w:rsidRDefault="00C1729C">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4A6D8C">
        <w:trPr>
          <w:jc w:val="center"/>
        </w:trPr>
        <w:tc>
          <w:tcPr>
            <w:tcW w:w="1984" w:type="dxa"/>
            <w:vAlign w:val="center"/>
          </w:tcPr>
          <w:p w:rsidR="004A6D8C" w:rsidRDefault="00C1729C">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4A6D8C" w:rsidRDefault="00C1729C">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4A6D8C" w:rsidRDefault="00C1729C">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4A6D8C">
        <w:trPr>
          <w:jc w:val="center"/>
        </w:trPr>
        <w:tc>
          <w:tcPr>
            <w:tcW w:w="1984" w:type="dxa"/>
            <w:vAlign w:val="center"/>
          </w:tcPr>
          <w:p w:rsidR="004A6D8C" w:rsidRDefault="00C1729C">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4A6D8C" w:rsidRDefault="00C1729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4A6D8C" w:rsidRDefault="00C1729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4A6D8C" w:rsidRDefault="00C1729C">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4A6D8C" w:rsidRDefault="00C1729C">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lastRenderedPageBreak/>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4A6D8C" w:rsidRDefault="00C1729C">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认购的起点和追加金额</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4A6D8C" w:rsidRDefault="00C1729C">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4A6D8C" w:rsidRDefault="00C1729C">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4A6D8C" w:rsidRDefault="00C1729C">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4A6D8C" w:rsidRDefault="00C1729C">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4A6D8C" w:rsidRDefault="00C1729C">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4A6D8C" w:rsidRDefault="004A6D8C">
      <w:pPr>
        <w:spacing w:line="360" w:lineRule="auto"/>
        <w:ind w:firstLineChars="200" w:firstLine="360"/>
        <w:rPr>
          <w:rFonts w:asciiTheme="minorEastAsia" w:hAnsiTheme="minorEastAsia"/>
          <w:bCs/>
          <w:sz w:val="18"/>
          <w:szCs w:val="18"/>
        </w:rPr>
      </w:pPr>
    </w:p>
    <w:p w:rsidR="004A6D8C" w:rsidRDefault="00C1729C">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4A6D8C" w:rsidRDefault="00C1729C">
      <w:pPr>
        <w:pStyle w:val="1"/>
        <w:spacing w:before="0" w:after="0" w:line="360" w:lineRule="auto"/>
        <w:jc w:val="center"/>
        <w:rPr>
          <w:rFonts w:ascii="Times New Roman"/>
          <w:sz w:val="30"/>
        </w:rPr>
      </w:pPr>
      <w:bookmarkStart w:id="10" w:name="_Toc88747123"/>
      <w:bookmarkStart w:id="11" w:name="_Toc4771"/>
      <w:bookmarkStart w:id="12" w:name="_Toc22074"/>
      <w:bookmarkStart w:id="13" w:name="_Toc29948"/>
      <w:bookmarkStart w:id="14" w:name="_Toc29784"/>
      <w:bookmarkStart w:id="15" w:name="_Toc27226"/>
      <w:bookmarkStart w:id="16" w:name="_Toc3266"/>
      <w:bookmarkStart w:id="17" w:name="_Toc7151"/>
      <w:bookmarkStart w:id="18" w:name="_Toc90742321"/>
      <w:bookmarkStart w:id="19" w:name="_Toc15203"/>
      <w:bookmarkStart w:id="20" w:name="_Toc90742688"/>
      <w:bookmarkStart w:id="21" w:name="_Toc27189"/>
      <w:bookmarkStart w:id="22" w:name="_Toc16265"/>
      <w:bookmarkStart w:id="23" w:name="_Toc90742390"/>
      <w:bookmarkStart w:id="24" w:name="_Toc74065741"/>
      <w:bookmarkStart w:id="25" w:name="_Toc6714"/>
      <w:bookmarkStart w:id="26" w:name="_Toc79154668"/>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4A6D8C" w:rsidRDefault="00C1729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4A6D8C" w:rsidRDefault="00C1729C">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4A6D8C" w:rsidRDefault="00C1729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w:t>
      </w:r>
      <w:r>
        <w:rPr>
          <w:rFonts w:asciiTheme="majorEastAsia" w:eastAsiaTheme="majorEastAsia" w:hAnsiTheme="majorEastAsia" w:hint="eastAsia"/>
          <w:bCs/>
          <w:sz w:val="18"/>
          <w:szCs w:val="18"/>
        </w:rPr>
        <w:t>利益输送等违法违规行为的前提下，投资者知晓并同意本产品可能投资产品管理人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托管人及其关联方发行、承销、管理的符合本产品投资范围规定的资产，本产品可能与产品管理人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托管人及其关联方管理的投资组合之间互为交易对手或从事其他类型的关联交易。</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投资组合比例：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w:t>
      </w:r>
      <w:r>
        <w:rPr>
          <w:rFonts w:asciiTheme="majorEastAsia" w:eastAsiaTheme="majorEastAsia" w:hAnsiTheme="majorEastAsia" w:hint="eastAsia"/>
          <w:bCs/>
          <w:sz w:val="18"/>
          <w:szCs w:val="18"/>
        </w:rPr>
        <w:t>品净资产</w:t>
      </w:r>
      <w:r>
        <w:rPr>
          <w:rFonts w:asciiTheme="majorEastAsia" w:eastAsiaTheme="majorEastAsia" w:hAnsiTheme="majorEastAsia" w:hint="eastAsia"/>
          <w:bCs/>
          <w:sz w:val="18"/>
          <w:szCs w:val="18"/>
        </w:rPr>
        <w:t>50%</w:t>
      </w:r>
      <w:r>
        <w:rPr>
          <w:rFonts w:asciiTheme="majorEastAsia" w:eastAsiaTheme="majorEastAsia" w:hAnsiTheme="majorEastAsia" w:hint="eastAsia"/>
          <w:bCs/>
          <w:sz w:val="18"/>
          <w:szCs w:val="18"/>
        </w:rPr>
        <w:t>以上。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如果法律法规对本协议约定投资组合比例限制进行变更的，以变更后的规定为准。</w:t>
      </w:r>
    </w:p>
    <w:p w:rsidR="004A6D8C" w:rsidRDefault="00C1729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4A6D8C" w:rsidRDefault="00C1729C">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w:t>
      </w:r>
      <w:r>
        <w:rPr>
          <w:rFonts w:ascii="黑体" w:eastAsia="黑体" w:hAnsi="黑体"/>
          <w:bCs/>
          <w:sz w:val="18"/>
          <w:szCs w:val="18"/>
        </w:rPr>
        <w:t>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4A6D8C" w:rsidRDefault="00C1729C">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w:t>
      </w:r>
      <w:r>
        <w:rPr>
          <w:rFonts w:asciiTheme="majorEastAsia" w:eastAsiaTheme="majorEastAsia" w:hAnsiTheme="majorEastAsia"/>
          <w:bCs/>
          <w:sz w:val="18"/>
          <w:szCs w:val="18"/>
        </w:rPr>
        <w:t>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4A6D8C" w:rsidRDefault="00C1729C">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w:t>
      </w:r>
      <w:r>
        <w:rPr>
          <w:rFonts w:ascii="宋体" w:hAnsi="宋体" w:hint="eastAsia"/>
          <w:bCs/>
          <w:sz w:val="18"/>
          <w:szCs w:val="18"/>
        </w:rPr>
        <w:t>接投资于不良资产受（收）益权。</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4A6D8C" w:rsidRDefault="00C1729C">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4A6D8C" w:rsidRDefault="00C1729C">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（五）业绩比较基准</w:t>
      </w:r>
      <w:r>
        <w:rPr>
          <w:rFonts w:asciiTheme="majorEastAsia" w:eastAsiaTheme="majorEastAsia" w:hAnsiTheme="majorEastAsia" w:hint="eastAsia"/>
          <w:b/>
          <w:bCs/>
          <w:sz w:val="18"/>
          <w:szCs w:val="18"/>
        </w:rPr>
        <w:t xml:space="preserve"> </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4A6D8C" w:rsidRDefault="00C1729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产品管理人不设立业绩比较基准。</w:t>
      </w:r>
    </w:p>
    <w:p w:rsidR="004A6D8C" w:rsidRDefault="00C1729C">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4A6D8C" w:rsidRDefault="00C1729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28" w:name="_Toc17912"/>
      <w:bookmarkStart w:id="29" w:name="_Toc141703885"/>
      <w:bookmarkStart w:id="30" w:name="_Toc79154669"/>
      <w:bookmarkStart w:id="31" w:name="_Toc21988"/>
      <w:bookmarkStart w:id="32" w:name="_Toc18329"/>
      <w:bookmarkStart w:id="33" w:name="_Toc18526"/>
      <w:bookmarkStart w:id="34" w:name="_Toc74065742"/>
      <w:bookmarkStart w:id="35" w:name="_Toc1823"/>
      <w:bookmarkStart w:id="36" w:name="_Toc14893"/>
      <w:bookmarkStart w:id="37" w:name="_Toc4741"/>
      <w:bookmarkStart w:id="38" w:name="_Toc88747125"/>
      <w:bookmarkStart w:id="39" w:name="_Toc26986"/>
      <w:bookmarkStart w:id="40" w:name="_Toc18797"/>
      <w:bookmarkStart w:id="41" w:name="_Toc7848"/>
      <w:bookmarkStart w:id="42" w:name="_Toc139991735"/>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4A6D8C" w:rsidRDefault="00C1729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44" w:name="_Toc23822"/>
      <w:bookmarkStart w:id="45" w:name="_Toc88747126"/>
      <w:bookmarkStart w:id="46" w:name="_Toc48649707"/>
      <w:bookmarkStart w:id="47" w:name="_Toc20733"/>
      <w:bookmarkStart w:id="48" w:name="_Toc79154670"/>
      <w:bookmarkStart w:id="49" w:name="_Toc98560352"/>
      <w:bookmarkStart w:id="50" w:name="_Toc123051452"/>
      <w:bookmarkStart w:id="51" w:name="_Toc141703886"/>
      <w:bookmarkStart w:id="52" w:name="_Toc610"/>
      <w:bookmarkStart w:id="53" w:name="_Toc7920"/>
      <w:bookmarkStart w:id="54" w:name="_Toc1427"/>
      <w:bookmarkStart w:id="55" w:name="_Toc1270"/>
      <w:bookmarkStart w:id="56" w:name="_Toc139991736"/>
      <w:bookmarkStart w:id="57" w:name="_Toc79392606"/>
      <w:bookmarkStart w:id="58" w:name="_Toc4003"/>
      <w:bookmarkStart w:id="59" w:name="_Toc23261"/>
      <w:bookmarkStart w:id="60" w:name="_Toc123102453"/>
      <w:bookmarkStart w:id="61" w:name="_Toc123112234"/>
      <w:bookmarkStart w:id="62" w:name="_Toc10463"/>
      <w:bookmarkStart w:id="63" w:name="_Toc74065743"/>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w:t>
      </w:r>
      <w:r>
        <w:rPr>
          <w:rFonts w:ascii="Times New Roman" w:hint="eastAsia"/>
          <w:sz w:val="30"/>
        </w:rPr>
        <w:t>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6D8C" w:rsidRDefault="00C1729C">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4A6D8C" w:rsidRDefault="00C1729C">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4A6D8C" w:rsidRDefault="00C1729C">
      <w:pPr>
        <w:pStyle w:val="Default"/>
        <w:spacing w:line="360" w:lineRule="auto"/>
        <w:ind w:firstLineChars="250" w:firstLine="450"/>
        <w:rPr>
          <w:sz w:val="18"/>
          <w:szCs w:val="18"/>
        </w:rPr>
      </w:pPr>
      <w:permStart w:id="739540734" w:edGrp="everyone"/>
      <w:r>
        <w:rPr>
          <w:rFonts w:hAnsi="宋体" w:hint="eastAsia"/>
          <w:sz w:val="18"/>
          <w:szCs w:val="18"/>
        </w:rPr>
        <w:t>本产品存续期间，每【周】进行一次估值。如遇产品到期日、季度末、半年度末、年度末等时间节点管理人将增加估值日。</w:t>
      </w:r>
    </w:p>
    <w:permEnd w:id="739540734"/>
    <w:p w:rsidR="004A6D8C" w:rsidRDefault="00C1729C">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4A6D8C" w:rsidRDefault="00C1729C">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4A6D8C" w:rsidRDefault="00C1729C">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w:t>
      </w:r>
      <w:r>
        <w:rPr>
          <w:rFonts w:hAnsi="宋体" w:hint="eastAsia"/>
          <w:sz w:val="18"/>
          <w:szCs w:val="18"/>
        </w:rPr>
        <w:t>异，且管理人认为收盘价更能体现其公允价值，可与托管人协商一致后采用收盘价进行估值。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w:t>
      </w:r>
      <w:r>
        <w:rPr>
          <w:rFonts w:hAnsi="宋体" w:hint="eastAsia"/>
          <w:sz w:val="18"/>
          <w:szCs w:val="18"/>
        </w:rPr>
        <w:t>的估值标准，分别进行估值。</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4A6D8C" w:rsidRDefault="00C1729C">
      <w:pPr>
        <w:pStyle w:val="Default"/>
        <w:spacing w:line="360" w:lineRule="auto"/>
        <w:ind w:firstLineChars="200" w:firstLine="361"/>
        <w:rPr>
          <w:rFonts w:hAnsi="宋体"/>
          <w:sz w:val="18"/>
          <w:szCs w:val="18"/>
        </w:rPr>
      </w:pPr>
      <w:r>
        <w:rPr>
          <w:rFonts w:hAnsi="宋体" w:hint="eastAsia"/>
          <w:b/>
          <w:bCs/>
          <w:sz w:val="18"/>
          <w:szCs w:val="18"/>
        </w:rPr>
        <w:t>3.</w:t>
      </w:r>
      <w:r>
        <w:rPr>
          <w:rFonts w:hAnsi="宋体" w:hint="eastAsia"/>
          <w:b/>
          <w:bCs/>
          <w:sz w:val="18"/>
          <w:szCs w:val="18"/>
        </w:rPr>
        <w:t>非标准化债权类资产</w:t>
      </w:r>
    </w:p>
    <w:p w:rsidR="004A6D8C" w:rsidRDefault="00C1729C">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4.</w:t>
      </w:r>
      <w:r>
        <w:rPr>
          <w:rFonts w:hAnsi="宋体" w:hint="eastAsia"/>
          <w:b/>
          <w:bCs/>
          <w:sz w:val="18"/>
          <w:szCs w:val="18"/>
        </w:rPr>
        <w:t>上市公司股票估值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w:t>
      </w:r>
      <w:r>
        <w:rPr>
          <w:rFonts w:hAnsi="宋体" w:hint="eastAsia"/>
          <w:sz w:val="18"/>
          <w:szCs w:val="18"/>
        </w:rPr>
        <w:t>日的收盘价确定公允价值。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）长期停牌股票，根据停牌原因、停牌时间及停牌公司公告等信息，采用估值技术确定公允价值。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w:t>
      </w:r>
      <w:r>
        <w:rPr>
          <w:rFonts w:hAnsi="宋体" w:hint="eastAsia"/>
          <w:sz w:val="18"/>
          <w:szCs w:val="18"/>
        </w:rPr>
        <w:t>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5.</w:t>
      </w:r>
      <w:r>
        <w:rPr>
          <w:rFonts w:hAnsi="宋体" w:hint="eastAsia"/>
          <w:b/>
          <w:bCs/>
          <w:sz w:val="18"/>
          <w:szCs w:val="18"/>
        </w:rPr>
        <w:t>未上市公司股权</w:t>
      </w:r>
    </w:p>
    <w:p w:rsidR="004A6D8C" w:rsidRDefault="00C1729C">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6.</w:t>
      </w:r>
      <w:r>
        <w:rPr>
          <w:rFonts w:hAnsi="宋体" w:hint="eastAsia"/>
          <w:b/>
          <w:bCs/>
          <w:sz w:val="18"/>
          <w:szCs w:val="18"/>
        </w:rPr>
        <w:t>优先股</w:t>
      </w:r>
    </w:p>
    <w:p w:rsidR="004A6D8C" w:rsidRDefault="00C1729C">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7.</w:t>
      </w:r>
      <w:r>
        <w:rPr>
          <w:rFonts w:hAnsi="宋体" w:hint="eastAsia"/>
          <w:b/>
          <w:bCs/>
          <w:sz w:val="18"/>
          <w:szCs w:val="18"/>
        </w:rPr>
        <w:t>证券投资基金估值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4A6D8C" w:rsidRDefault="00C1729C">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本产品投资的境内货币市场基金，按所投资基金前一估值日后至估值日期间（含节假日）的万份收益计提估值日基金收益。</w:t>
      </w:r>
    </w:p>
    <w:p w:rsidR="004A6D8C" w:rsidRDefault="00C1729C">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基金、境内上市定期开放式基金、封闭式基金，按照所投资基金估值日的收盘价估值；估值日无交易的，以最近交易日的收盘价估值。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w:t>
      </w:r>
      <w:r>
        <w:rPr>
          <w:rFonts w:hAnsi="宋体" w:hint="eastAsia"/>
          <w:sz w:val="18"/>
          <w:szCs w:val="18"/>
        </w:rPr>
        <w:t>值日基金净值未公布的，以基金管理人公布的最近一个工作日基金份额净值计算。</w:t>
      </w:r>
    </w:p>
    <w:p w:rsidR="004A6D8C" w:rsidRDefault="00C1729C">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8.</w:t>
      </w:r>
      <w:r>
        <w:rPr>
          <w:rFonts w:hAnsi="宋体" w:hint="eastAsia"/>
          <w:b/>
          <w:bCs/>
          <w:sz w:val="18"/>
          <w:szCs w:val="18"/>
        </w:rPr>
        <w:t>其他资产管理产品的估值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w:t>
      </w:r>
      <w:r>
        <w:rPr>
          <w:rFonts w:hAnsi="宋体" w:hint="eastAsia"/>
          <w:sz w:val="18"/>
          <w:szCs w:val="18"/>
        </w:rPr>
        <w:t>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9.</w:t>
      </w:r>
      <w:r>
        <w:rPr>
          <w:rFonts w:hAnsi="宋体" w:hint="eastAsia"/>
          <w:b/>
          <w:bCs/>
          <w:sz w:val="18"/>
          <w:szCs w:val="18"/>
        </w:rPr>
        <w:t>衍生金融工具估值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w:t>
      </w:r>
      <w:r>
        <w:rPr>
          <w:rFonts w:hAnsi="宋体" w:hint="eastAsia"/>
          <w:sz w:val="18"/>
          <w:szCs w:val="18"/>
        </w:rPr>
        <w:t>构提供的估值数据或采取相应的衍生金融工具估值模型进行估值。</w:t>
      </w:r>
      <w:r>
        <w:rPr>
          <w:rFonts w:hAnsi="宋体" w:hint="eastAsia"/>
          <w:sz w:val="18"/>
          <w:szCs w:val="18"/>
        </w:rPr>
        <w:t xml:space="preserve"> </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10.</w:t>
      </w:r>
      <w:r>
        <w:rPr>
          <w:rFonts w:hAnsi="宋体" w:hint="eastAsia"/>
          <w:b/>
          <w:bCs/>
          <w:sz w:val="18"/>
          <w:szCs w:val="18"/>
        </w:rPr>
        <w:t>存款、拆借、回购等货币市场工具的估值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w:t>
      </w:r>
      <w:r>
        <w:rPr>
          <w:rFonts w:ascii="黑体" w:eastAsia="黑体" w:hAnsi="黑体" w:hint="eastAsia"/>
          <w:sz w:val="18"/>
          <w:szCs w:val="18"/>
        </w:rPr>
        <w:t>★估值方法的调整</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w:t>
      </w:r>
      <w:r>
        <w:rPr>
          <w:rFonts w:ascii="黑体" w:eastAsia="黑体" w:hAnsi="黑体" w:hint="eastAsia"/>
          <w:sz w:val="18"/>
          <w:szCs w:val="18"/>
        </w:rPr>
        <w:t>按相关规定要求使用调整后</w:t>
      </w:r>
      <w:r>
        <w:rPr>
          <w:rFonts w:ascii="黑体" w:eastAsia="黑体" w:hAnsi="黑体" w:hint="eastAsia"/>
          <w:sz w:val="18"/>
          <w:szCs w:val="18"/>
        </w:rPr>
        <w:lastRenderedPageBreak/>
        <w:t>的估值方法进行估值。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4A6D8C" w:rsidRDefault="00C1729C">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4A6D8C" w:rsidRDefault="00C1729C">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4A6D8C" w:rsidRDefault="00C1729C">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w:t>
      </w:r>
      <w:r>
        <w:rPr>
          <w:rFonts w:ascii="黑体" w:eastAsia="黑体" w:hAnsi="黑体" w:hint="eastAsia"/>
          <w:sz w:val="18"/>
          <w:szCs w:val="18"/>
        </w:rPr>
        <w:t>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4A6D8C" w:rsidRDefault="00C1729C">
      <w:pPr>
        <w:widowControl/>
        <w:spacing w:line="360" w:lineRule="auto"/>
        <w:jc w:val="left"/>
        <w:rPr>
          <w:rFonts w:ascii="宋体" w:hAnsi="宋体"/>
          <w:kern w:val="0"/>
          <w:sz w:val="18"/>
          <w:szCs w:val="18"/>
        </w:rPr>
      </w:pPr>
      <w:r>
        <w:rPr>
          <w:rFonts w:hAnsi="宋体"/>
          <w:sz w:val="18"/>
          <w:szCs w:val="18"/>
        </w:rPr>
        <w:br w:type="page"/>
      </w:r>
    </w:p>
    <w:p w:rsidR="004A6D8C" w:rsidRDefault="00C1729C">
      <w:pPr>
        <w:pStyle w:val="1"/>
        <w:spacing w:before="0" w:after="0" w:line="360" w:lineRule="auto"/>
        <w:ind w:left="60" w:firstLine="10"/>
        <w:jc w:val="center"/>
        <w:rPr>
          <w:rFonts w:ascii="Times New Roman"/>
          <w:sz w:val="30"/>
        </w:rPr>
      </w:pPr>
      <w:bookmarkStart w:id="65" w:name="_Hlt70481650"/>
      <w:bookmarkStart w:id="66" w:name="_Toc139991737"/>
      <w:bookmarkStart w:id="67" w:name="_Toc79154671"/>
      <w:bookmarkStart w:id="68" w:name="_Toc141703887"/>
      <w:bookmarkStart w:id="69" w:name="_Toc123102454"/>
      <w:bookmarkStart w:id="70" w:name="_Toc12245"/>
      <w:bookmarkStart w:id="71" w:name="_Toc3601"/>
      <w:bookmarkStart w:id="72" w:name="_Toc29251"/>
      <w:bookmarkStart w:id="73" w:name="_Toc31235"/>
      <w:bookmarkStart w:id="74" w:name="_Toc123112235"/>
      <w:bookmarkStart w:id="75" w:name="_Toc98560353"/>
      <w:bookmarkStart w:id="76" w:name="_Toc15143"/>
      <w:bookmarkStart w:id="77" w:name="_Toc6405"/>
      <w:bookmarkStart w:id="78" w:name="_Toc88747127"/>
      <w:bookmarkStart w:id="79" w:name="_Toc14835"/>
      <w:bookmarkStart w:id="80" w:name="_Toc123051453"/>
      <w:bookmarkStart w:id="81" w:name="_Toc26207"/>
      <w:bookmarkStart w:id="82" w:name="_Toc31644"/>
      <w:bookmarkStart w:id="83" w:name="_Toc74065744"/>
      <w:bookmarkStart w:id="84" w:name="_Toc3165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57530239"/>
      <w:bookmarkStart w:id="87" w:name="_Toc79392580"/>
      <w:bookmarkStart w:id="88" w:name="_Toc15118234"/>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6D8C" w:rsidRDefault="00C1729C">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4A6D8C" w:rsidRDefault="00C1729C">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hint="eastAsia"/>
          <w:color w:val="auto"/>
          <w:sz w:val="18"/>
          <w:szCs w:val="18"/>
        </w:rPr>
        <w:t>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4A6D8C" w:rsidRDefault="00C1729C">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4A6D8C" w:rsidRDefault="00C1729C">
      <w:pPr>
        <w:pStyle w:val="Default"/>
        <w:spacing w:line="360" w:lineRule="auto"/>
        <w:ind w:firstLineChars="200" w:firstLine="361"/>
        <w:rPr>
          <w:rFonts w:hAnsi="宋体"/>
          <w:b/>
          <w:bCs/>
          <w:color w:val="auto"/>
          <w:sz w:val="18"/>
          <w:szCs w:val="18"/>
        </w:rPr>
      </w:pPr>
      <w:permStart w:id="1778658699" w:edGrp="everyone"/>
      <w:r>
        <w:rPr>
          <w:rFonts w:hAnsi="宋体" w:hint="eastAsia"/>
          <w:b/>
          <w:bCs/>
          <w:color w:val="auto"/>
          <w:sz w:val="18"/>
          <w:szCs w:val="18"/>
        </w:rPr>
        <w:t>1.</w:t>
      </w:r>
      <w:r>
        <w:rPr>
          <w:rFonts w:hAnsi="宋体" w:hint="eastAsia"/>
          <w:b/>
          <w:bCs/>
          <w:color w:val="auto"/>
          <w:sz w:val="18"/>
          <w:szCs w:val="18"/>
        </w:rPr>
        <w:t>分配方案要点：</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hint="eastAsia"/>
          <w:color w:val="auto"/>
          <w:sz w:val="18"/>
          <w:szCs w:val="18"/>
        </w:rPr>
        <w:t>具体理财利益分配方案由产品管理人拟定，并由产品托管人复核后确定。</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理财产品存续期间，产品管理人有权视理财产品收益情况进行主动分配，相应分配基准日、分配方案由管理人及时披露。</w:t>
      </w:r>
    </w:p>
    <w:permEnd w:id="1778658699"/>
    <w:p w:rsidR="004A6D8C" w:rsidRDefault="00C1729C">
      <w:pPr>
        <w:spacing w:line="360" w:lineRule="auto"/>
        <w:ind w:firstLine="360"/>
        <w:rPr>
          <w:rFonts w:ascii="宋体" w:hAnsi="宋体"/>
          <w:b/>
          <w:sz w:val="18"/>
          <w:szCs w:val="18"/>
        </w:rPr>
      </w:pPr>
      <w:r>
        <w:rPr>
          <w:rFonts w:ascii="宋体" w:hAnsi="宋体" w:hint="eastAsia"/>
          <w:b/>
          <w:kern w:val="0"/>
          <w:sz w:val="18"/>
          <w:szCs w:val="18"/>
        </w:rPr>
        <w:t>（四）理财利益的分配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理财利益的分配日</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理财产品的终止与清算”中产品清算期的相关约定向投资者分配理财利益（如有）。</w:t>
      </w:r>
    </w:p>
    <w:p w:rsidR="004A6D8C" w:rsidRDefault="00C1729C">
      <w:pPr>
        <w:widowControl/>
        <w:spacing w:line="360" w:lineRule="auto"/>
        <w:ind w:firstLine="420"/>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4A6D8C" w:rsidRDefault="00C1729C">
      <w:pPr>
        <w:pStyle w:val="1"/>
        <w:spacing w:before="0" w:after="0" w:line="360" w:lineRule="auto"/>
        <w:jc w:val="center"/>
        <w:rPr>
          <w:rFonts w:ascii="Times New Roman"/>
          <w:sz w:val="30"/>
        </w:rPr>
      </w:pPr>
      <w:bookmarkStart w:id="90" w:name="_Hlt88825574"/>
      <w:bookmarkStart w:id="91" w:name="_Hlt88897298"/>
      <w:bookmarkStart w:id="92" w:name="_Toc79154672"/>
      <w:bookmarkStart w:id="93" w:name="_Toc123102455"/>
      <w:bookmarkStart w:id="94" w:name="_Toc79392583"/>
      <w:bookmarkStart w:id="95" w:name="_Toc6447"/>
      <w:bookmarkStart w:id="96" w:name="_Toc18567"/>
      <w:bookmarkStart w:id="97" w:name="_Toc4559"/>
      <w:bookmarkStart w:id="98" w:name="_Toc139991738"/>
      <w:bookmarkStart w:id="99" w:name="_Toc11030"/>
      <w:bookmarkStart w:id="100" w:name="_Toc3771"/>
      <w:bookmarkStart w:id="101" w:name="_Toc98560354"/>
      <w:bookmarkStart w:id="102" w:name="_Toc7058"/>
      <w:bookmarkStart w:id="103" w:name="_Toc141703888"/>
      <w:bookmarkStart w:id="104" w:name="_Toc88747128"/>
      <w:bookmarkStart w:id="105" w:name="_Toc74065745"/>
      <w:bookmarkStart w:id="106" w:name="_Toc123051454"/>
      <w:bookmarkStart w:id="107" w:name="_Toc123112236"/>
      <w:bookmarkStart w:id="108" w:name="_Toc25783"/>
      <w:bookmarkStart w:id="109" w:name="_Toc9706"/>
      <w:bookmarkStart w:id="110" w:name="_Toc3321"/>
      <w:bookmarkStart w:id="111" w:name="_Toc1065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4A6D8C" w:rsidRDefault="00C1729C">
      <w:pPr>
        <w:pStyle w:val="Default"/>
        <w:spacing w:line="360" w:lineRule="auto"/>
        <w:ind w:firstLineChars="200" w:firstLine="361"/>
        <w:rPr>
          <w:rFonts w:asciiTheme="majorEastAsia" w:eastAsiaTheme="majorEastAsia" w:hAnsiTheme="majorEastAsia"/>
          <w:b/>
          <w:color w:val="auto"/>
          <w:sz w:val="18"/>
          <w:szCs w:val="18"/>
        </w:rPr>
      </w:pPr>
      <w:bookmarkStart w:id="112" w:name="_Toc3963"/>
      <w:bookmarkStart w:id="113" w:name="_Toc1745"/>
      <w:r>
        <w:rPr>
          <w:rFonts w:asciiTheme="majorEastAsia" w:eastAsiaTheme="majorEastAsia" w:hAnsiTheme="majorEastAsia" w:hint="eastAsia"/>
          <w:b/>
          <w:color w:val="auto"/>
          <w:sz w:val="18"/>
          <w:szCs w:val="18"/>
        </w:rPr>
        <w:t>（一）理财产品的费用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1.</w:t>
      </w:r>
      <w:r>
        <w:rPr>
          <w:rFonts w:ascii="宋体" w:hAnsi="宋体" w:hint="eastAsia"/>
          <w:kern w:val="0"/>
          <w:sz w:val="18"/>
          <w:szCs w:val="18"/>
        </w:rPr>
        <w:t>理财产品费用的种类</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1</w:t>
      </w:r>
      <w:r>
        <w:rPr>
          <w:rFonts w:ascii="宋体" w:hAnsi="宋体" w:hint="eastAsia"/>
          <w:kern w:val="0"/>
          <w:sz w:val="18"/>
          <w:szCs w:val="18"/>
        </w:rPr>
        <w:t>）理财产品的认购费；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2</w:t>
      </w:r>
      <w:r>
        <w:rPr>
          <w:rFonts w:ascii="宋体" w:hAnsi="宋体" w:hint="eastAsia"/>
          <w:kern w:val="0"/>
          <w:sz w:val="18"/>
          <w:szCs w:val="18"/>
        </w:rPr>
        <w:t>）理财产品的销售服务费；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3</w:t>
      </w:r>
      <w:r>
        <w:rPr>
          <w:rFonts w:ascii="宋体" w:hAnsi="宋体" w:hint="eastAsia"/>
          <w:kern w:val="0"/>
          <w:sz w:val="18"/>
          <w:szCs w:val="18"/>
        </w:rPr>
        <w:t>）理财产品的投资管理费及超额业绩报酬；</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4</w:t>
      </w:r>
      <w:r>
        <w:rPr>
          <w:rFonts w:ascii="宋体" w:hAnsi="宋体" w:hint="eastAsia"/>
          <w:kern w:val="0"/>
          <w:sz w:val="18"/>
          <w:szCs w:val="18"/>
        </w:rPr>
        <w:t>）理财产品的产品托管费；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5</w:t>
      </w:r>
      <w:r>
        <w:rPr>
          <w:rFonts w:ascii="宋体" w:hAnsi="宋体" w:hint="eastAsia"/>
          <w:kern w:val="0"/>
          <w:sz w:val="18"/>
          <w:szCs w:val="18"/>
        </w:rPr>
        <w:t>）理财产品的证券交易费用；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6</w:t>
      </w:r>
      <w:r>
        <w:rPr>
          <w:rFonts w:ascii="宋体" w:hAnsi="宋体" w:hint="eastAsia"/>
          <w:kern w:val="0"/>
          <w:sz w:val="18"/>
          <w:szCs w:val="18"/>
        </w:rPr>
        <w:t>）理财产品验资费、审计费、律师费、信息披露费、清算费、执行费用等相关费用；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hint="eastAsia"/>
          <w:kern w:val="0"/>
          <w:sz w:val="18"/>
          <w:szCs w:val="18"/>
        </w:rPr>
        <w:t>7</w:t>
      </w:r>
      <w:r>
        <w:rPr>
          <w:rFonts w:ascii="宋体" w:hAnsi="宋体" w:hint="eastAsia"/>
          <w:kern w:val="0"/>
          <w:sz w:val="18"/>
          <w:szCs w:val="18"/>
        </w:rPr>
        <w:t>）按照国家法律法规规定可以列入的其他费用。</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2.</w:t>
      </w:r>
      <w:r>
        <w:rPr>
          <w:rFonts w:ascii="宋体" w:hAnsi="宋体" w:hint="eastAsia"/>
          <w:kern w:val="0"/>
          <w:sz w:val="18"/>
          <w:szCs w:val="18"/>
        </w:rPr>
        <w:t>理财产品费用计提方法、计提标准和支付方式</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1</w:t>
      </w:r>
      <w:r>
        <w:rPr>
          <w:rFonts w:ascii="宋体" w:hAnsi="宋体" w:hint="eastAsia"/>
          <w:kern w:val="0"/>
          <w:sz w:val="18"/>
          <w:szCs w:val="18"/>
        </w:rPr>
        <w:t>）理财产品的认购费</w:t>
      </w:r>
    </w:p>
    <w:p w:rsidR="004A6D8C" w:rsidRDefault="00C1729C">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2</w:t>
      </w:r>
      <w:r>
        <w:rPr>
          <w:rFonts w:ascii="宋体" w:hAnsi="宋体" w:hint="eastAsia"/>
          <w:kern w:val="0"/>
          <w:sz w:val="18"/>
          <w:szCs w:val="18"/>
        </w:rPr>
        <w:t>）理财产品的销售服务费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w:t>
      </w:r>
      <w:r>
        <w:rPr>
          <w:rFonts w:ascii="宋体" w:hAnsi="宋体" w:hint="eastAsia"/>
          <w:kern w:val="0"/>
          <w:sz w:val="18"/>
          <w:szCs w:val="18"/>
        </w:rPr>
        <w:t>E</w:t>
      </w:r>
      <w:r>
        <w:rPr>
          <w:rFonts w:ascii="宋体" w:hAnsi="宋体" w:hint="eastAsia"/>
          <w:kern w:val="0"/>
          <w:sz w:val="18"/>
          <w:szCs w:val="18"/>
        </w:rPr>
        <w:t>×销售服务费年费率÷</w:t>
      </w:r>
      <w:r>
        <w:rPr>
          <w:rFonts w:ascii="宋体" w:hAnsi="宋体" w:hint="eastAsia"/>
          <w:kern w:val="0"/>
          <w:sz w:val="18"/>
          <w:szCs w:val="18"/>
        </w:rPr>
        <w:t>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为每日应计提的销售服务费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E</w:t>
      </w:r>
      <w:r>
        <w:rPr>
          <w:rFonts w:ascii="宋体" w:hAnsi="宋体" w:hint="eastAsia"/>
          <w:kern w:val="0"/>
          <w:sz w:val="18"/>
          <w:szCs w:val="18"/>
        </w:rPr>
        <w:t>为前一日的理财资产净值</w:t>
      </w:r>
    </w:p>
    <w:p w:rsidR="004A6D8C" w:rsidRDefault="00C1729C">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3</w:t>
      </w:r>
      <w:r>
        <w:rPr>
          <w:rFonts w:ascii="宋体" w:hAnsi="宋体" w:hint="eastAsia"/>
          <w:kern w:val="0"/>
          <w:sz w:val="18"/>
          <w:szCs w:val="18"/>
        </w:rPr>
        <w:t>）理财产品的投资管理费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w:t>
      </w:r>
      <w:r>
        <w:rPr>
          <w:rFonts w:ascii="宋体" w:hAnsi="宋体" w:hint="eastAsia"/>
          <w:kern w:val="0"/>
          <w:sz w:val="18"/>
          <w:szCs w:val="18"/>
        </w:rPr>
        <w:t>E</w:t>
      </w:r>
      <w:r>
        <w:rPr>
          <w:rFonts w:ascii="宋体" w:hAnsi="宋体" w:hint="eastAsia"/>
          <w:kern w:val="0"/>
          <w:sz w:val="18"/>
          <w:szCs w:val="18"/>
        </w:rPr>
        <w:t>×投资管理费年费率÷</w:t>
      </w:r>
      <w:r>
        <w:rPr>
          <w:rFonts w:ascii="宋体" w:hAnsi="宋体" w:hint="eastAsia"/>
          <w:kern w:val="0"/>
          <w:sz w:val="18"/>
          <w:szCs w:val="18"/>
        </w:rPr>
        <w:t>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为每日应计提的产品投资管理费</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w:t>
      </w:r>
      <w:r>
        <w:rPr>
          <w:rFonts w:ascii="宋体" w:hAnsi="宋体" w:hint="eastAsia"/>
          <w:kern w:val="0"/>
          <w:sz w:val="18"/>
          <w:szCs w:val="18"/>
        </w:rPr>
        <w:t>为前一日的理财资产净值</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4A6D8C" w:rsidRDefault="00C1729C">
      <w:pPr>
        <w:widowControl/>
        <w:spacing w:line="360" w:lineRule="auto"/>
        <w:ind w:firstLineChars="200" w:firstLine="360"/>
        <w:jc w:val="left"/>
        <w:rPr>
          <w:rFonts w:ascii="宋体" w:hAnsi="宋体"/>
          <w:kern w:val="0"/>
          <w:sz w:val="18"/>
          <w:szCs w:val="18"/>
        </w:rPr>
      </w:pPr>
      <w:permStart w:id="288183982" w:edGrp="everyone"/>
      <w:r>
        <w:rPr>
          <w:rFonts w:ascii="宋体" w:hAnsi="宋体" w:hint="eastAsia"/>
          <w:kern w:val="0"/>
          <w:sz w:val="18"/>
          <w:szCs w:val="18"/>
        </w:rPr>
        <w:lastRenderedPageBreak/>
        <w:t>（</w:t>
      </w:r>
      <w:r>
        <w:rPr>
          <w:rFonts w:ascii="宋体" w:hAnsi="宋体" w:hint="eastAsia"/>
          <w:kern w:val="0"/>
          <w:sz w:val="18"/>
          <w:szCs w:val="18"/>
        </w:rPr>
        <w:t>4</w:t>
      </w:r>
      <w:r>
        <w:rPr>
          <w:rFonts w:ascii="宋体" w:hAnsi="宋体" w:hint="eastAsia"/>
          <w:kern w:val="0"/>
          <w:sz w:val="18"/>
          <w:szCs w:val="18"/>
        </w:rPr>
        <w:t>）超额业绩报酬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①按投资者每份产品份额分别计算年化收益率并计提超额业绩报酬；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w:t>
      </w:r>
      <w:r>
        <w:rPr>
          <w:rFonts w:asciiTheme="majorEastAsia" w:eastAsiaTheme="majorEastAsia" w:hAnsiTheme="majorEastAsia" w:hint="eastAsia"/>
          <w:sz w:val="18"/>
          <w:szCs w:val="18"/>
        </w:rPr>
        <w:t>计提日，本产品对符合超额业绩报酬提取条件的产品份额计提超额业绩报酬；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产品管理人对每份份额当前年化收益率（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）超过当前业绩报酬计提基准的部分，按比例（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w:t>
      </w:r>
      <w:r>
        <w:rPr>
          <w:rFonts w:asciiTheme="majorEastAsia" w:eastAsiaTheme="majorEastAsia" w:hAnsiTheme="majorEastAsia" w:hint="eastAsia"/>
          <w:sz w:val="18"/>
          <w:szCs w:val="18"/>
        </w:rPr>
        <w:t>超额业绩报酬，计算方法如下：</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288183982"/>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hint="eastAsia"/>
          <w:kern w:val="0"/>
          <w:sz w:val="18"/>
          <w:szCs w:val="18"/>
        </w:rPr>
        <w:t>5</w:t>
      </w:r>
      <w:r>
        <w:rPr>
          <w:rFonts w:ascii="宋体" w:hAnsi="宋体" w:hint="eastAsia"/>
          <w:kern w:val="0"/>
          <w:sz w:val="18"/>
          <w:szCs w:val="18"/>
        </w:rPr>
        <w:t>）理财产品的产品托管费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w:t>
      </w:r>
      <w:r>
        <w:rPr>
          <w:rFonts w:ascii="宋体" w:hAnsi="宋体" w:hint="eastAsia"/>
          <w:kern w:val="0"/>
          <w:sz w:val="18"/>
          <w:szCs w:val="18"/>
        </w:rPr>
        <w:t>E</w:t>
      </w:r>
      <w:r>
        <w:rPr>
          <w:rFonts w:ascii="宋体" w:hAnsi="宋体" w:hint="eastAsia"/>
          <w:kern w:val="0"/>
          <w:sz w:val="18"/>
          <w:szCs w:val="18"/>
        </w:rPr>
        <w:t>×产品托管费年费率÷</w:t>
      </w:r>
      <w:r>
        <w:rPr>
          <w:rFonts w:ascii="宋体" w:hAnsi="宋体" w:hint="eastAsia"/>
          <w:kern w:val="0"/>
          <w:sz w:val="18"/>
          <w:szCs w:val="18"/>
        </w:rPr>
        <w:t>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w:t>
      </w:r>
      <w:r>
        <w:rPr>
          <w:rFonts w:ascii="宋体" w:hAnsi="宋体" w:hint="eastAsia"/>
          <w:kern w:val="0"/>
          <w:sz w:val="18"/>
          <w:szCs w:val="18"/>
        </w:rPr>
        <w:t>为每日应计提的产品托管费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E</w:t>
      </w:r>
      <w:r>
        <w:rPr>
          <w:rFonts w:ascii="宋体" w:hAnsi="宋体" w:hint="eastAsia"/>
          <w:kern w:val="0"/>
          <w:sz w:val="18"/>
          <w:szCs w:val="18"/>
        </w:rPr>
        <w:t>为前一日的理财资产净值</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6</w:t>
      </w:r>
      <w:r>
        <w:rPr>
          <w:rFonts w:ascii="宋体" w:hAnsi="宋体" w:hint="eastAsia"/>
          <w:kern w:val="0"/>
          <w:sz w:val="18"/>
          <w:szCs w:val="18"/>
        </w:rPr>
        <w:t>）上述理财产品的证券交易费用</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hint="eastAsia"/>
          <w:kern w:val="0"/>
          <w:sz w:val="18"/>
          <w:szCs w:val="18"/>
        </w:rPr>
        <w:t>7</w:t>
      </w:r>
      <w:r>
        <w:rPr>
          <w:rFonts w:ascii="宋体" w:hAnsi="宋体" w:hint="eastAsia"/>
          <w:kern w:val="0"/>
          <w:sz w:val="18"/>
          <w:szCs w:val="18"/>
        </w:rPr>
        <w:t>）上述理财产品验资费、审计费、律师费、信息披露费、清算费、执行费用等相关费用</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4A6D8C" w:rsidRDefault="00C1729C">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4A6D8C" w:rsidRDefault="00C1729C">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4A6D8C" w:rsidRDefault="00C1729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4A6D8C" w:rsidRDefault="00C1729C">
      <w:pPr>
        <w:pStyle w:val="1"/>
        <w:spacing w:line="360" w:lineRule="auto"/>
        <w:jc w:val="center"/>
      </w:pPr>
      <w:r>
        <w:br w:type="page"/>
      </w:r>
      <w:bookmarkStart w:id="114" w:name="_Toc141703889"/>
      <w:bookmarkStart w:id="115" w:name="_Toc3572"/>
      <w:bookmarkStart w:id="116" w:name="_Toc21735"/>
      <w:bookmarkStart w:id="117" w:name="_Toc123112237"/>
      <w:bookmarkStart w:id="118" w:name="_Toc88747129"/>
      <w:bookmarkStart w:id="119" w:name="_Toc725"/>
      <w:bookmarkStart w:id="120" w:name="_Toc79154673"/>
      <w:bookmarkStart w:id="121" w:name="_Toc139991739"/>
      <w:bookmarkStart w:id="122" w:name="_Toc74065746"/>
      <w:bookmarkStart w:id="123" w:name="_Toc123051455"/>
      <w:bookmarkStart w:id="124" w:name="_Toc10398"/>
      <w:bookmarkStart w:id="125" w:name="_Toc3080"/>
      <w:bookmarkStart w:id="126" w:name="_Toc18206"/>
      <w:bookmarkStart w:id="127" w:name="_Toc123102456"/>
      <w:bookmarkStart w:id="128" w:name="_Toc31821"/>
      <w:bookmarkStart w:id="129" w:name="_Toc98560355"/>
      <w:bookmarkStart w:id="130" w:name="_Toc16164"/>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4A6D8C" w:rsidRDefault="00C1729C">
      <w:pPr>
        <w:spacing w:line="360" w:lineRule="auto"/>
        <w:ind w:firstLineChars="200" w:firstLine="361"/>
        <w:rPr>
          <w:rFonts w:asciiTheme="majorEastAsia" w:eastAsiaTheme="majorEastAsia" w:hAnsiTheme="majorEastAsia"/>
          <w:b/>
          <w:bCs/>
          <w:sz w:val="18"/>
          <w:szCs w:val="18"/>
        </w:rPr>
      </w:pPr>
      <w:bookmarkStart w:id="131" w:name="_Toc15118245"/>
      <w:bookmarkStart w:id="132" w:name="_Toc57530252"/>
      <w:bookmarkStart w:id="133" w:name="_Toc79392593"/>
      <w:r>
        <w:rPr>
          <w:rFonts w:asciiTheme="majorEastAsia" w:eastAsiaTheme="majorEastAsia" w:hAnsiTheme="majorEastAsia" w:hint="eastAsia"/>
          <w:b/>
          <w:bCs/>
          <w:sz w:val="18"/>
          <w:szCs w:val="18"/>
        </w:rPr>
        <w:t>（一）理财产品的终止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因法律法规变化或国家金融政策调整、紧急措施出台影响产品继续正常运作。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法律法规规定或监管部门认定的其他情形。</w:t>
      </w:r>
    </w:p>
    <w:p w:rsidR="004A6D8C" w:rsidRDefault="00C1729C">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因市场成交量不足、资产限制赎回、暂停交易、缺乏意愿交易对手等原因，导致产品项下对应的投资标的无</w:t>
      </w:r>
      <w:r>
        <w:rPr>
          <w:rFonts w:ascii="黑体" w:eastAsia="黑体" w:hAnsi="黑体" w:hint="eastAsia"/>
          <w:bCs/>
          <w:sz w:val="18"/>
          <w:szCs w:val="18"/>
        </w:rPr>
        <w:t>法及时变现；</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4A6D8C" w:rsidRDefault="00C1729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w:t>
      </w:r>
      <w:r>
        <w:rPr>
          <w:rFonts w:asciiTheme="majorEastAsia" w:eastAsiaTheme="majorEastAsia" w:hAnsiTheme="majorEastAsia" w:hint="eastAsia"/>
          <w:bCs/>
          <w:sz w:val="18"/>
          <w:szCs w:val="18"/>
        </w:rPr>
        <w:t>向投资者分配。</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】个工作日内将已变现资产按投资者持有理财产品份额比例分配。理财产品终止日相应顺延至理财产品全部变现之日。待全部资产变现后，产品管理人依照清算条款分配理财利益至投资者账户。</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w:t>
      </w:r>
      <w:r>
        <w:rPr>
          <w:rFonts w:asciiTheme="majorEastAsia" w:eastAsiaTheme="majorEastAsia" w:hAnsiTheme="majorEastAsia" w:hint="eastAsia"/>
          <w:bCs/>
          <w:sz w:val="18"/>
          <w:szCs w:val="18"/>
        </w:rPr>
        <w:t>等事宜由双方另行约定。</w:t>
      </w:r>
    </w:p>
    <w:bookmarkEnd w:id="131"/>
    <w:bookmarkEnd w:id="132"/>
    <w:bookmarkEnd w:id="133"/>
    <w:p w:rsidR="004A6D8C" w:rsidRDefault="00C1729C">
      <w:pPr>
        <w:pStyle w:val="1"/>
        <w:spacing w:before="0" w:after="0" w:line="360" w:lineRule="auto"/>
        <w:jc w:val="center"/>
        <w:rPr>
          <w:rFonts w:ascii="Times New Roman"/>
          <w:sz w:val="30"/>
        </w:rPr>
      </w:pPr>
      <w:r>
        <w:rPr>
          <w:rFonts w:ascii="Times New Roman"/>
          <w:b w:val="0"/>
          <w:bCs w:val="0"/>
          <w:kern w:val="2"/>
        </w:rPr>
        <w:br w:type="page"/>
      </w:r>
      <w:bookmarkStart w:id="134" w:name="_Toc21237"/>
      <w:bookmarkStart w:id="135" w:name="_Toc88747130"/>
      <w:bookmarkStart w:id="136" w:name="_Toc17920"/>
      <w:bookmarkStart w:id="137" w:name="_Toc3329"/>
      <w:bookmarkStart w:id="138" w:name="_Toc79392622"/>
      <w:bookmarkStart w:id="139" w:name="_Toc141703890"/>
      <w:bookmarkStart w:id="140" w:name="_Toc139991740"/>
      <w:bookmarkStart w:id="141" w:name="_Toc8791"/>
      <w:bookmarkStart w:id="142" w:name="_Toc739"/>
      <w:bookmarkStart w:id="143" w:name="_Toc5170"/>
      <w:bookmarkStart w:id="144" w:name="_Toc48649708"/>
      <w:bookmarkStart w:id="145" w:name="_Toc79154674"/>
      <w:bookmarkStart w:id="146" w:name="_Toc123102457"/>
      <w:bookmarkStart w:id="147" w:name="_Toc32092"/>
      <w:bookmarkStart w:id="148" w:name="_Toc98560356"/>
      <w:bookmarkStart w:id="149" w:name="_Toc123051456"/>
      <w:bookmarkStart w:id="150" w:name="_Toc123112238"/>
      <w:bookmarkStart w:id="151" w:name="_Toc32584"/>
      <w:bookmarkStart w:id="152" w:name="_Toc74065747"/>
      <w:bookmarkStart w:id="153" w:name="_Toc17198"/>
      <w:bookmarkStart w:id="154" w:name="_Toc294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A6D8C" w:rsidRDefault="00C1729C">
      <w:pPr>
        <w:spacing w:line="360" w:lineRule="auto"/>
        <w:ind w:firstLine="361"/>
        <w:rPr>
          <w:rFonts w:ascii="宋体" w:hAnsi="宋体"/>
          <w:b/>
          <w:bCs/>
          <w:sz w:val="18"/>
          <w:szCs w:val="18"/>
        </w:rPr>
      </w:pPr>
      <w:r>
        <w:rPr>
          <w:rFonts w:ascii="宋体" w:hAnsi="宋体" w:hint="eastAsia"/>
          <w:b/>
          <w:bCs/>
          <w:sz w:val="18"/>
          <w:szCs w:val="18"/>
        </w:rPr>
        <w:t>（一）信息披露的原则</w:t>
      </w:r>
    </w:p>
    <w:p w:rsidR="004A6D8C" w:rsidRDefault="00C1729C">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（二）信息披露的渠道</w:t>
      </w:r>
    </w:p>
    <w:p w:rsidR="004A6D8C" w:rsidRDefault="00C1729C">
      <w:pPr>
        <w:spacing w:line="360" w:lineRule="auto"/>
        <w:ind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4A6D8C" w:rsidRDefault="00C1729C">
      <w:pPr>
        <w:spacing w:line="360" w:lineRule="auto"/>
        <w:ind w:firstLine="360"/>
        <w:rPr>
          <w:rFonts w:ascii="黑体" w:eastAsia="黑体" w:hAnsi="黑体"/>
          <w:bCs/>
          <w:sz w:val="18"/>
          <w:szCs w:val="18"/>
        </w:rPr>
      </w:pPr>
      <w:r>
        <w:rPr>
          <w:rFonts w:ascii="黑体" w:eastAsia="黑体" w:hAnsi="黑体" w:hint="eastAsia"/>
          <w:bCs/>
          <w:sz w:val="18"/>
          <w:szCs w:val="18"/>
        </w:rPr>
        <w:t>2.</w:t>
      </w:r>
      <w:r>
        <w:rPr>
          <w:rFonts w:ascii="黑体" w:eastAsia="黑体" w:hAnsi="黑体" w:hint="eastAsia"/>
          <w:bCs/>
          <w:sz w:val="18"/>
          <w:szCs w:val="18"/>
        </w:rPr>
        <w:t>★产品管理人通过产品管理人或销售机构的信息披露渠道发布理财产品有关信息，即视为已适当履行其信息披露义务。如产品管理人认为需要直接联系投资者的，将依据本说明书投资者信息中投资者预留的信息进行通知。因投资者原因而导致该等通知失败的，产品管理人不承担相应责任。</w:t>
      </w:r>
    </w:p>
    <w:p w:rsidR="004A6D8C" w:rsidRDefault="00C1729C">
      <w:pPr>
        <w:spacing w:line="360" w:lineRule="auto"/>
        <w:ind w:firstLine="360"/>
        <w:rPr>
          <w:rFonts w:ascii="宋体" w:hAnsi="宋体"/>
          <w:bCs/>
          <w:sz w:val="18"/>
          <w:szCs w:val="18"/>
        </w:rPr>
      </w:pPr>
      <w:r>
        <w:rPr>
          <w:rFonts w:ascii="宋体" w:hAnsi="宋体" w:hint="eastAsia"/>
          <w:bCs/>
          <w:sz w:val="18"/>
          <w:szCs w:val="18"/>
        </w:rPr>
        <w:t>3.</w:t>
      </w:r>
      <w:r>
        <w:rPr>
          <w:rFonts w:ascii="宋体" w:hAnsi="宋体" w:hint="eastAsia"/>
          <w:bCs/>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w:t>
      </w:r>
      <w:r>
        <w:rPr>
          <w:rFonts w:ascii="宋体" w:hAnsi="宋体" w:hint="eastAsia"/>
          <w:bCs/>
          <w:sz w:val="18"/>
          <w:szCs w:val="18"/>
        </w:rPr>
        <w:t>构进行咨询。</w:t>
      </w:r>
    </w:p>
    <w:p w:rsidR="004A6D8C" w:rsidRDefault="00C1729C">
      <w:pPr>
        <w:spacing w:line="360" w:lineRule="auto"/>
        <w:ind w:firstLine="360"/>
        <w:rPr>
          <w:rFonts w:ascii="宋体" w:hAnsi="宋体"/>
          <w:bCs/>
          <w:sz w:val="18"/>
          <w:szCs w:val="18"/>
        </w:rPr>
      </w:pPr>
      <w:r>
        <w:rPr>
          <w:rFonts w:ascii="宋体" w:hAnsi="宋体" w:hint="eastAsia"/>
          <w:bCs/>
          <w:sz w:val="18"/>
          <w:szCs w:val="18"/>
        </w:rPr>
        <w:t>4.</w:t>
      </w:r>
      <w:r>
        <w:rPr>
          <w:rFonts w:ascii="宋体" w:hAnsi="宋体" w:hint="eastAsia"/>
          <w:bCs/>
          <w:sz w:val="18"/>
          <w:szCs w:val="18"/>
        </w:rPr>
        <w:t>在保障投资者知情权的前提下，产品管理人保留变更信息披露渠道的权利。</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（三）信息披露的内容</w:t>
      </w:r>
    </w:p>
    <w:p w:rsidR="004A6D8C" w:rsidRDefault="00C1729C">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4A6D8C" w:rsidRDefault="00C1729C">
      <w:pPr>
        <w:spacing w:line="360" w:lineRule="auto"/>
        <w:ind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产品成立公告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hint="eastAsia"/>
          <w:bCs/>
          <w:sz w:val="18"/>
          <w:szCs w:val="18"/>
        </w:rPr>
        <w:t>5</w:t>
      </w:r>
      <w:r>
        <w:rPr>
          <w:rFonts w:ascii="宋体" w:hAnsi="宋体" w:hint="eastAsia"/>
          <w:bCs/>
          <w:sz w:val="18"/>
          <w:szCs w:val="18"/>
        </w:rPr>
        <w:t>个工作日内，产品管理人将发布产品成立公告。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2.</w:t>
      </w:r>
      <w:r>
        <w:rPr>
          <w:rFonts w:ascii="宋体" w:hAnsi="宋体" w:hint="eastAsia"/>
          <w:bCs/>
          <w:sz w:val="18"/>
          <w:szCs w:val="18"/>
        </w:rPr>
        <w:t>重大事项公告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hint="eastAsia"/>
          <w:bCs/>
          <w:sz w:val="18"/>
          <w:szCs w:val="18"/>
        </w:rPr>
        <w:t>2</w:t>
      </w:r>
      <w:r>
        <w:rPr>
          <w:rFonts w:ascii="宋体" w:hAnsi="宋体" w:hint="eastAsia"/>
          <w:bCs/>
          <w:sz w:val="18"/>
          <w:szCs w:val="18"/>
        </w:rPr>
        <w:t>个工作日内发布重大事项公告。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3.</w:t>
      </w:r>
      <w:r>
        <w:rPr>
          <w:rFonts w:ascii="宋体" w:hAnsi="宋体" w:hint="eastAsia"/>
          <w:bCs/>
          <w:sz w:val="18"/>
          <w:szCs w:val="18"/>
        </w:rPr>
        <w:t>定期报告</w:t>
      </w:r>
    </w:p>
    <w:p w:rsidR="004A6D8C" w:rsidRDefault="00C1729C">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w:t>
      </w:r>
      <w:r>
        <w:rPr>
          <w:rFonts w:ascii="宋体" w:hAnsi="宋体" w:hint="eastAsia"/>
          <w:bCs/>
          <w:sz w:val="18"/>
          <w:szCs w:val="18"/>
        </w:rPr>
        <w:t>90</w:t>
      </w:r>
      <w:r>
        <w:rPr>
          <w:rFonts w:ascii="宋体" w:hAnsi="宋体" w:hint="eastAsia"/>
          <w:bCs/>
          <w:sz w:val="18"/>
          <w:szCs w:val="18"/>
        </w:rPr>
        <w:t>日后且剩余存续期超过</w:t>
      </w:r>
      <w:r>
        <w:rPr>
          <w:rFonts w:ascii="宋体" w:hAnsi="宋体" w:hint="eastAsia"/>
          <w:bCs/>
          <w:sz w:val="18"/>
          <w:szCs w:val="18"/>
        </w:rPr>
        <w:t>90</w:t>
      </w:r>
      <w:r>
        <w:rPr>
          <w:rFonts w:ascii="宋体" w:hAnsi="宋体" w:hint="eastAsia"/>
          <w:bCs/>
          <w:sz w:val="18"/>
          <w:szCs w:val="18"/>
        </w:rPr>
        <w:t>日以上，产品管理人应在每季度结束之日起</w:t>
      </w:r>
      <w:r>
        <w:rPr>
          <w:rFonts w:ascii="宋体" w:hAnsi="宋体" w:hint="eastAsia"/>
          <w:bCs/>
          <w:sz w:val="18"/>
          <w:szCs w:val="18"/>
        </w:rPr>
        <w:t>15</w:t>
      </w:r>
      <w:r>
        <w:rPr>
          <w:rFonts w:ascii="宋体" w:hAnsi="宋体" w:hint="eastAsia"/>
          <w:bCs/>
          <w:sz w:val="18"/>
          <w:szCs w:val="18"/>
        </w:rPr>
        <w:t>个工作日内、上半年结束之日起</w:t>
      </w:r>
      <w:r>
        <w:rPr>
          <w:rFonts w:ascii="宋体" w:hAnsi="宋体" w:hint="eastAsia"/>
          <w:bCs/>
          <w:sz w:val="18"/>
          <w:szCs w:val="18"/>
        </w:rPr>
        <w:t>60</w:t>
      </w:r>
      <w:r>
        <w:rPr>
          <w:rFonts w:ascii="宋体" w:hAnsi="宋体" w:hint="eastAsia"/>
          <w:bCs/>
          <w:sz w:val="18"/>
          <w:szCs w:val="18"/>
        </w:rPr>
        <w:t>个工作日内、每年结束之日起</w:t>
      </w:r>
      <w:r>
        <w:rPr>
          <w:rFonts w:ascii="宋体" w:hAnsi="宋体" w:hint="eastAsia"/>
          <w:bCs/>
          <w:sz w:val="18"/>
          <w:szCs w:val="18"/>
        </w:rPr>
        <w:t>90</w:t>
      </w:r>
      <w:r>
        <w:rPr>
          <w:rFonts w:ascii="宋体" w:hAnsi="宋体" w:hint="eastAsia"/>
          <w:bCs/>
          <w:sz w:val="18"/>
          <w:szCs w:val="18"/>
        </w:rPr>
        <w:t>个工作日内，披露产品季度、半年度和年度报告等定期报告。产品成立不足</w:t>
      </w:r>
      <w:r>
        <w:rPr>
          <w:rFonts w:ascii="宋体" w:hAnsi="宋体" w:hint="eastAsia"/>
          <w:bCs/>
          <w:sz w:val="18"/>
          <w:szCs w:val="18"/>
        </w:rPr>
        <w:t>90</w:t>
      </w:r>
      <w:r>
        <w:rPr>
          <w:rFonts w:ascii="宋体" w:hAnsi="宋体" w:hint="eastAsia"/>
          <w:bCs/>
          <w:sz w:val="18"/>
          <w:szCs w:val="18"/>
        </w:rPr>
        <w:t>日或者剩余存续期不超过</w:t>
      </w:r>
      <w:r>
        <w:rPr>
          <w:rFonts w:ascii="宋体" w:hAnsi="宋体" w:hint="eastAsia"/>
          <w:bCs/>
          <w:sz w:val="18"/>
          <w:szCs w:val="18"/>
        </w:rPr>
        <w:t>90</w:t>
      </w:r>
      <w:r>
        <w:rPr>
          <w:rFonts w:ascii="宋体" w:hAnsi="宋体" w:hint="eastAsia"/>
          <w:bCs/>
          <w:sz w:val="18"/>
          <w:szCs w:val="18"/>
        </w:rPr>
        <w:t>日的，可以不编制产品的季度、半年度和年度报告等定期报告。</w:t>
      </w:r>
    </w:p>
    <w:p w:rsidR="004A6D8C" w:rsidRDefault="00C1729C">
      <w:pPr>
        <w:spacing w:line="360" w:lineRule="auto"/>
        <w:ind w:firstLine="360"/>
        <w:rPr>
          <w:rFonts w:ascii="宋体" w:hAnsi="宋体"/>
          <w:bCs/>
          <w:sz w:val="18"/>
          <w:szCs w:val="18"/>
        </w:rPr>
      </w:pPr>
      <w:r>
        <w:rPr>
          <w:rFonts w:ascii="宋体" w:hAnsi="宋体" w:hint="eastAsia"/>
          <w:bCs/>
          <w:sz w:val="18"/>
          <w:szCs w:val="18"/>
        </w:rPr>
        <w:lastRenderedPageBreak/>
        <w:t>4.</w:t>
      </w:r>
      <w:r>
        <w:rPr>
          <w:rFonts w:ascii="宋体" w:hAnsi="宋体" w:hint="eastAsia"/>
          <w:bCs/>
          <w:sz w:val="18"/>
          <w:szCs w:val="18"/>
        </w:rPr>
        <w:t>到期公告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hint="eastAsia"/>
          <w:bCs/>
          <w:sz w:val="18"/>
          <w:szCs w:val="18"/>
        </w:rPr>
        <w:t>2</w:t>
      </w:r>
      <w:r>
        <w:rPr>
          <w:rFonts w:ascii="宋体" w:hAnsi="宋体" w:hint="eastAsia"/>
          <w:bCs/>
          <w:sz w:val="18"/>
          <w:szCs w:val="18"/>
        </w:rPr>
        <w:t>个工作日进行公告。本产品终止后</w:t>
      </w:r>
      <w:r>
        <w:rPr>
          <w:rFonts w:ascii="宋体" w:hAnsi="宋体" w:hint="eastAsia"/>
          <w:bCs/>
          <w:sz w:val="18"/>
          <w:szCs w:val="18"/>
        </w:rPr>
        <w:t>5</w:t>
      </w:r>
      <w:r>
        <w:rPr>
          <w:rFonts w:ascii="宋体" w:hAnsi="宋体" w:hint="eastAsia"/>
          <w:bCs/>
          <w:sz w:val="18"/>
          <w:szCs w:val="18"/>
        </w:rPr>
        <w:t>个工作日内，产品管理人发布产品到期公告。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5.</w:t>
      </w:r>
      <w:r>
        <w:rPr>
          <w:rFonts w:ascii="宋体" w:hAnsi="宋体" w:hint="eastAsia"/>
          <w:bCs/>
          <w:sz w:val="18"/>
          <w:szCs w:val="18"/>
        </w:rPr>
        <w:t>估值日公告</w:t>
      </w:r>
    </w:p>
    <w:p w:rsidR="004A6D8C" w:rsidRDefault="00C1729C">
      <w:pPr>
        <w:spacing w:line="360" w:lineRule="auto"/>
        <w:ind w:firstLine="360"/>
        <w:rPr>
          <w:rFonts w:ascii="宋体" w:hAnsi="宋体"/>
          <w:bCs/>
          <w:sz w:val="18"/>
          <w:szCs w:val="18"/>
        </w:rPr>
      </w:pPr>
      <w:permStart w:id="2137263424"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2137263424"/>
    <w:p w:rsidR="004A6D8C" w:rsidRDefault="00C1729C">
      <w:pPr>
        <w:spacing w:line="360" w:lineRule="auto"/>
        <w:ind w:firstLine="360"/>
        <w:rPr>
          <w:rFonts w:ascii="宋体" w:hAnsi="宋体"/>
          <w:bCs/>
          <w:sz w:val="18"/>
          <w:szCs w:val="18"/>
        </w:rPr>
      </w:pPr>
      <w:r>
        <w:rPr>
          <w:rFonts w:ascii="宋体" w:hAnsi="宋体" w:hint="eastAsia"/>
          <w:bCs/>
          <w:sz w:val="18"/>
          <w:szCs w:val="18"/>
        </w:rPr>
        <w:t>6.</w:t>
      </w:r>
      <w:r>
        <w:rPr>
          <w:rFonts w:ascii="宋体" w:hAnsi="宋体" w:hint="eastAsia"/>
          <w:bCs/>
          <w:sz w:val="18"/>
          <w:szCs w:val="18"/>
        </w:rPr>
        <w:t>临时公告</w:t>
      </w:r>
    </w:p>
    <w:p w:rsidR="004A6D8C" w:rsidRDefault="00C1729C">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hint="eastAsia"/>
          <w:b/>
          <w:bCs/>
          <w:sz w:val="18"/>
          <w:szCs w:val="18"/>
        </w:rPr>
        <w:t>1</w:t>
      </w:r>
      <w:r>
        <w:rPr>
          <w:rFonts w:ascii="黑体" w:eastAsia="黑体" w:hAnsi="黑体" w:hint="eastAsia"/>
          <w:b/>
          <w:bCs/>
          <w:sz w:val="18"/>
          <w:szCs w:val="18"/>
        </w:rPr>
        <w:t>）★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w:t>
      </w:r>
      <w:r>
        <w:rPr>
          <w:rFonts w:ascii="黑体" w:eastAsia="黑体" w:hAnsi="黑体" w:hint="eastAsia"/>
          <w:b/>
          <w:bCs/>
          <w:sz w:val="18"/>
          <w:szCs w:val="18"/>
        </w:rPr>
        <w:t>。产品管理人将提前</w:t>
      </w:r>
      <w:r>
        <w:rPr>
          <w:rFonts w:ascii="黑体" w:eastAsia="黑体" w:hAnsi="黑体" w:hint="eastAsia"/>
          <w:b/>
          <w:bCs/>
          <w:sz w:val="18"/>
          <w:szCs w:val="18"/>
        </w:rPr>
        <w:t>2</w:t>
      </w:r>
      <w:r>
        <w:rPr>
          <w:rFonts w:ascii="黑体" w:eastAsia="黑体" w:hAnsi="黑体" w:hint="eastAsia"/>
          <w:b/>
          <w:bCs/>
          <w:sz w:val="18"/>
          <w:szCs w:val="18"/>
        </w:rPr>
        <w:t>个工作日发布变更公告。</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w:t>
      </w:r>
      <w:r>
        <w:rPr>
          <w:rFonts w:ascii="宋体" w:hAnsi="宋体" w:hint="eastAsia"/>
          <w:bCs/>
          <w:sz w:val="18"/>
          <w:szCs w:val="18"/>
        </w:rPr>
        <w:t>3</w:t>
      </w:r>
      <w:r>
        <w:rPr>
          <w:rFonts w:ascii="宋体" w:hAnsi="宋体" w:hint="eastAsia"/>
          <w:bCs/>
          <w:sz w:val="18"/>
          <w:szCs w:val="18"/>
        </w:rPr>
        <w:t>个交易日内告知投资者，并说明运用相关措施的原因和拟采取的应对安排等。在发生涉及产品认购事项调整时，管理人将发布临时公告。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）理财产品清算期超过</w:t>
      </w:r>
      <w:r>
        <w:rPr>
          <w:rFonts w:ascii="宋体" w:hAnsi="宋体" w:hint="eastAsia"/>
          <w:bCs/>
          <w:sz w:val="18"/>
          <w:szCs w:val="18"/>
        </w:rPr>
        <w:t>5</w:t>
      </w:r>
      <w:r>
        <w:rPr>
          <w:rFonts w:ascii="宋体" w:hAnsi="宋体" w:hint="eastAsia"/>
          <w:bCs/>
          <w:sz w:val="18"/>
          <w:szCs w:val="18"/>
        </w:rPr>
        <w:t>个工作日的，产品管理人应当在理财产品终止前，根据与投资者的约定，在指定渠道向理财产品投资者进行披露。</w:t>
      </w:r>
    </w:p>
    <w:p w:rsidR="004A6D8C" w:rsidRDefault="00C1729C">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hint="eastAsia"/>
          <w:b/>
          <w:bCs/>
          <w:sz w:val="18"/>
          <w:szCs w:val="18"/>
        </w:rPr>
        <w:t>4</w:t>
      </w:r>
      <w:r>
        <w:rPr>
          <w:rFonts w:ascii="黑体" w:eastAsia="黑体" w:hAnsi="黑体" w:hint="eastAsia"/>
          <w:b/>
          <w:bCs/>
          <w:sz w:val="18"/>
          <w:szCs w:val="18"/>
        </w:rPr>
        <w:t>）★在本产品存续期内，如因国家法律法规、监管规定发生变化，或是出于维护本产品正常运营的需要，在不损害投资者权益的前提下，</w:t>
      </w:r>
      <w:r>
        <w:rPr>
          <w:rFonts w:ascii="黑体" w:eastAsia="黑体" w:hAnsi="黑体" w:hint="eastAsia"/>
          <w:b/>
          <w:bCs/>
          <w:sz w:val="18"/>
          <w:szCs w:val="18"/>
        </w:rPr>
        <w:t>产品管理人有权对理财产品销售文件进行修订，并提前</w:t>
      </w:r>
      <w:r>
        <w:rPr>
          <w:rFonts w:ascii="黑体" w:eastAsia="黑体" w:hAnsi="黑体" w:hint="eastAsia"/>
          <w:b/>
          <w:bCs/>
          <w:sz w:val="18"/>
          <w:szCs w:val="18"/>
        </w:rPr>
        <w:t>2</w:t>
      </w:r>
      <w:r>
        <w:rPr>
          <w:rFonts w:ascii="黑体" w:eastAsia="黑体" w:hAnsi="黑体" w:hint="eastAsia"/>
          <w:b/>
          <w:bCs/>
          <w:sz w:val="18"/>
          <w:szCs w:val="18"/>
        </w:rPr>
        <w:t>个工作日进行公告。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）其他临时性公告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4A6D8C" w:rsidRDefault="00C1729C">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并提前</w:t>
      </w:r>
      <w:r>
        <w:rPr>
          <w:rFonts w:ascii="黑体" w:eastAsia="黑体" w:hAnsi="黑体" w:hint="eastAsia"/>
          <w:b/>
          <w:bCs/>
          <w:sz w:val="18"/>
          <w:szCs w:val="18"/>
        </w:rPr>
        <w:t>2</w:t>
      </w:r>
      <w:r>
        <w:rPr>
          <w:rFonts w:ascii="黑体" w:eastAsia="黑体" w:hAnsi="黑体" w:hint="eastAsia"/>
          <w:b/>
          <w:bCs/>
          <w:sz w:val="18"/>
          <w:szCs w:val="18"/>
        </w:rPr>
        <w:t>个工作日进行公告。若投资者未选择退出本产品的，则视为已理解并接受管理人的相应变更。</w:t>
      </w:r>
    </w:p>
    <w:p w:rsidR="004A6D8C" w:rsidRDefault="00C1729C">
      <w:pPr>
        <w:widowControl/>
        <w:spacing w:line="360" w:lineRule="auto"/>
        <w:jc w:val="left"/>
        <w:rPr>
          <w:bCs/>
          <w:sz w:val="24"/>
        </w:rPr>
      </w:pPr>
      <w:r>
        <w:rPr>
          <w:bCs/>
          <w:sz w:val="24"/>
        </w:rPr>
        <w:br w:type="page"/>
      </w:r>
    </w:p>
    <w:p w:rsidR="004A6D8C" w:rsidRDefault="00C1729C">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4A6D8C" w:rsidRDefault="00C1729C">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拟投资市场和资产的风险：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）投资债权类资产的风险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）投资标准化债权类资产的风险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4A6D8C" w:rsidRDefault="00C1729C">
      <w:pPr>
        <w:spacing w:line="360" w:lineRule="auto"/>
        <w:ind w:firstLineChars="200" w:firstLine="361"/>
        <w:rPr>
          <w:rFonts w:ascii="宋体" w:hAnsi="宋体"/>
          <w:b/>
          <w:sz w:val="18"/>
          <w:szCs w:val="18"/>
        </w:rPr>
      </w:pPr>
      <w:r>
        <w:rPr>
          <w:rFonts w:ascii="宋体" w:hAnsi="宋体" w:hint="eastAsia"/>
          <w:b/>
          <w:sz w:val="18"/>
          <w:szCs w:val="18"/>
        </w:rPr>
        <w:t>★注：以上特定风险仅为列举</w:t>
      </w:r>
      <w:r>
        <w:rPr>
          <w:rFonts w:ascii="宋体" w:hAnsi="宋体" w:hint="eastAsia"/>
          <w:b/>
          <w:sz w:val="18"/>
          <w:szCs w:val="18"/>
        </w:rPr>
        <w:t>性质，未能详尽列明投资本产品可能面临的全部风险和可能导致投资者投资本金及收益损失的所有因素。</w:t>
      </w:r>
    </w:p>
    <w:p w:rsidR="004A6D8C" w:rsidRDefault="00C1729C">
      <w:pPr>
        <w:spacing w:line="360" w:lineRule="auto"/>
        <w:ind w:firstLineChars="200" w:firstLine="361"/>
        <w:rPr>
          <w:rFonts w:ascii="宋体" w:hAnsi="宋体"/>
          <w:b/>
          <w:bCs/>
          <w:sz w:val="18"/>
          <w:szCs w:val="18"/>
        </w:rPr>
      </w:pPr>
      <w:r>
        <w:rPr>
          <w:rFonts w:ascii="宋体" w:hAnsi="宋体" w:hint="eastAsia"/>
          <w:b/>
          <w:bCs/>
          <w:sz w:val="18"/>
          <w:szCs w:val="18"/>
        </w:rPr>
        <w:t>（二）投资者投资本产品可能面临的一般风险主要包括（但不限于）：</w:t>
      </w:r>
      <w:r>
        <w:rPr>
          <w:rFonts w:ascii="宋体" w:hAnsi="宋体" w:hint="eastAsia"/>
          <w:b/>
          <w:bCs/>
          <w:sz w:val="18"/>
          <w:szCs w:val="18"/>
        </w:rPr>
        <w:t xml:space="preserve"> </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sz w:val="18"/>
          <w:szCs w:val="18"/>
        </w:rPr>
        <w:t>:</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w:t>
      </w:r>
      <w:r>
        <w:rPr>
          <w:rFonts w:ascii="宋体" w:hAnsi="宋体" w:hint="eastAsia"/>
          <w:sz w:val="18"/>
          <w:szCs w:val="18"/>
        </w:rPr>
        <w:t>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w:t>
      </w:r>
      <w:r>
        <w:rPr>
          <w:rFonts w:ascii="宋体" w:hAnsi="宋体" w:hint="eastAsia"/>
          <w:sz w:val="18"/>
          <w:szCs w:val="18"/>
        </w:rPr>
        <w:t>的原因导致理财基础资产不能及时变现而造成理财产品不能按时分配，理财期限将相应延长，从而导致本产品部分资金的延期分配。</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4A6D8C" w:rsidRDefault="00C1729C">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w:t>
      </w:r>
      <w:r>
        <w:rPr>
          <w:rFonts w:ascii="黑体" w:eastAsia="黑体" w:hAnsi="黑体"/>
          <w:sz w:val="18"/>
          <w:szCs w:val="18"/>
        </w:rPr>
        <w:t>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w:t>
      </w:r>
      <w:r>
        <w:rPr>
          <w:rFonts w:ascii="黑体" w:eastAsia="黑体" w:hAnsi="黑体" w:hint="eastAsia"/>
          <w:sz w:val="18"/>
          <w:szCs w:val="18"/>
        </w:rPr>
        <w:t>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4A6D8C" w:rsidRDefault="00C1729C">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w:t>
      </w:r>
      <w:r>
        <w:rPr>
          <w:rFonts w:ascii="宋体" w:hAnsi="宋体" w:hint="eastAsia"/>
          <w:sz w:val="18"/>
          <w:szCs w:val="18"/>
        </w:rPr>
        <w:t>财投资资产相关服务机构受经验、技能等因素的限制，或者上述主体处理事务不当等，可能导致投资者遭受损失。</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w:t>
      </w:r>
      <w:r>
        <w:rPr>
          <w:rFonts w:ascii="宋体" w:hAnsi="宋体"/>
          <w:sz w:val="18"/>
          <w:szCs w:val="18"/>
        </w:rPr>
        <w:t>部程序、员工和信息科技系统，以及外部事件所造成损失的风险。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4A6D8C" w:rsidRDefault="00C1729C">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宋体" w:hAnsi="宋体" w:hint="eastAsia"/>
          <w:sz w:val="18"/>
          <w:szCs w:val="18"/>
        </w:rPr>
        <w:t>★</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w:t>
      </w:r>
      <w:r>
        <w:rPr>
          <w:rFonts w:ascii="黑体" w:eastAsia="黑体" w:hAnsi="黑体"/>
          <w:sz w:val="18"/>
          <w:szCs w:val="18"/>
        </w:rPr>
        <w:t>/</w:t>
      </w:r>
      <w:r>
        <w:rPr>
          <w:rFonts w:ascii="黑体" w:eastAsia="黑体" w:hAnsi="黑体"/>
          <w:sz w:val="18"/>
          <w:szCs w:val="18"/>
        </w:rPr>
        <w:t>赎回确认时效可能存在差异。如因投资者清算账户余额不足，</w:t>
      </w:r>
      <w:r>
        <w:rPr>
          <w:rFonts w:ascii="黑体" w:eastAsia="黑体" w:hAnsi="黑体"/>
          <w:sz w:val="18"/>
          <w:szCs w:val="18"/>
        </w:rPr>
        <w:t>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不免除因代理销售机构过错依法应由代理销售机构承担的责任。</w:t>
      </w:r>
    </w:p>
    <w:p w:rsidR="004A6D8C" w:rsidRDefault="00C1729C">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w:t>
      </w:r>
      <w:r>
        <w:rPr>
          <w:rFonts w:ascii="黑体" w:eastAsia="黑体" w:hAnsi="黑体" w:hint="eastAsia"/>
          <w:sz w:val="18"/>
          <w:szCs w:val="18"/>
        </w:rPr>
        <w:t>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4A6D8C" w:rsidRDefault="00C1729C">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w:t>
      </w:r>
      <w:r>
        <w:rPr>
          <w:rFonts w:ascii="黑体" w:eastAsia="黑体" w:hAnsi="黑体" w:hint="eastAsia"/>
          <w:sz w:val="18"/>
          <w:szCs w:val="18"/>
        </w:rPr>
        <w:t>投资者可能无法获得理财收益</w:t>
      </w:r>
      <w:r>
        <w:rPr>
          <w:rFonts w:ascii="黑体" w:eastAsia="黑体" w:hAnsi="黑体"/>
          <w:sz w:val="18"/>
          <w:szCs w:val="18"/>
        </w:rPr>
        <w:t>，甚至投资者的投资本金将遭受损失，在最不利的极端情况下，投资者可能损失全部本金。</w:t>
      </w:r>
    </w:p>
    <w:p w:rsidR="004A6D8C" w:rsidRDefault="004A6D8C">
      <w:pPr>
        <w:spacing w:line="360" w:lineRule="auto"/>
        <w:ind w:firstLineChars="200" w:firstLine="360"/>
        <w:rPr>
          <w:rFonts w:ascii="宋体" w:hAnsi="宋体"/>
          <w:sz w:val="18"/>
          <w:szCs w:val="18"/>
        </w:rPr>
      </w:pPr>
    </w:p>
    <w:p w:rsidR="004A6D8C" w:rsidRDefault="00C1729C">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4A6D8C">
        <w:trPr>
          <w:trHeight w:hRule="exact" w:val="316"/>
        </w:trPr>
        <w:tc>
          <w:tcPr>
            <w:tcW w:w="8522" w:type="dxa"/>
            <w:gridSpan w:val="2"/>
          </w:tcPr>
          <w:p w:rsidR="004A6D8C" w:rsidRDefault="00C1729C">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4A6D8C" w:rsidRDefault="004A6D8C">
            <w:pPr>
              <w:spacing w:line="360" w:lineRule="auto"/>
              <w:rPr>
                <w:b/>
                <w:sz w:val="18"/>
                <w:szCs w:val="18"/>
              </w:rPr>
            </w:pPr>
          </w:p>
        </w:tc>
      </w:tr>
      <w:tr w:rsidR="004A6D8C">
        <w:trPr>
          <w:trHeight w:hRule="exact" w:val="1862"/>
        </w:trPr>
        <w:tc>
          <w:tcPr>
            <w:tcW w:w="882" w:type="dxa"/>
          </w:tcPr>
          <w:p w:rsidR="004A6D8C" w:rsidRDefault="00C1729C">
            <w:pPr>
              <w:spacing w:line="360" w:lineRule="auto"/>
              <w:rPr>
                <w:b/>
                <w:sz w:val="18"/>
                <w:szCs w:val="18"/>
              </w:rPr>
            </w:pPr>
            <w:r>
              <w:rPr>
                <w:rFonts w:hint="eastAsia"/>
                <w:b/>
                <w:sz w:val="18"/>
                <w:szCs w:val="18"/>
              </w:rPr>
              <w:t>个人投资者适用</w:t>
            </w:r>
          </w:p>
        </w:tc>
        <w:tc>
          <w:tcPr>
            <w:tcW w:w="7640" w:type="dxa"/>
          </w:tcPr>
          <w:p w:rsidR="004A6D8C" w:rsidRDefault="00C1729C">
            <w:pPr>
              <w:spacing w:line="360" w:lineRule="auto"/>
              <w:rPr>
                <w:sz w:val="18"/>
                <w:szCs w:val="18"/>
              </w:rPr>
            </w:pPr>
            <w:r>
              <w:rPr>
                <w:rFonts w:hint="eastAsia"/>
                <w:sz w:val="18"/>
                <w:szCs w:val="18"/>
              </w:rPr>
              <w:t>投资者（签字）：</w:t>
            </w:r>
          </w:p>
          <w:p w:rsidR="004A6D8C" w:rsidRDefault="004A6D8C">
            <w:pPr>
              <w:spacing w:line="360" w:lineRule="auto"/>
              <w:rPr>
                <w:b/>
                <w:sz w:val="18"/>
                <w:szCs w:val="18"/>
              </w:rPr>
            </w:pPr>
          </w:p>
          <w:p w:rsidR="004A6D8C" w:rsidRDefault="00C1729C">
            <w:pPr>
              <w:spacing w:line="360" w:lineRule="auto"/>
              <w:rPr>
                <w:sz w:val="18"/>
                <w:szCs w:val="18"/>
              </w:rPr>
            </w:pPr>
            <w:r>
              <w:rPr>
                <w:rFonts w:hint="eastAsia"/>
                <w:sz w:val="18"/>
                <w:szCs w:val="18"/>
              </w:rPr>
              <w:t>日期：</w:t>
            </w:r>
          </w:p>
        </w:tc>
      </w:tr>
      <w:tr w:rsidR="004A6D8C">
        <w:trPr>
          <w:trHeight w:val="1954"/>
        </w:trPr>
        <w:tc>
          <w:tcPr>
            <w:tcW w:w="882" w:type="dxa"/>
          </w:tcPr>
          <w:p w:rsidR="004A6D8C" w:rsidRDefault="00C1729C">
            <w:pPr>
              <w:spacing w:line="360" w:lineRule="auto"/>
              <w:rPr>
                <w:b/>
                <w:sz w:val="18"/>
                <w:szCs w:val="18"/>
              </w:rPr>
            </w:pPr>
            <w:r>
              <w:rPr>
                <w:rFonts w:hint="eastAsia"/>
                <w:b/>
                <w:sz w:val="18"/>
                <w:szCs w:val="18"/>
              </w:rPr>
              <w:t>机构投资者适用</w:t>
            </w:r>
          </w:p>
        </w:tc>
        <w:tc>
          <w:tcPr>
            <w:tcW w:w="7640" w:type="dxa"/>
          </w:tcPr>
          <w:p w:rsidR="004A6D8C" w:rsidRDefault="00C1729C">
            <w:pPr>
              <w:spacing w:line="360" w:lineRule="auto"/>
              <w:rPr>
                <w:rFonts w:cs="Arial"/>
                <w:sz w:val="18"/>
                <w:szCs w:val="18"/>
              </w:rPr>
            </w:pPr>
            <w:r>
              <w:rPr>
                <w:rFonts w:hint="eastAsia"/>
                <w:sz w:val="18"/>
                <w:szCs w:val="18"/>
              </w:rPr>
              <w:t>投资者</w:t>
            </w:r>
            <w:r>
              <w:rPr>
                <w:rFonts w:cs="Arial" w:hint="eastAsia"/>
                <w:sz w:val="18"/>
                <w:szCs w:val="18"/>
              </w:rPr>
              <w:t>（盖章）：</w:t>
            </w:r>
          </w:p>
          <w:p w:rsidR="004A6D8C" w:rsidRDefault="004A6D8C">
            <w:pPr>
              <w:spacing w:line="360" w:lineRule="auto"/>
              <w:rPr>
                <w:rFonts w:cs="Arial"/>
                <w:sz w:val="18"/>
                <w:szCs w:val="18"/>
              </w:rPr>
            </w:pPr>
          </w:p>
          <w:p w:rsidR="004A6D8C" w:rsidRDefault="00C1729C">
            <w:pPr>
              <w:spacing w:line="360" w:lineRule="auto"/>
              <w:rPr>
                <w:rFonts w:cs="Arial"/>
                <w:sz w:val="18"/>
                <w:szCs w:val="18"/>
              </w:rPr>
            </w:pPr>
            <w:r>
              <w:rPr>
                <w:rFonts w:cs="Arial" w:hint="eastAsia"/>
                <w:sz w:val="18"/>
                <w:szCs w:val="18"/>
              </w:rPr>
              <w:t>投资者法定代表人或授权代理人（签字或盖章）：</w:t>
            </w:r>
          </w:p>
          <w:p w:rsidR="004A6D8C" w:rsidRDefault="004A6D8C">
            <w:pPr>
              <w:spacing w:line="360" w:lineRule="auto"/>
              <w:rPr>
                <w:b/>
                <w:sz w:val="18"/>
                <w:szCs w:val="18"/>
              </w:rPr>
            </w:pPr>
          </w:p>
          <w:p w:rsidR="004A6D8C" w:rsidRDefault="00C1729C">
            <w:pPr>
              <w:spacing w:line="360" w:lineRule="auto"/>
              <w:rPr>
                <w:sz w:val="18"/>
                <w:szCs w:val="18"/>
              </w:rPr>
            </w:pPr>
            <w:r>
              <w:rPr>
                <w:rFonts w:hint="eastAsia"/>
                <w:sz w:val="18"/>
                <w:szCs w:val="18"/>
              </w:rPr>
              <w:t>日期：</w:t>
            </w:r>
          </w:p>
        </w:tc>
      </w:tr>
    </w:tbl>
    <w:p w:rsidR="004A6D8C" w:rsidRDefault="00C1729C">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4A6D8C" w:rsidRDefault="004A6D8C">
      <w:pPr>
        <w:spacing w:line="360" w:lineRule="auto"/>
        <w:ind w:firstLineChars="200" w:firstLine="360"/>
        <w:rPr>
          <w:rFonts w:ascii="宋体" w:hAnsi="宋体"/>
          <w:sz w:val="18"/>
          <w:szCs w:val="18"/>
        </w:rPr>
      </w:pPr>
    </w:p>
    <w:p w:rsidR="004A6D8C" w:rsidRDefault="004A6D8C">
      <w:pPr>
        <w:pStyle w:val="Default"/>
        <w:spacing w:line="360" w:lineRule="auto"/>
        <w:rPr>
          <w:rFonts w:hAnsi="宋体"/>
          <w:sz w:val="18"/>
          <w:szCs w:val="18"/>
        </w:rPr>
      </w:pPr>
    </w:p>
    <w:sectPr w:rsidR="004A6D8C">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9C" w:rsidRDefault="00C1729C">
      <w:r>
        <w:separator/>
      </w:r>
    </w:p>
  </w:endnote>
  <w:endnote w:type="continuationSeparator" w:id="0">
    <w:p w:rsidR="00C1729C" w:rsidRDefault="00C1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C" w:rsidRDefault="00C1729C">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BF239E">
      <w:rPr>
        <w:noProof/>
        <w:kern w:val="0"/>
        <w:szCs w:val="21"/>
      </w:rPr>
      <w:t>1</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9C" w:rsidRDefault="00C1729C">
      <w:r>
        <w:separator/>
      </w:r>
    </w:p>
  </w:footnote>
  <w:footnote w:type="continuationSeparator" w:id="0">
    <w:p w:rsidR="00C1729C" w:rsidRDefault="00C1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C" w:rsidRDefault="00C1729C">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4A6D8C" w:rsidRDefault="00C1729C">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37846"/>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A6D8C"/>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75BEE"/>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3847"/>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239E"/>
    <w:rsid w:val="00BF4C3E"/>
    <w:rsid w:val="00BF757A"/>
    <w:rsid w:val="00C017FF"/>
    <w:rsid w:val="00C01FBD"/>
    <w:rsid w:val="00C02090"/>
    <w:rsid w:val="00C03970"/>
    <w:rsid w:val="00C04AA0"/>
    <w:rsid w:val="00C060B9"/>
    <w:rsid w:val="00C06806"/>
    <w:rsid w:val="00C0746C"/>
    <w:rsid w:val="00C07847"/>
    <w:rsid w:val="00C07ED9"/>
    <w:rsid w:val="00C11341"/>
    <w:rsid w:val="00C1729C"/>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590"/>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669"/>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DA21ACB"/>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27E42CD"/>
    <w:rsid w:val="26F50BA9"/>
    <w:rsid w:val="29026D00"/>
    <w:rsid w:val="29E93D2D"/>
    <w:rsid w:val="2E7428A1"/>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62521D4"/>
    <w:rsid w:val="68C7223A"/>
    <w:rsid w:val="68EF6886"/>
    <w:rsid w:val="69037CE7"/>
    <w:rsid w:val="6AAF5AEF"/>
    <w:rsid w:val="6AB15689"/>
    <w:rsid w:val="6DFD607C"/>
    <w:rsid w:val="6FDD1093"/>
    <w:rsid w:val="709C0126"/>
    <w:rsid w:val="733E098F"/>
    <w:rsid w:val="76022652"/>
    <w:rsid w:val="76110058"/>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42A7FE-B913-4436-80A7-0AC28AD3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0.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1.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2.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3.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4.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6.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7.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8.xml><?xml version="1.0" encoding="utf-8"?>
<ds:datastoreItem xmlns:ds="http://schemas.openxmlformats.org/officeDocument/2006/customXml" ds:itemID="{411317D4-165C-4FF7-BD2D-A5496BD16632}">
  <ds:schemaRefs>
    <ds:schemaRef ds:uri="http://schemas.openxmlformats.org/officeDocument/2006/bibliography"/>
  </ds:schemaRefs>
</ds:datastoreItem>
</file>

<file path=customXml/itemProps2.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3.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6.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7.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8.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9.xml><?xml version="1.0" encoding="utf-8"?>
<ds:datastoreItem xmlns:ds="http://schemas.openxmlformats.org/officeDocument/2006/customXml" ds:itemID="{E6D3D55C-3DD8-4C31-8069-E5508DD844F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3604</Words>
  <Characters>20547</Characters>
  <Application>Microsoft Office Word</Application>
  <DocSecurity>0</DocSecurity>
  <Lines>171</Lines>
  <Paragraphs>48</Paragraphs>
  <ScaleCrop>false</ScaleCrop>
  <Company>Microsoft</Company>
  <LinksUpToDate>false</LinksUpToDate>
  <CharactersWithSpaces>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122</cp:revision>
  <cp:lastPrinted>2020-09-21T06:35:00Z</cp:lastPrinted>
  <dcterms:created xsi:type="dcterms:W3CDTF">2021-09-06T06:01:00Z</dcterms:created>
  <dcterms:modified xsi:type="dcterms:W3CDTF">2023-09-27T08:40:00Z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