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r>
        <w:rPr>
          <w:rStyle w:val="27"/>
          <w:rFonts w:hint="eastAsia" w:ascii="黑体" w:hAnsi="黑体" w:eastAsia="黑体"/>
          <w:sz w:val="44"/>
          <w:szCs w:val="44"/>
        </w:rPr>
        <w:t>稳利丰收封闭式固收类</w:t>
      </w:r>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3"/>
        <w:gridCol w:w="5812"/>
        <w:gridCol w:w="19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812"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1984"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812" w:type="dxa"/>
          </w:tcPr>
          <w:p>
            <w:pPr>
              <w:widowControl/>
              <w:spacing w:line="360" w:lineRule="auto"/>
              <w:rPr>
                <w:rFonts w:ascii="宋体" w:hAnsi="宋体"/>
                <w:szCs w:val="21"/>
              </w:rPr>
            </w:pPr>
            <w:r>
              <w:rPr>
                <w:rFonts w:hint="eastAsia" w:ascii="宋体" w:hAnsi="宋体"/>
                <w:kern w:val="0"/>
                <w:sz w:val="20"/>
                <w:szCs w:val="21"/>
              </w:rPr>
              <w:t>兴银理财有限责任公司理财产品投资协议书</w:t>
            </w:r>
            <w:r>
              <w:rPr>
                <w:rFonts w:ascii="宋体" w:hAnsi="宋体"/>
                <w:kern w:val="0"/>
                <w:sz w:val="20"/>
                <w:szCs w:val="21"/>
              </w:rPr>
              <w:t xml:space="preserve"> </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兴银理财【稳利丰收封闭式固收类】理财产品产品说明书</w:t>
            </w:r>
          </w:p>
        </w:tc>
        <w:tc>
          <w:tcPr>
            <w:tcW w:w="1984"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3</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兴银理财有限责任公司理财产品（代理）销售协议书</w:t>
            </w:r>
          </w:p>
        </w:tc>
        <w:tc>
          <w:tcPr>
            <w:tcW w:w="1984"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兴银理财【稳利丰收封闭式固收类】理财产品风险揭示书</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812" w:type="dxa"/>
          </w:tcPr>
          <w:p>
            <w:pPr>
              <w:widowControl/>
              <w:spacing w:line="360" w:lineRule="auto"/>
              <w:rPr>
                <w:rFonts w:ascii="宋体" w:hAnsi="宋体"/>
                <w:kern w:val="0"/>
                <w:sz w:val="20"/>
                <w:szCs w:val="21"/>
              </w:rPr>
            </w:pPr>
            <w:r>
              <w:rPr>
                <w:rFonts w:hint="eastAsia" w:ascii="宋体" w:hAnsi="宋体"/>
                <w:kern w:val="0"/>
                <w:sz w:val="20"/>
                <w:szCs w:val="21"/>
              </w:rPr>
              <w:t>兴银理财有限责任公司理财产品投资者权益须知</w:t>
            </w:r>
          </w:p>
        </w:tc>
        <w:tc>
          <w:tcPr>
            <w:tcW w:w="1984"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w:t>
      </w:r>
      <w:r>
        <w:rPr>
          <w:rFonts w:hint="eastAsia" w:ascii="黑体" w:hAnsi="黑体" w:eastAsia="黑体"/>
          <w:kern w:val="0"/>
          <w:szCs w:val="21"/>
        </w:rPr>
        <w:t>2</w:t>
      </w:r>
      <w:r>
        <w:rPr>
          <w:rFonts w:ascii="黑体" w:hAnsi="黑体" w:eastAsia="黑体"/>
          <w:kern w:val="0"/>
          <w:szCs w:val="21"/>
        </w:rPr>
        <w:t>021年第</w:t>
      </w:r>
      <w:r>
        <w:rPr>
          <w:rFonts w:hint="eastAsia" w:ascii="黑体" w:hAnsi="黑体" w:eastAsia="黑体"/>
          <w:kern w:val="0"/>
          <w:szCs w:val="21"/>
        </w:rPr>
        <w:t>4号）第2</w:t>
      </w:r>
      <w:r>
        <w:rPr>
          <w:rFonts w:ascii="黑体" w:hAnsi="黑体" w:eastAsia="黑体"/>
          <w:kern w:val="0"/>
          <w:szCs w:val="21"/>
        </w:rPr>
        <w:t>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w:t>
      </w:r>
      <w:r>
        <w:rPr>
          <w:rFonts w:hint="eastAsia" w:ascii="黑体" w:hAnsi="黑体" w:eastAsia="黑体"/>
          <w:kern w:val="0"/>
          <w:szCs w:val="21"/>
        </w:rPr>
        <w:t>、</w:t>
      </w:r>
      <w:r>
        <w:rPr>
          <w:rFonts w:ascii="黑体" w:hAnsi="黑体" w:eastAsia="黑体"/>
          <w:kern w:val="0"/>
          <w:szCs w:val="21"/>
        </w:rPr>
        <w:t>签署合同</w:t>
      </w:r>
      <w:r>
        <w:rPr>
          <w:rFonts w:hint="eastAsia" w:ascii="黑体" w:hAnsi="黑体" w:eastAsia="黑体"/>
          <w:kern w:val="0"/>
          <w:szCs w:val="21"/>
        </w:rPr>
        <w:t>前</w:t>
      </w:r>
      <w:r>
        <w:rPr>
          <w:rFonts w:ascii="黑体" w:hAnsi="黑体" w:eastAsia="黑体"/>
          <w:kern w:val="0"/>
          <w:szCs w:val="21"/>
        </w:rPr>
        <w:t>阅读全部条款的提示</w:t>
      </w:r>
    </w:p>
    <w:p>
      <w:pPr>
        <w:pStyle w:val="58"/>
        <w:widowControl/>
        <w:snapToGrid w:val="0"/>
        <w:spacing w:line="360" w:lineRule="auto"/>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r>
        <w:br w:type="page"/>
      </w: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兴银理财有限责任公司理财产品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r>
        <w:rPr>
          <w:rFonts w:ascii="黑体" w:hAnsi="黑体" w:eastAsia="黑体"/>
          <w:b/>
          <w:sz w:val="28"/>
          <w:szCs w:val="28"/>
        </w:rPr>
        <w:t xml:space="preserve">                 </w:t>
      </w:r>
      <w:r>
        <w:rPr>
          <w:rFonts w:hint="eastAsia" w:ascii="黑体" w:hAnsi="黑体" w:eastAsia="黑体"/>
          <w:b/>
          <w:sz w:val="28"/>
          <w:szCs w:val="28"/>
        </w:rPr>
        <w:t>】</w:t>
      </w: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39992301"/>
      <w:bookmarkStart w:id="1" w:name="_Toc123112224"/>
      <w:bookmarkStart w:id="2" w:name="_Toc123701383"/>
      <w:bookmarkStart w:id="3" w:name="_Toc139991726"/>
      <w:bookmarkStart w:id="4" w:name="_Toc123112263"/>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39992302"/>
      <w:bookmarkStart w:id="7" w:name="_Toc123701384"/>
      <w:bookmarkStart w:id="8" w:name="_Toc12311226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r>
        <w:rPr>
          <w:rStyle w:val="27"/>
          <w:rFonts w:hint="eastAsia" w:ascii="宋体" w:hAnsi="宋体"/>
          <w:sz w:val="28"/>
          <w:szCs w:val="28"/>
        </w:rPr>
        <w:t>【</w:t>
      </w:r>
      <w:r>
        <w:rPr>
          <w:rStyle w:val="27"/>
          <w:rFonts w:ascii="宋体" w:hAnsi="宋体"/>
          <w:sz w:val="28"/>
          <w:szCs w:val="28"/>
        </w:rPr>
        <w:t>2023</w:t>
      </w:r>
      <w:r>
        <w:rPr>
          <w:rStyle w:val="27"/>
          <w:rFonts w:hint="eastAsia" w:ascii="宋体" w:hAnsi="宋体"/>
          <w:sz w:val="28"/>
          <w:szCs w:val="28"/>
        </w:rPr>
        <w:t>】年【</w:t>
      </w:r>
      <w:r>
        <w:rPr>
          <w:rStyle w:val="27"/>
          <w:rFonts w:hint="eastAsia" w:ascii="宋体" w:hAnsi="宋体"/>
          <w:sz w:val="28"/>
          <w:szCs w:val="28"/>
          <w:lang w:val="en-US" w:eastAsia="zh-CN"/>
        </w:rPr>
        <w:t>9</w:t>
      </w:r>
      <w:bookmarkStart w:id="66" w:name="_GoBack"/>
      <w:bookmarkEnd w:id="66"/>
      <w:r>
        <w:rPr>
          <w:rStyle w:val="27"/>
          <w:rFonts w:hint="eastAsia" w:ascii="宋体" w:hAnsi="宋体"/>
          <w:sz w:val="28"/>
          <w:szCs w:val="28"/>
        </w:rPr>
        <w:t>】月</w:t>
      </w:r>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理财产品过往业绩不代表其未来表现，不等于理财产品实际受益，投资须谨慎。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报酬计提基准</w:t>
            </w:r>
            <w:r>
              <w:rPr>
                <w:rFonts w:hint="eastAsia" w:ascii="黑体" w:hAnsi="黑体" w:eastAsia="黑体"/>
                <w:bCs/>
                <w:sz w:val="18"/>
                <w:szCs w:val="18"/>
              </w:rPr>
              <w:t>等类似表述不代表投资者可能获得的实际收益，亦不构成产品管理人对本产品的任何收益承诺，仅供投资者进行投资决定时参考。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w:t>
            </w:r>
            <w:r>
              <w:rPr>
                <w:rFonts w:hint="eastAsia" w:ascii="黑体" w:hAnsi="黑体" w:eastAsia="黑体"/>
                <w:bCs/>
                <w:sz w:val="18"/>
                <w:szCs w:val="18"/>
              </w:rPr>
              <w:t>2</w:t>
            </w:r>
            <w:r>
              <w:rPr>
                <w:rFonts w:ascii="黑体" w:hAnsi="黑体" w:eastAsia="黑体"/>
                <w:bCs/>
                <w:sz w:val="18"/>
                <w:szCs w:val="18"/>
              </w:rPr>
              <w:t>021年第</w:t>
            </w:r>
            <w:r>
              <w:rPr>
                <w:rFonts w:hint="eastAsia" w:ascii="黑体" w:hAnsi="黑体" w:eastAsia="黑体"/>
                <w:bCs/>
                <w:sz w:val="18"/>
                <w:szCs w:val="18"/>
              </w:rPr>
              <w:t>4号）第2</w:t>
            </w:r>
            <w:r>
              <w:rPr>
                <w:rFonts w:ascii="黑体" w:hAnsi="黑体" w:eastAsia="黑体"/>
                <w:bCs/>
                <w:sz w:val="18"/>
                <w:szCs w:val="18"/>
              </w:rPr>
              <w:t>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（1）情形1：所有销售文件都由产品管理人统一编制。其中，《投资协议书》、《产品说明书》、《（代理）销售协议书》、《风险揭示书》、《投资者权益须知》等销售文件均由产品管理人统一编制。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2）情形2：部分销售文件由代理销售机构进行编制。其中，《投资协议书》和《产品说明书》由产品管理人统一编制；《（代理）销售协议书》、《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关于投资者信息的提示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投资者在此同意并授权，产品管理人可根据监管要求和合同约定，为理财产品登记、反洗钱</w:t>
            </w:r>
            <w:r>
              <w:rPr>
                <w:rFonts w:ascii="黑体" w:hAnsi="黑体" w:eastAsia="黑体"/>
                <w:bCs/>
                <w:sz w:val="18"/>
                <w:szCs w:val="18"/>
              </w:rPr>
              <w:t>工作</w:t>
            </w:r>
            <w:r>
              <w:rPr>
                <w:rFonts w:hint="eastAsia" w:ascii="黑体" w:hAnsi="黑体" w:eastAsia="黑体"/>
                <w:bCs/>
                <w:sz w:val="18"/>
                <w:szCs w:val="18"/>
              </w:rPr>
              <w:t>等需要，向登记部门或监管机构及相关方提供投资者相关信息。</w:t>
            </w:r>
          </w:p>
          <w:p>
            <w:pPr>
              <w:spacing w:line="360" w:lineRule="auto"/>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spacing w:line="360" w:lineRule="auto"/>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 关于理财产品咨询的提示</w:t>
            </w:r>
          </w:p>
          <w:p>
            <w:pPr>
              <w:tabs>
                <w:tab w:val="left" w:pos="8070"/>
                <w:tab w:val="right" w:pos="8306"/>
              </w:tabs>
              <w:autoSpaceDE w:val="0"/>
              <w:autoSpaceDN w:val="0"/>
              <w:adjustRightInd w:val="0"/>
              <w:snapToGrid w:val="0"/>
              <w:spacing w:before="156" w:beforeLines="50" w:line="360" w:lineRule="auto"/>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27"/>
      <w:bookmarkStart w:id="11" w:name="_Toc123701386"/>
      <w:bookmarkStart w:id="12" w:name="_Toc123112266"/>
      <w:bookmarkStart w:id="13" w:name="_Toc139991729"/>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投资者信息</w:t>
            </w:r>
          </w:p>
        </w:tc>
        <w:tc>
          <w:tcPr>
            <w:tcW w:w="708" w:type="dxa"/>
            <w:vMerge w:val="restart"/>
            <w:shd w:val="solid" w:color="FFFFFF" w:fill="FFFFFF"/>
            <w:vAlign w:val="center"/>
          </w:tcPr>
          <w:p>
            <w:pPr>
              <w:jc w:val="left"/>
              <w:rPr>
                <w:rFonts w:ascii="宋体" w:hAnsi="宋体"/>
                <w:b/>
                <w:bCs/>
                <w:sz w:val="18"/>
                <w:szCs w:val="18"/>
              </w:rPr>
            </w:pPr>
            <w:r>
              <w:rPr>
                <w:rFonts w:hint="eastAsia" w:ascii="宋体" w:hAnsi="宋体"/>
                <w:b/>
                <w:bCs/>
                <w:sz w:val="18"/>
                <w:szCs w:val="18"/>
              </w:rPr>
              <w:t>个人投资者适用</w:t>
            </w: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姓名</w:t>
            </w:r>
          </w:p>
        </w:tc>
        <w:tc>
          <w:tcPr>
            <w:tcW w:w="6389" w:type="dxa"/>
            <w:gridSpan w:val="3"/>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证件类型</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jc w:val="left"/>
              <w:rPr>
                <w:rFonts w:ascii="宋体" w:hAnsi="宋体"/>
                <w:b/>
                <w:bCs/>
                <w:sz w:val="18"/>
                <w:szCs w:val="18"/>
              </w:rPr>
            </w:pPr>
            <w:r>
              <w:rPr>
                <w:rFonts w:hint="eastAsia" w:ascii="宋体" w:hAnsi="宋体"/>
                <w:b/>
                <w:bCs/>
                <w:sz w:val="18"/>
                <w:szCs w:val="18"/>
              </w:rPr>
              <w:t>证件号码</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联系电话</w:t>
            </w:r>
          </w:p>
        </w:tc>
        <w:tc>
          <w:tcPr>
            <w:tcW w:w="1854" w:type="dxa"/>
            <w:shd w:val="solid" w:color="FFFFFF" w:fill="FFFFFF"/>
            <w:vAlign w:val="center"/>
          </w:tcPr>
          <w:p>
            <w:pPr>
              <w:spacing w:line="360" w:lineRule="auto"/>
              <w:jc w:val="left"/>
              <w:rPr>
                <w:rFonts w:ascii="宋体" w:hAnsi="宋体"/>
                <w:b/>
                <w:bCs/>
                <w:sz w:val="18"/>
                <w:szCs w:val="18"/>
              </w:rPr>
            </w:pPr>
          </w:p>
        </w:tc>
        <w:tc>
          <w:tcPr>
            <w:tcW w:w="1417" w:type="dxa"/>
            <w:shd w:val="solid" w:color="FFFFFF" w:fill="FFFFFF"/>
            <w:vAlign w:val="center"/>
          </w:tcPr>
          <w:p>
            <w:pPr>
              <w:jc w:val="left"/>
              <w:rPr>
                <w:rFonts w:ascii="宋体" w:hAnsi="宋体"/>
                <w:b/>
                <w:bCs/>
                <w:sz w:val="18"/>
                <w:szCs w:val="18"/>
              </w:rPr>
            </w:pPr>
            <w:r>
              <w:rPr>
                <w:rFonts w:hint="eastAsia" w:ascii="宋体" w:hAnsi="宋体"/>
                <w:b/>
                <w:bCs/>
                <w:sz w:val="18"/>
                <w:szCs w:val="18"/>
              </w:rPr>
              <w:t>电子邮箱</w:t>
            </w:r>
          </w:p>
        </w:tc>
        <w:tc>
          <w:tcPr>
            <w:tcW w:w="3118" w:type="dxa"/>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shd w:val="solid" w:color="FFFFFF" w:fill="FFFFFF"/>
            <w:vAlign w:val="center"/>
          </w:tcPr>
          <w:p>
            <w:pPr>
              <w:jc w:val="left"/>
              <w:rPr>
                <w:rFonts w:ascii="宋体" w:hAnsi="宋体"/>
                <w:b/>
                <w:bCs/>
                <w:sz w:val="18"/>
                <w:szCs w:val="18"/>
              </w:rPr>
            </w:pPr>
            <w:r>
              <w:rPr>
                <w:rFonts w:hint="eastAsia" w:ascii="宋体" w:hAnsi="宋体"/>
                <w:b/>
                <w:bCs/>
                <w:sz w:val="18"/>
                <w:szCs w:val="18"/>
              </w:rPr>
              <w:t>联系地址</w:t>
            </w:r>
          </w:p>
        </w:tc>
        <w:tc>
          <w:tcPr>
            <w:tcW w:w="6389" w:type="dxa"/>
            <w:gridSpan w:val="3"/>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shd w:val="solid" w:color="FFFFFF" w:fill="FFFFFF"/>
            <w:vAlign w:val="center"/>
          </w:tcPr>
          <w:p>
            <w:pPr>
              <w:jc w:val="left"/>
              <w:rPr>
                <w:rFonts w:ascii="宋体" w:hAnsi="宋体"/>
                <w:b/>
                <w:bCs/>
                <w:sz w:val="18"/>
                <w:szCs w:val="18"/>
              </w:rPr>
            </w:pPr>
          </w:p>
        </w:tc>
        <w:tc>
          <w:tcPr>
            <w:tcW w:w="982" w:type="dxa"/>
            <w:tcBorders>
              <w:bottom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邮政编码</w:t>
            </w:r>
          </w:p>
        </w:tc>
        <w:tc>
          <w:tcPr>
            <w:tcW w:w="6389" w:type="dxa"/>
            <w:gridSpan w:val="3"/>
            <w:tcBorders>
              <w:bottom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restart"/>
            <w:tcBorders>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708" w:type="dxa"/>
            <w:vMerge w:val="continue"/>
            <w:tcBorders>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708" w:type="dxa"/>
            <w:vMerge w:val="continue"/>
            <w:tcBorders>
              <w:bottom w:val="single" w:color="auto" w:sz="12" w:space="0"/>
              <w:right w:val="single" w:color="auto" w:sz="12" w:space="0"/>
            </w:tcBorders>
            <w:shd w:val="solid" w:color="FFFFFF" w:fill="FFFFFF"/>
            <w:vAlign w:val="center"/>
          </w:tcPr>
          <w:p>
            <w:pPr>
              <w:jc w:val="left"/>
              <w:rPr>
                <w:rFonts w:ascii="宋体" w:hAnsi="宋体"/>
                <w:b/>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jc w:val="left"/>
              <w:rPr>
                <w:rFonts w:ascii="宋体" w:hAnsi="宋体"/>
                <w:b/>
                <w:bCs/>
                <w:sz w:val="18"/>
                <w:szCs w:val="18"/>
              </w:rPr>
            </w:pPr>
            <w:r>
              <w:rPr>
                <w:rFonts w:hint="eastAsia" w:ascii="宋体" w:hAnsi="宋体"/>
                <w:b/>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23"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本公司系根据中国银保监会批准设立的由兴业银行股份有限公司全资控股的银行理财子公司。公司名称：中文为“兴银理财有限责任公司”；英文：“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银保监会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r>
              <w:rPr>
                <w:rFonts w:ascii="宋体" w:hAnsi="宋体"/>
                <w:szCs w:val="18"/>
                <w:u w:val="single"/>
              </w:rPr>
              <w:t xml:space="preserve">　                     </w:t>
            </w:r>
            <w:r>
              <w:rPr>
                <w:rFonts w:hint="eastAsia" w:ascii="宋体" w:hAnsi="宋体"/>
                <w:szCs w:val="18"/>
              </w:rPr>
              <w:t>。</w:t>
            </w:r>
          </w:p>
        </w:tc>
      </w:tr>
    </w:tbl>
    <w:p>
      <w:pPr>
        <w:widowControl/>
        <w:spacing w:line="360" w:lineRule="auto"/>
        <w:jc w:val="left"/>
        <w:rPr>
          <w:bCs/>
          <w:sz w:val="32"/>
        </w:rPr>
      </w:pPr>
      <w:r>
        <w:rPr>
          <w:rFonts w:hint="eastAsia"/>
          <w:bCs/>
          <w:sz w:val="32"/>
        </w:rPr>
        <w:t xml:space="preserve"> </w:t>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sectPr>
          <w:headerReference r:id="rId3" w:type="default"/>
          <w:footerReference r:id="rId4" w:type="default"/>
          <w:pgSz w:w="11906" w:h="16838"/>
          <w:pgMar w:top="1440" w:right="1800" w:bottom="1440" w:left="1800" w:header="567" w:footer="992" w:gutter="0"/>
          <w:pgNumType w:start="0"/>
          <w:cols w:space="720" w:num="1"/>
          <w:titlePg/>
          <w:docGrid w:type="lines" w:linePitch="312" w:charSpace="0"/>
        </w:sectPr>
      </w:pP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lang w:val="zh-CN"/>
            </w:rPr>
            <w:t>目录</w:t>
          </w:r>
        </w:p>
        <w:p>
          <w:pPr>
            <w:pStyle w:val="16"/>
            <w:rPr>
              <w:rFonts w:asciiTheme="minorHAnsi" w:hAnsiTheme="minorHAnsi" w:eastAsiaTheme="minorEastAsia" w:cstheme="minorBidi"/>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"_Toc79653758" </w:instrText>
          </w:r>
          <w:r>
            <w:fldChar w:fldCharType="separate"/>
          </w:r>
          <w:r>
            <w:rPr>
              <w:rStyle w:val="29"/>
              <w:rFonts w:hint="eastAsia"/>
            </w:rPr>
            <w:t>第一条</w:t>
          </w:r>
          <w:r>
            <w:rPr>
              <w:rStyle w:val="29"/>
            </w:rPr>
            <w:t xml:space="preserve">  </w:t>
          </w:r>
          <w:r>
            <w:rPr>
              <w:rStyle w:val="29"/>
              <w:rFonts w:hint="eastAsia"/>
            </w:rPr>
            <w:t>前言</w:t>
          </w:r>
          <w:r>
            <w:tab/>
          </w:r>
          <w:r>
            <w:fldChar w:fldCharType="begin"/>
          </w:r>
          <w:r>
            <w:instrText xml:space="preserve"> PAGEREF _Toc79653758 \h </w:instrText>
          </w:r>
          <w:r>
            <w:fldChar w:fldCharType="separate"/>
          </w:r>
          <w:r>
            <w:t>1</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"_Toc79653759" </w:instrText>
          </w:r>
          <w:r>
            <w:fldChar w:fldCharType="separate"/>
          </w:r>
          <w:r>
            <w:rPr>
              <w:rStyle w:val="29"/>
              <w:rFonts w:hint="eastAsia"/>
            </w:rPr>
            <w:t>第二条</w:t>
          </w:r>
          <w:r>
            <w:rPr>
              <w:rStyle w:val="29"/>
            </w:rPr>
            <w:t xml:space="preserve">  </w:t>
          </w:r>
          <w:r>
            <w:rPr>
              <w:rStyle w:val="29"/>
              <w:rFonts w:hint="eastAsia"/>
            </w:rPr>
            <w:t>双方权利义务</w:t>
          </w:r>
          <w:r>
            <w:tab/>
          </w:r>
          <w:r>
            <w:fldChar w:fldCharType="begin"/>
          </w:r>
          <w:r>
            <w:instrText xml:space="preserve"> PAGEREF _Toc79653759 \h </w:instrText>
          </w:r>
          <w:r>
            <w:fldChar w:fldCharType="separate"/>
          </w:r>
          <w:r>
            <w:t>2</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"_Toc79653760" </w:instrText>
          </w:r>
          <w:r>
            <w:fldChar w:fldCharType="separate"/>
          </w:r>
          <w:r>
            <w:rPr>
              <w:rStyle w:val="29"/>
              <w:rFonts w:hint="eastAsia"/>
            </w:rPr>
            <w:t>第三条</w:t>
          </w:r>
          <w:r>
            <w:rPr>
              <w:rStyle w:val="29"/>
            </w:rPr>
            <w:t xml:space="preserve">  </w:t>
          </w:r>
          <w:r>
            <w:rPr>
              <w:rStyle w:val="29"/>
              <w:rFonts w:hint="eastAsia"/>
            </w:rPr>
            <w:t>不可抗力</w:t>
          </w:r>
          <w:r>
            <w:tab/>
          </w:r>
          <w:r>
            <w:fldChar w:fldCharType="begin"/>
          </w:r>
          <w:r>
            <w:instrText xml:space="preserve"> PAGEREF _Toc79653760 \h </w:instrText>
          </w:r>
          <w:r>
            <w:fldChar w:fldCharType="separate"/>
          </w:r>
          <w:r>
            <w:t>4</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"_Toc79653761" </w:instrText>
          </w:r>
          <w:r>
            <w:fldChar w:fldCharType="separate"/>
          </w:r>
          <w:r>
            <w:rPr>
              <w:rStyle w:val="29"/>
              <w:rFonts w:hint="eastAsia"/>
            </w:rPr>
            <w:t>第四条</w:t>
          </w:r>
          <w:r>
            <w:rPr>
              <w:rStyle w:val="29"/>
            </w:rPr>
            <w:t xml:space="preserve">  </w:t>
          </w:r>
          <w:r>
            <w:rPr>
              <w:rStyle w:val="29"/>
              <w:rFonts w:hint="eastAsia"/>
            </w:rPr>
            <w:t>违约责任</w:t>
          </w:r>
          <w:r>
            <w:tab/>
          </w:r>
          <w:r>
            <w:fldChar w:fldCharType="begin"/>
          </w:r>
          <w:r>
            <w:instrText xml:space="preserve"> PAGEREF _Toc79653761 \h </w:instrText>
          </w:r>
          <w:r>
            <w:fldChar w:fldCharType="separate"/>
          </w:r>
          <w:r>
            <w:t>5</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"_Toc79653762" </w:instrText>
          </w:r>
          <w:r>
            <w:fldChar w:fldCharType="separate"/>
          </w:r>
          <w:r>
            <w:rPr>
              <w:rStyle w:val="29"/>
              <w:rFonts w:hint="eastAsia"/>
            </w:rPr>
            <w:t>第五条</w:t>
          </w:r>
          <w:r>
            <w:rPr>
              <w:rStyle w:val="29"/>
            </w:rPr>
            <w:t xml:space="preserve">  </w:t>
          </w:r>
          <w:r>
            <w:rPr>
              <w:rStyle w:val="29"/>
              <w:rFonts w:hint="eastAsia"/>
            </w:rPr>
            <w:t>法律适用和争议解决</w:t>
          </w:r>
          <w:r>
            <w:tab/>
          </w:r>
          <w:r>
            <w:fldChar w:fldCharType="begin"/>
          </w:r>
          <w:r>
            <w:instrText xml:space="preserve"> PAGEREF _Toc79653762 \h </w:instrText>
          </w:r>
          <w:r>
            <w:fldChar w:fldCharType="separate"/>
          </w:r>
          <w:r>
            <w:t>6</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"_Toc79653763" </w:instrText>
          </w:r>
          <w:r>
            <w:fldChar w:fldCharType="separate"/>
          </w:r>
          <w:r>
            <w:rPr>
              <w:rStyle w:val="29"/>
              <w:rFonts w:hint="eastAsia"/>
            </w:rPr>
            <w:t>第六条</w:t>
          </w:r>
          <w:r>
            <w:rPr>
              <w:rStyle w:val="29"/>
            </w:rPr>
            <w:t xml:space="preserve">  </w:t>
          </w:r>
          <w:r>
            <w:rPr>
              <w:rStyle w:val="29"/>
              <w:rFonts w:hint="eastAsia"/>
            </w:rPr>
            <w:t>协议的签署和效力</w:t>
          </w:r>
          <w:r>
            <w:tab/>
          </w:r>
          <w:r>
            <w:fldChar w:fldCharType="begin"/>
          </w:r>
          <w:r>
            <w:instrText xml:space="preserve"> PAGEREF _Toc79653763 \h </w:instrText>
          </w:r>
          <w:r>
            <w:fldChar w:fldCharType="separate"/>
          </w:r>
          <w:r>
            <w:t>7</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"_Toc79653764" </w:instrText>
          </w:r>
          <w:r>
            <w:fldChar w:fldCharType="separate"/>
          </w:r>
          <w:r>
            <w:rPr>
              <w:rStyle w:val="29"/>
              <w:rFonts w:hint="eastAsia"/>
            </w:rPr>
            <w:t>第七条</w:t>
          </w:r>
          <w:r>
            <w:rPr>
              <w:rStyle w:val="29"/>
            </w:rPr>
            <w:t xml:space="preserve">  </w:t>
          </w:r>
          <w:r>
            <w:rPr>
              <w:rStyle w:val="29"/>
              <w:rFonts w:hint="eastAsia"/>
            </w:rPr>
            <w:t>消费者权益保护</w:t>
          </w:r>
          <w:r>
            <w:tab/>
          </w:r>
          <w:r>
            <w:fldChar w:fldCharType="begin"/>
          </w:r>
          <w:r>
            <w:instrText xml:space="preserve"> PAGEREF _Toc79653764 \h </w:instrText>
          </w:r>
          <w:r>
            <w:fldChar w:fldCharType="separate"/>
          </w:r>
          <w:r>
            <w:t>8</w:t>
          </w:r>
          <w:r>
            <w:fldChar w:fldCharType="end"/>
          </w:r>
          <w:r>
            <w:fldChar w:fldCharType="end"/>
          </w:r>
        </w:p>
        <w:p>
          <w:pPr>
            <w:spacing w:line="360" w:lineRule="auto"/>
          </w:pPr>
          <w:r>
            <w:rPr>
              <w:b/>
              <w:bCs/>
              <w:lang w:val="zh-CN"/>
            </w:rPr>
            <w:fldChar w:fldCharType="end"/>
          </w:r>
        </w:p>
      </w:sdtContent>
    </w:sdt>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sectPr>
          <w:pgSz w:w="11906" w:h="16838"/>
          <w:pgMar w:top="1440" w:right="1800" w:bottom="1440" w:left="1800" w:header="851" w:footer="992" w:gutter="0"/>
          <w:pgNumType w:start="0"/>
          <w:cols w:space="720" w:num="1"/>
          <w:docGrid w:type="lines" w:linePitch="312" w:charSpace="0"/>
        </w:sect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3386"/>
      <w:bookmarkStart w:id="15" w:name="_Toc4867"/>
      <w:bookmarkStart w:id="16" w:name="_Toc139991730"/>
      <w:bookmarkStart w:id="17" w:name="_Toc15517"/>
      <w:bookmarkStart w:id="18" w:name="_Toc30935"/>
      <w:bookmarkStart w:id="19" w:name="_Toc32639"/>
      <w:bookmarkStart w:id="20" w:name="_Toc141703880"/>
      <w:bookmarkStart w:id="21" w:name="_Toc29629"/>
      <w:bookmarkStart w:id="22" w:name="_Toc8727"/>
      <w:bookmarkStart w:id="23" w:name="_Toc123112229"/>
      <w:bookmarkStart w:id="24" w:name="_Toc4966"/>
      <w:bookmarkStart w:id="25" w:name="_Toc6306"/>
      <w:bookmarkStart w:id="26" w:name="_Toc26897"/>
      <w:bookmarkStart w:id="27" w:name="_Toc123112268"/>
      <w:bookmarkStart w:id="28" w:name="_Toc123701389"/>
      <w:bookmarkStart w:id="29" w:name="_Toc79653758"/>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6617"/>
      <w:bookmarkStart w:id="33" w:name="_Toc819"/>
      <w:bookmarkStart w:id="34" w:name="_Toc19592"/>
      <w:bookmarkStart w:id="35" w:name="_Toc13020"/>
      <w:bookmarkStart w:id="36" w:name="_Toc258829399"/>
      <w:bookmarkStart w:id="37" w:name="_Toc22864"/>
      <w:bookmarkStart w:id="38" w:name="_Toc15067"/>
      <w:bookmarkStart w:id="39" w:name="_Toc24860"/>
      <w:bookmarkStart w:id="40" w:name="_Toc2465"/>
      <w:bookmarkStart w:id="41" w:name="_Toc21301"/>
      <w:bookmarkStart w:id="42" w:name="_Toc3224"/>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1</w:t>
      </w:r>
      <w:r>
        <w:rPr>
          <w:rFonts w:hint="eastAsia" w:asciiTheme="majorEastAsia" w:hAnsiTheme="majorEastAsia" w:eastAsiaTheme="majorEastAsia"/>
          <w:bCs/>
          <w:color w:val="auto"/>
          <w:sz w:val="18"/>
          <w:szCs w:val="18"/>
        </w:rPr>
        <w:t>、订立本投资协议书的目的是保护投资人合法权益，明确投资协议书当事人的权利义务，规范理财产品运作。</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2</w:t>
      </w:r>
      <w:r>
        <w:rPr>
          <w:rFonts w:hint="eastAsia" w:asciiTheme="majorEastAsia" w:hAnsiTheme="majorEastAsia" w:eastAsiaTheme="majorEastAsia"/>
          <w:bCs/>
          <w:color w:val="auto"/>
          <w:sz w:val="18"/>
          <w:szCs w:val="18"/>
        </w:rPr>
        <w:t>、订立本投资协议书的依据是《中华人民共和国民法典》等法律法规、《关于规范金融机构资产管理业务的指导意见》（银发</w:t>
      </w:r>
      <w:r>
        <w:rPr>
          <w:rFonts w:asciiTheme="majorEastAsia" w:hAnsiTheme="majorEastAsia" w:eastAsiaTheme="majorEastAsia"/>
          <w:bCs/>
          <w:color w:val="auto"/>
          <w:sz w:val="18"/>
          <w:szCs w:val="18"/>
        </w:rPr>
        <w:t>[2018]106</w:t>
      </w:r>
      <w:r>
        <w:rPr>
          <w:rFonts w:hint="eastAsia" w:asciiTheme="majorEastAsia" w:hAnsiTheme="majorEastAsia" w:eastAsiaTheme="majorEastAsia"/>
          <w:bCs/>
          <w:color w:val="auto"/>
          <w:sz w:val="18"/>
          <w:szCs w:val="18"/>
        </w:rPr>
        <w:t>号）、《商业银行理财业务监督管理办法》（银保监会令</w:t>
      </w:r>
      <w:r>
        <w:rPr>
          <w:rFonts w:asciiTheme="majorEastAsia" w:hAnsiTheme="majorEastAsia" w:eastAsiaTheme="majorEastAsia"/>
          <w:bCs/>
          <w:color w:val="auto"/>
          <w:sz w:val="18"/>
          <w:szCs w:val="18"/>
        </w:rPr>
        <w:t xml:space="preserve"> </w:t>
      </w:r>
      <w:r>
        <w:rPr>
          <w:rFonts w:hint="eastAsia" w:asciiTheme="majorEastAsia" w:hAnsiTheme="majorEastAsia" w:eastAsiaTheme="majorEastAsia"/>
          <w:bCs/>
          <w:color w:val="auto"/>
          <w:sz w:val="18"/>
          <w:szCs w:val="18"/>
        </w:rPr>
        <w:t>2018年第</w:t>
      </w:r>
      <w:r>
        <w:rPr>
          <w:rFonts w:asciiTheme="majorEastAsia" w:hAnsiTheme="majorEastAsia" w:eastAsiaTheme="majorEastAsia"/>
          <w:bCs/>
          <w:color w:val="auto"/>
          <w:sz w:val="18"/>
          <w:szCs w:val="18"/>
        </w:rPr>
        <w:t>6</w:t>
      </w:r>
      <w:r>
        <w:rPr>
          <w:rFonts w:hint="eastAsia" w:asciiTheme="majorEastAsia" w:hAnsiTheme="majorEastAsia" w:eastAsiaTheme="majorEastAsia"/>
          <w:bCs/>
          <w:color w:val="auto"/>
          <w:sz w:val="18"/>
          <w:szCs w:val="18"/>
        </w:rPr>
        <w:t>号）、</w:t>
      </w:r>
      <w:bookmarkStart w:id="43" w:name="_Toc59965743"/>
      <w:r>
        <w:rPr>
          <w:rFonts w:hint="eastAsia" w:asciiTheme="majorEastAsia" w:hAnsiTheme="majorEastAsia" w:eastAsiaTheme="majorEastAsia"/>
          <w:bCs/>
          <w:color w:val="auto"/>
          <w:sz w:val="18"/>
          <w:szCs w:val="18"/>
        </w:rPr>
        <w:t>《商业银行理财子公司管理办法》</w:t>
      </w:r>
      <w:bookmarkEnd w:id="43"/>
      <w:r>
        <w:rPr>
          <w:rFonts w:hint="eastAsia" w:asciiTheme="majorEastAsia" w:hAnsiTheme="majorEastAsia" w:eastAsiaTheme="majorEastAsia"/>
          <w:bCs/>
          <w:color w:val="auto"/>
          <w:sz w:val="18"/>
          <w:szCs w:val="18"/>
        </w:rPr>
        <w:t>（银保监会令2018年第7号）、《理财公司理财产品销售管理暂行办法》（银保监会令2021年第4号）等监管规定及其他有关规定。</w:t>
      </w:r>
    </w:p>
    <w:p>
      <w:pPr>
        <w:pStyle w:val="43"/>
        <w:spacing w:line="360" w:lineRule="auto"/>
        <w:ind w:firstLine="360" w:firstLineChars="200"/>
        <w:rPr>
          <w:rFonts w:asciiTheme="majorEastAsia" w:hAnsiTheme="majorEastAsia" w:eastAsiaTheme="majorEastAsia"/>
          <w:bCs/>
          <w:color w:val="auto"/>
          <w:sz w:val="18"/>
          <w:szCs w:val="18"/>
        </w:rPr>
      </w:pPr>
      <w:r>
        <w:rPr>
          <w:rFonts w:asciiTheme="majorEastAsia" w:hAnsiTheme="majorEastAsia" w:eastAsiaTheme="majorEastAsia"/>
          <w:bCs/>
          <w:color w:val="auto"/>
          <w:sz w:val="18"/>
          <w:szCs w:val="18"/>
        </w:rPr>
        <w:t>3</w:t>
      </w:r>
      <w:r>
        <w:rPr>
          <w:rFonts w:hint="eastAsia" w:asciiTheme="majorEastAsia" w:hAnsiTheme="majorEastAsia" w:eastAsiaTheme="majorEastAsia"/>
          <w:bCs/>
          <w:color w:val="auto"/>
          <w:sz w:val="18"/>
          <w:szCs w:val="18"/>
        </w:rPr>
        <w:t>、订立本投资协议书的原则是平等自愿、诚实信用、充分保护投资人合法权益。</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pStyle w:val="43"/>
        <w:spacing w:line="360" w:lineRule="auto"/>
        <w:ind w:firstLine="360" w:firstLineChars="200"/>
        <w:rPr>
          <w:rFonts w:asciiTheme="majorEastAsia" w:hAnsiTheme="majorEastAsia" w:eastAsiaTheme="majorEastAsia"/>
          <w:bCs/>
          <w:color w:val="auto"/>
          <w:sz w:val="18"/>
          <w:szCs w:val="18"/>
        </w:rPr>
      </w:pPr>
      <w:r>
        <w:rPr>
          <w:rFonts w:hint="eastAsia" w:asciiTheme="majorEastAsia" w:hAnsiTheme="majorEastAsia" w:eastAsiaTheme="majorEastAsia"/>
          <w:bCs/>
          <w:color w:val="auto"/>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p>
      <w:pPr>
        <w:pStyle w:val="43"/>
        <w:spacing w:line="360" w:lineRule="auto"/>
        <w:ind w:firstLine="360" w:firstLineChars="200"/>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 xml:space="preserve"> </w:t>
      </w:r>
    </w:p>
    <w:p>
      <w:pPr>
        <w:pStyle w:val="43"/>
        <w:spacing w:line="360" w:lineRule="auto"/>
        <w:rPr>
          <w:rFonts w:asciiTheme="majorEastAsia" w:hAnsiTheme="majorEastAsia" w:eastAsiaTheme="majorEastAsia"/>
          <w:bCs/>
          <w:color w:val="auto"/>
          <w:sz w:val="18"/>
          <w:szCs w:val="18"/>
        </w:rPr>
      </w:pP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79653759"/>
      <w:bookmarkStart w:id="45" w:name="_Toc74065739"/>
      <w:r>
        <w:rPr>
          <w:rFonts w:ascii="Times New Roman"/>
          <w:color w:val="auto"/>
          <w:sz w:val="30"/>
        </w:rPr>
        <w:t>第</w:t>
      </w:r>
      <w:r>
        <w:rPr>
          <w:rFonts w:hint="eastAsia" w:ascii="Times New Roman"/>
          <w:color w:val="auto"/>
          <w:sz w:val="30"/>
        </w:rPr>
        <w:t xml:space="preserve">二条 </w:t>
      </w:r>
      <w:r>
        <w:rPr>
          <w:rFonts w:ascii="Times New Roman"/>
          <w:color w:val="auto"/>
          <w:sz w:val="30"/>
        </w:rPr>
        <w:t xml:space="preserve"> </w:t>
      </w:r>
      <w:r>
        <w:rPr>
          <w:rFonts w:hint="eastAsia" w:ascii="Times New Roman"/>
          <w:color w:val="auto"/>
          <w:sz w:val="30"/>
        </w:rPr>
        <w:t>双方</w:t>
      </w:r>
      <w:r>
        <w:rPr>
          <w:rFonts w:ascii="Times New Roman"/>
          <w:color w:val="auto"/>
          <w:sz w:val="30"/>
        </w:rPr>
        <w:t>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投资者所勾选的业务申请类型，并根据业务办理需要、反洗钱工作以及非居民金融账户涉税信息尽职调查等需要，收集调取投资者开户留存的有效身份证件或者其他身份证明文件信息、交易记录、数据信息、金融账户和其他资料，同时可向销售机构、产品托管人、监管机构、自律组织、理财登记备案机构、金融交易对手方、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宋体" w:hAnsi="宋体"/>
          <w:sz w:val="18"/>
          <w:szCs w:val="18"/>
        </w:rPr>
        <w:t>投资者承诺由此产生的相关风险由投资者承担</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w:t>
      </w:r>
      <w:r>
        <w:rPr>
          <w:rFonts w:ascii="黑体" w:hAnsi="黑体" w:eastAsia="黑体"/>
          <w:sz w:val="18"/>
          <w:szCs w:val="18"/>
        </w:rPr>
        <w:t>未经</w:t>
      </w:r>
      <w:r>
        <w:rPr>
          <w:rFonts w:hint="eastAsia" w:ascii="黑体" w:hAnsi="黑体" w:eastAsia="黑体"/>
          <w:sz w:val="18"/>
          <w:szCs w:val="18"/>
        </w:rPr>
        <w:t>产品管理人</w:t>
      </w:r>
      <w:r>
        <w:rPr>
          <w:rFonts w:ascii="黑体" w:hAnsi="黑体" w:eastAsia="黑体"/>
          <w:sz w:val="18"/>
          <w:szCs w:val="18"/>
        </w:rPr>
        <w:t>同意，</w:t>
      </w:r>
      <w:r>
        <w:rPr>
          <w:rFonts w:hint="eastAsia" w:ascii="黑体" w:hAnsi="黑体" w:eastAsia="黑体"/>
          <w:sz w:val="18"/>
          <w:szCs w:val="18"/>
        </w:rPr>
        <w:t>投资者</w:t>
      </w:r>
      <w:r>
        <w:rPr>
          <w:rFonts w:ascii="黑体" w:hAnsi="黑体" w:eastAsia="黑体"/>
          <w:sz w:val="18"/>
          <w:szCs w:val="18"/>
        </w:rPr>
        <w:t>不得以本</w:t>
      </w:r>
      <w:r>
        <w:rPr>
          <w:rFonts w:hint="eastAsia" w:ascii="黑体" w:hAnsi="黑体" w:eastAsia="黑体"/>
          <w:sz w:val="18"/>
          <w:szCs w:val="18"/>
        </w:rPr>
        <w:t>产品</w:t>
      </w:r>
      <w:r>
        <w:rPr>
          <w:rFonts w:ascii="黑体" w:hAnsi="黑体" w:eastAsia="黑体"/>
          <w:sz w:val="18"/>
          <w:szCs w:val="18"/>
        </w:rPr>
        <w:t>项下的任何权利、利益、权益（包括单独和整体）为</w:t>
      </w:r>
      <w:r>
        <w:rPr>
          <w:rFonts w:hint="eastAsia" w:ascii="黑体" w:hAnsi="黑体" w:eastAsia="黑体"/>
          <w:sz w:val="18"/>
          <w:szCs w:val="18"/>
        </w:rPr>
        <w:t>投资者</w:t>
      </w:r>
      <w:r>
        <w:rPr>
          <w:rFonts w:ascii="黑体" w:hAnsi="黑体" w:eastAsia="黑体"/>
          <w:sz w:val="18"/>
          <w:szCs w:val="18"/>
        </w:rPr>
        <w:t>和任何第三人的债务设定担保或其他权益</w:t>
      </w:r>
      <w:r>
        <w:rPr>
          <w:rFonts w:ascii="宋体" w:hAnsi="宋体"/>
          <w:sz w:val="18"/>
          <w:szCs w:val="18"/>
        </w:rPr>
        <w:t>。</w:t>
      </w:r>
      <w:r>
        <w:rPr>
          <w:rFonts w:hint="eastAsia" w:ascii="宋体" w:hAnsi="宋体"/>
          <w:sz w:val="18"/>
          <w:szCs w:val="18"/>
        </w:rPr>
        <w:t>若投资者以本产品在兴业银行股份有限公司办理质押贷款业务时，则无需产品管理人同意。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。若投资者使用兴业银行股份有限公司提供的服务开展前述行为时，则无需产品管理人同意。</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hint="eastAsia" w:ascii="宋体" w:hAnsi="宋体"/>
          <w:sz w:val="18"/>
          <w:szCs w:val="18"/>
        </w:rPr>
        <w:t>3.</w:t>
      </w:r>
      <w:r>
        <w:rPr>
          <w:rFonts w:ascii="宋体" w:hAnsi="宋体"/>
          <w:sz w:val="18"/>
          <w:szCs w:val="18"/>
        </w:rPr>
        <w:t>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按照《产品说明书》约定向投资者进行理财产品份额的利益分配并将对应资金划入投资者约定账户后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即视为产品管理人已向投资者完成利益分配和资金的清算分配。因投资者约定账户冻结、挂失、换卡、销户、长期不动户等原因造成账户变更或异常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销售机构办理变更手续。如因投资者未及时办理变更手续而造成产品管理人及</w:t>
      </w:r>
      <w:r>
        <w:rPr>
          <w:rFonts w:ascii="宋体" w:hAnsi="宋体"/>
          <w:sz w:val="18"/>
          <w:szCs w:val="18"/>
        </w:rPr>
        <w:t>/或</w:t>
      </w:r>
      <w:r>
        <w:rPr>
          <w:rFonts w:hint="eastAsia" w:ascii="宋体" w:hAnsi="宋体"/>
          <w:sz w:val="18"/>
          <w:szCs w:val="18"/>
        </w:rPr>
        <w:t>销售机构无法向投资者进行正常利益分配和资金清算分配</w:t>
      </w:r>
      <w:r>
        <w:rPr>
          <w:rFonts w:ascii="宋体" w:hAnsi="宋体"/>
          <w:sz w:val="18"/>
          <w:szCs w:val="18"/>
        </w:rPr>
        <w:t xml:space="preserve">, </w:t>
      </w:r>
      <w:r>
        <w:rPr>
          <w:rFonts w:hint="eastAsia" w:ascii="宋体" w:hAnsi="宋体"/>
          <w:sz w:val="18"/>
          <w:szCs w:val="18"/>
        </w:rPr>
        <w:t>由此导致投资者损失的由投资者自行承担</w:t>
      </w:r>
      <w:r>
        <w:rPr>
          <w:rFonts w:ascii="宋体" w:hAnsi="宋体"/>
          <w:sz w:val="18"/>
          <w:szCs w:val="18"/>
        </w:rPr>
        <w:t xml:space="preserve">, </w:t>
      </w:r>
      <w:r>
        <w:rPr>
          <w:rFonts w:hint="eastAsia" w:ascii="宋体" w:hAnsi="宋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和自律组织要求，本产品的投资合作机构（包括但不限于本产品所投资的信托计划、资管计划、基金的受托人或管理人、相关投资顾问等，下同）有可能需要向监管机构、自律组织等报送投资者信息，产品管理人将应投资合作机构的申请，在必要范围内向投资合作机构、监管机构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CA认证服务、可信时间戳服务等）。在使用上述系统的过程中，理财产品及投资者部分信息可能会被暂时采集并存储在信息服务供应商的服务器上、或由其工作人员进行维护。产品管理人将要求信息服务供应商、销售机构履行保密义务。投资者购买本理财产品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宋体" w:hAnsi="宋体"/>
          <w:sz w:val="18"/>
          <w:szCs w:val="18"/>
        </w:rPr>
        <w:t>1</w:t>
      </w:r>
      <w:r>
        <w:rPr>
          <w:rFonts w:ascii="宋体" w:hAnsi="宋体"/>
          <w:sz w:val="18"/>
          <w:szCs w:val="18"/>
        </w:rPr>
        <w:t>2.</w:t>
      </w:r>
      <w:r>
        <w:rPr>
          <w:rFonts w:hint="eastAsia" w:ascii="宋体" w:hAnsi="宋体"/>
          <w:sz w:val="18"/>
          <w:szCs w:val="18"/>
        </w:rPr>
        <w:t>产品管理人有权根据符合条件的申请，受理并办理继承、捐赠、司法强制执行和经理财产品登记机构认可的其他情况下的非交易过户。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9653760"/>
      <w:bookmarkStart w:id="47" w:name="_Toc18631"/>
      <w:bookmarkStart w:id="48" w:name="_Toc13288"/>
      <w:bookmarkStart w:id="49" w:name="_Toc6149"/>
      <w:bookmarkStart w:id="50" w:name="_Toc74065740"/>
      <w:bookmarkStart w:id="51" w:name="_Toc545"/>
      <w:bookmarkStart w:id="52" w:name="_Toc20627"/>
      <w:bookmarkStart w:id="53" w:name="_Toc24571"/>
      <w:bookmarkStart w:id="54" w:name="_Toc733"/>
      <w:bookmarkStart w:id="55" w:name="_Toc22708"/>
      <w:bookmarkStart w:id="56" w:name="_Toc20318"/>
      <w:bookmarkStart w:id="57" w:name="_Toc6683"/>
      <w:bookmarkStart w:id="58" w:name="_Toc233456272"/>
      <w:bookmarkStart w:id="59" w:name="_Toc258829400"/>
      <w:r>
        <w:rPr>
          <w:rFonts w:hint="eastAsia" w:ascii="Times New Roman"/>
          <w:color w:val="auto"/>
          <w:sz w:val="30"/>
        </w:rPr>
        <w:t>第三条</w:t>
      </w:r>
      <w:r>
        <w:rPr>
          <w:rFonts w:ascii="Times New Roman"/>
          <w:color w:val="auto"/>
          <w:sz w:val="30"/>
        </w:rPr>
        <w:t xml:space="preserve">  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79653761"/>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.本协议书中涉及的相关到期日或分配日如遇节假日，将顺延至下一个工作日，由此产生的风险及损失双方当事人互不承担责任；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79653762"/>
      <w:r>
        <w:rPr>
          <w:rFonts w:hint="eastAsia" w:ascii="Times New Roman"/>
          <w:color w:val="auto"/>
          <w:sz w:val="30"/>
        </w:rPr>
        <w:t>第五条</w:t>
      </w:r>
      <w:r>
        <w:rPr>
          <w:rFonts w:ascii="Times New Roman"/>
          <w:color w:val="auto"/>
          <w:sz w:val="30"/>
        </w:rPr>
        <w:t xml:space="preserve">  法律适用和争议解决</w:t>
      </w:r>
      <w:bookmarkEnd w:id="61"/>
    </w:p>
    <w:p>
      <w:pPr>
        <w:adjustRightInd w:val="0"/>
        <w:spacing w:line="360" w:lineRule="auto"/>
        <w:ind w:firstLine="360" w:firstLineChars="200"/>
        <w:rPr>
          <w:color w:val="000000" w:themeColor="text1"/>
          <w:sz w:val="18"/>
          <w:szCs w:val="18"/>
        </w:rPr>
      </w:pPr>
      <w:r>
        <w:rPr>
          <w:rFonts w:hint="eastAsia"/>
          <w:color w:val="000000" w:themeColor="text1"/>
          <w:sz w:val="18"/>
          <w:szCs w:val="18"/>
        </w:rPr>
        <w:t>（一）</w:t>
      </w:r>
      <w:r>
        <w:rPr>
          <w:color w:val="000000" w:themeColor="text1"/>
          <w:sz w:val="18"/>
          <w:szCs w:val="18"/>
        </w:rPr>
        <w:t>法律适用</w:t>
      </w:r>
    </w:p>
    <w:p>
      <w:pPr>
        <w:adjustRightInd w:val="0"/>
        <w:spacing w:line="360" w:lineRule="auto"/>
        <w:ind w:firstLine="360" w:firstLineChars="200"/>
        <w:rPr>
          <w:color w:val="000000" w:themeColor="text1"/>
          <w:sz w:val="18"/>
          <w:szCs w:val="18"/>
        </w:rPr>
      </w:pPr>
      <w:r>
        <w:rPr>
          <w:rFonts w:hint="eastAsia"/>
          <w:color w:val="000000" w:themeColor="text1"/>
          <w:sz w:val="18"/>
          <w:szCs w:val="18"/>
        </w:rPr>
        <w:t>本协议的订立、生效、履行、解除、解释及争议的解决等均适用中华人民共和国法律（为本合同之目的，不包括香港特别行政区、澳门特别行政区和台湾地区的法律）。</w:t>
      </w:r>
    </w:p>
    <w:p>
      <w:pPr>
        <w:adjustRightInd w:val="0"/>
        <w:spacing w:line="360" w:lineRule="auto"/>
        <w:ind w:firstLine="360" w:firstLineChars="200"/>
        <w:rPr>
          <w:rFonts w:ascii="黑体" w:hAnsi="黑体" w:eastAsia="黑体"/>
          <w:sz w:val="18"/>
          <w:szCs w:val="18"/>
        </w:rPr>
      </w:pPr>
      <w:r>
        <w:rPr>
          <w:rFonts w:hint="eastAsia" w:ascii="黑体" w:hAnsi="黑体" w:eastAsia="黑体"/>
          <w:sz w:val="18"/>
          <w:szCs w:val="18"/>
        </w:rPr>
        <w:t>（二）★争议解决</w:t>
      </w:r>
    </w:p>
    <w:p>
      <w:pPr>
        <w:adjustRightInd w:val="0"/>
        <w:spacing w:line="360" w:lineRule="auto"/>
        <w:ind w:firstLine="360" w:firstLineChars="200"/>
        <w:rPr>
          <w:rFonts w:ascii="黑体" w:hAnsi="黑体" w:eastAsia="黑体"/>
          <w:color w:val="000000" w:themeColor="text1"/>
          <w:sz w:val="18"/>
          <w:szCs w:val="18"/>
        </w:rPr>
      </w:pPr>
      <w:r>
        <w:rPr>
          <w:rFonts w:hint="eastAsia"/>
          <w:color w:val="000000" w:themeColor="text1"/>
          <w:sz w:val="18"/>
          <w:szCs w:val="18"/>
        </w:rPr>
        <w:t>双方在本协议书的执行过程中发生的任何争议，应通过友好协商解决。</w:t>
      </w:r>
      <w:r>
        <w:rPr>
          <w:rFonts w:hint="eastAsia" w:ascii="黑体" w:hAnsi="黑体" w:eastAsia="黑体"/>
          <w:color w:val="000000" w:themeColor="text1"/>
          <w:sz w:val="18"/>
          <w:szCs w:val="18"/>
        </w:rPr>
        <w:t>如友好协商不成的，双方均同意以如下第【壹】种方式解决：</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（壹）向产品管理人住所地之人民法院提起诉讼。</w:t>
      </w:r>
    </w:p>
    <w:p>
      <w:pPr>
        <w:adjustRightInd w:val="0"/>
        <w:spacing w:line="360" w:lineRule="auto"/>
        <w:ind w:firstLine="360" w:firstLineChars="200"/>
        <w:rPr>
          <w:rFonts w:ascii="黑体" w:hAnsi="黑体" w:eastAsia="黑体"/>
          <w:color w:val="000000" w:themeColor="text1"/>
          <w:sz w:val="18"/>
          <w:szCs w:val="18"/>
        </w:rPr>
      </w:pPr>
      <w:r>
        <w:rPr>
          <w:rFonts w:hint="eastAsia" w:ascii="黑体" w:hAnsi="黑体" w:eastAsia="黑体"/>
          <w:color w:val="000000" w:themeColor="text1"/>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rPr>
      </w:pPr>
      <w:r>
        <w:rPr>
          <w:rFonts w:ascii="黑体" w:hAnsi="黑体" w:eastAsia="黑体"/>
          <w:color w:val="000000" w:themeColor="text1"/>
          <w:sz w:val="18"/>
          <w:szCs w:val="18"/>
        </w:rPr>
        <w:br w:type="page"/>
      </w:r>
    </w:p>
    <w:p>
      <w:pPr>
        <w:pStyle w:val="2"/>
        <w:spacing w:before="0" w:after="0"/>
        <w:jc w:val="center"/>
        <w:rPr>
          <w:rFonts w:ascii="Times New Roman"/>
          <w:b w:val="0"/>
          <w:sz w:val="30"/>
        </w:rPr>
      </w:pPr>
      <w:bookmarkStart w:id="62" w:name="_Toc79653763"/>
      <w:r>
        <w:rPr>
          <w:rFonts w:hint="eastAsia" w:ascii="Times New Roman"/>
          <w:color w:val="auto"/>
          <w:sz w:val="30"/>
        </w:rPr>
        <w:t xml:space="preserve">第六条 </w:t>
      </w:r>
      <w:r>
        <w:rPr>
          <w:rFonts w:ascii="Times New Roman"/>
          <w:color w:val="auto"/>
          <w:sz w:val="30"/>
        </w:rPr>
        <w:t xml:space="preserve"> 协议的签署和</w:t>
      </w:r>
      <w:r>
        <w:rPr>
          <w:rFonts w:hint="eastAsia" w:ascii="Times New Roman"/>
          <w:color w:val="auto"/>
          <w:sz w:val="30"/>
        </w:rPr>
        <w:t>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，本协议自投资者签字</w:t>
      </w:r>
      <w:r>
        <w:rPr>
          <w:rFonts w:ascii="黑体" w:hAnsi="黑体" w:eastAsia="黑体"/>
          <w:sz w:val="18"/>
          <w:szCs w:val="18"/>
        </w:rPr>
        <w:t>/盖章后则为签署。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hint="eastAsia"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9653764"/>
      <w:bookmarkStart w:id="64" w:name="_Toc77953869"/>
      <w:r>
        <w:rPr>
          <w:rFonts w:hint="eastAsia" w:ascii="Times New Roman"/>
          <w:color w:val="auto"/>
          <w:sz w:val="30"/>
        </w:rPr>
        <w:t xml:space="preserve">第七条 </w:t>
      </w:r>
      <w:r>
        <w:rPr>
          <w:rFonts w:ascii="Times New Roman"/>
          <w:color w:val="auto"/>
          <w:sz w:val="30"/>
        </w:rPr>
        <w:t xml:space="preserve"> </w:t>
      </w:r>
      <w:r>
        <w:rPr>
          <w:rFonts w:hint="eastAsia" w:ascii="Times New Roman"/>
          <w:color w:val="auto"/>
          <w:sz w:val="30"/>
        </w:rPr>
        <w:t>消费者权益保护</w:t>
      </w:r>
      <w:bookmarkEnd w:id="63"/>
      <w:bookmarkEnd w:id="64"/>
      <w:r>
        <w:rPr>
          <w:rFonts w:hint="eastAsia"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hint="eastAsia"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 xml:space="preserve">销售机构的联络方式，具体以《（代理）销售协议书》、《投资者权益须知》等销售文件的内容为准。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9073"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1"/>
        <w:gridCol w:w="426"/>
        <w:gridCol w:w="425"/>
        <w:gridCol w:w="709"/>
        <w:gridCol w:w="4819"/>
        <w:gridCol w:w="184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073" w:type="dxa"/>
            <w:gridSpan w:val="6"/>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3" w:hRule="atLeast"/>
        </w:trPr>
        <w:tc>
          <w:tcPr>
            <w:tcW w:w="1277" w:type="dxa"/>
            <w:gridSpan w:val="2"/>
            <w:vAlign w:val="center"/>
          </w:tcPr>
          <w:p>
            <w:pPr>
              <w:autoSpaceDE w:val="0"/>
              <w:autoSpaceDN w:val="0"/>
              <w:adjustRightInd w:val="0"/>
              <w:snapToGrid w:val="0"/>
              <w:jc w:val="center"/>
              <w:rPr>
                <w:rFonts w:ascii="宋体" w:hAnsi="宋体"/>
                <w:b/>
                <w:sz w:val="18"/>
                <w:szCs w:val="18"/>
              </w:rPr>
            </w:pPr>
            <w:r>
              <w:rPr>
                <w:rFonts w:ascii="宋体" w:hAnsi="宋体"/>
                <w:b/>
                <w:sz w:val="18"/>
                <w:szCs w:val="18"/>
              </w:rPr>
              <w:t>理财产品名称</w:t>
            </w:r>
          </w:p>
        </w:tc>
        <w:tc>
          <w:tcPr>
            <w:tcW w:w="7796" w:type="dxa"/>
            <w:gridSpan w:val="4"/>
            <w:vAlign w:val="center"/>
          </w:tcPr>
          <w:p>
            <w:pPr>
              <w:autoSpaceDE w:val="0"/>
              <w:autoSpaceDN w:val="0"/>
              <w:adjustRightInd w:val="0"/>
              <w:snapToGrid w:val="0"/>
              <w:jc w:val="left"/>
              <w:rPr>
                <w:rFonts w:ascii="宋体" w:hAnsi="宋体" w:cs="宋体"/>
                <w:b/>
                <w:sz w:val="18"/>
                <w:szCs w:val="18"/>
              </w:rPr>
            </w:pPr>
            <w:r>
              <w:rPr>
                <w:rFonts w:hint="eastAsia" w:ascii="宋体" w:hAnsi="宋体" w:cs="宋体"/>
                <w:b/>
                <w:sz w:val="18"/>
                <w:szCs w:val="18"/>
              </w:rPr>
              <w:t>【</w:t>
            </w:r>
            <w:r>
              <w:rPr>
                <w:rFonts w:ascii="宋体" w:hAnsi="宋体" w:cs="宋体"/>
                <w:b/>
                <w:sz w:val="18"/>
                <w:szCs w:val="18"/>
              </w:rPr>
              <w:t xml:space="preserve">                </w:t>
            </w:r>
            <w:r>
              <w:rPr>
                <w:rFonts w:hint="eastAsia" w:ascii="宋体" w:hAnsi="宋体" w:cs="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2" w:hRule="atLeast"/>
        </w:trPr>
        <w:tc>
          <w:tcPr>
            <w:tcW w:w="1277"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产品份额类别</w:t>
            </w:r>
          </w:p>
        </w:tc>
        <w:tc>
          <w:tcPr>
            <w:tcW w:w="7796" w:type="dxa"/>
            <w:gridSpan w:val="4"/>
            <w:vAlign w:val="center"/>
          </w:tcPr>
          <w:p>
            <w:pPr>
              <w:autoSpaceDE w:val="0"/>
              <w:autoSpaceDN w:val="0"/>
              <w:adjustRightInd w:val="0"/>
              <w:snapToGrid w:val="0"/>
              <w:jc w:val="left"/>
              <w:rPr>
                <w:rFonts w:ascii="宋体" w:hAnsi="宋体" w:cs="宋体"/>
                <w:b/>
                <w:sz w:val="18"/>
                <w:szCs w:val="18"/>
              </w:rPr>
            </w:pPr>
            <w:r>
              <w:rPr>
                <w:rFonts w:hint="eastAsia" w:ascii="宋体" w:hAnsi="宋体" w:cs="宋体"/>
                <w:b/>
                <w:sz w:val="18"/>
                <w:szCs w:val="18"/>
              </w:rPr>
              <w:t>【</w:t>
            </w:r>
            <w:r>
              <w:rPr>
                <w:rFonts w:ascii="宋体" w:hAnsi="宋体" w:cs="宋体"/>
                <w:b/>
                <w:sz w:val="18"/>
                <w:szCs w:val="18"/>
              </w:rPr>
              <w:t xml:space="preserve">    </w:t>
            </w:r>
            <w:r>
              <w:rPr>
                <w:rFonts w:hint="eastAsia" w:ascii="宋体" w:hAnsi="宋体" w:cs="宋体"/>
                <w:b/>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277" w:type="dxa"/>
            <w:gridSpan w:val="2"/>
            <w:vMerge w:val="restart"/>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交易类型</w:t>
            </w:r>
          </w:p>
        </w:tc>
        <w:tc>
          <w:tcPr>
            <w:tcW w:w="1134"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bCs/>
                <w:sz w:val="18"/>
                <w:szCs w:val="18"/>
              </w:rPr>
              <w:t>认购</w:t>
            </w:r>
          </w:p>
        </w:tc>
        <w:tc>
          <w:tcPr>
            <w:tcW w:w="4819" w:type="dxa"/>
            <w:tcBorders>
              <w:right w:val="single" w:color="auto" w:sz="4" w:space="0"/>
            </w:tcBorders>
            <w:vAlign w:val="center"/>
          </w:tcPr>
          <w:p>
            <w:pPr>
              <w:autoSpaceDE w:val="0"/>
              <w:autoSpaceDN w:val="0"/>
              <w:adjustRightInd w:val="0"/>
              <w:snapToGrid w:val="0"/>
              <w:jc w:val="left"/>
              <w:rPr>
                <w:rFonts w:ascii="宋体" w:hAnsi="宋体" w:cs="宋体"/>
                <w:b/>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rPr>
              <w:t>元整。</w:t>
            </w:r>
          </w:p>
        </w:tc>
        <w:tc>
          <w:tcPr>
            <w:tcW w:w="1843" w:type="dxa"/>
            <w:tcBorders>
              <w:left w:val="single" w:color="auto" w:sz="4" w:space="0"/>
            </w:tcBorders>
            <w:vAlign w:val="center"/>
          </w:tcPr>
          <w:p>
            <w:pPr>
              <w:autoSpaceDE w:val="0"/>
              <w:autoSpaceDN w:val="0"/>
              <w:adjustRightInd w:val="0"/>
              <w:snapToGrid w:val="0"/>
              <w:jc w:val="left"/>
              <w:rPr>
                <w:rFonts w:ascii="宋体" w:hAnsi="宋体" w:cs="宋体"/>
                <w:b/>
                <w:sz w:val="18"/>
                <w:szCs w:val="18"/>
              </w:rPr>
            </w:pPr>
            <w:r>
              <w:rPr>
                <w:rFonts w:ascii="宋体" w:hAnsi="宋体" w:cs="宋体"/>
                <w:b/>
                <w:sz w:val="18"/>
                <w:szCs w:val="18"/>
              </w:rPr>
              <w:t>注</w:t>
            </w:r>
            <w:r>
              <w:rPr>
                <w:rFonts w:hint="eastAsia" w:ascii="宋体" w:hAnsi="宋体" w:cs="宋体"/>
                <w:b/>
                <w:sz w:val="18"/>
                <w:szCs w:val="18"/>
              </w:rPr>
              <w:t>：</w:t>
            </w:r>
            <w:r>
              <w:rPr>
                <w:rFonts w:ascii="宋体" w:hAnsi="宋体" w:cs="宋体"/>
                <w:b/>
                <w:sz w:val="18"/>
                <w:szCs w:val="18"/>
              </w:rPr>
              <w:t>封闭式产品</w:t>
            </w:r>
            <w:r>
              <w:rPr>
                <w:rFonts w:hint="eastAsia" w:ascii="宋体" w:hAnsi="宋体" w:cs="宋体"/>
                <w:b/>
                <w:sz w:val="18"/>
                <w:szCs w:val="18"/>
              </w:rPr>
              <w:t>，“申购”与“赎回”栏不适用。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5" w:hRule="atLeast"/>
        </w:trPr>
        <w:tc>
          <w:tcPr>
            <w:tcW w:w="1277" w:type="dxa"/>
            <w:gridSpan w:val="2"/>
            <w:vMerge w:val="continue"/>
            <w:vAlign w:val="center"/>
          </w:tcPr>
          <w:p>
            <w:pPr>
              <w:autoSpaceDE w:val="0"/>
              <w:autoSpaceDN w:val="0"/>
              <w:adjustRightInd w:val="0"/>
              <w:snapToGrid w:val="0"/>
              <w:jc w:val="center"/>
              <w:rPr>
                <w:rFonts w:ascii="宋体" w:hAnsi="宋体"/>
                <w:b/>
                <w:sz w:val="18"/>
                <w:szCs w:val="18"/>
              </w:rPr>
            </w:pPr>
          </w:p>
        </w:tc>
        <w:tc>
          <w:tcPr>
            <w:tcW w:w="1134" w:type="dxa"/>
            <w:gridSpan w:val="2"/>
            <w:vAlign w:val="center"/>
          </w:tcPr>
          <w:p>
            <w:pPr>
              <w:autoSpaceDE w:val="0"/>
              <w:autoSpaceDN w:val="0"/>
              <w:adjustRightInd w:val="0"/>
              <w:snapToGrid w:val="0"/>
              <w:jc w:val="center"/>
              <w:rPr>
                <w:rFonts w:ascii="宋体" w:hAnsi="宋体"/>
                <w:b/>
                <w:bCs/>
                <w:sz w:val="18"/>
                <w:szCs w:val="18"/>
              </w:rPr>
            </w:pPr>
            <w:r>
              <w:rPr>
                <w:rFonts w:hint="eastAsia" w:ascii="宋体" w:hAnsi="宋体"/>
                <w:b/>
                <w:bCs/>
                <w:sz w:val="18"/>
                <w:szCs w:val="18"/>
              </w:rPr>
              <w:t>申购</w:t>
            </w:r>
          </w:p>
        </w:tc>
        <w:tc>
          <w:tcPr>
            <w:tcW w:w="4819" w:type="dxa"/>
            <w:tcBorders>
              <w:right w:val="single" w:color="auto" w:sz="4" w:space="0"/>
            </w:tcBorders>
            <w:vAlign w:val="center"/>
          </w:tcPr>
          <w:p>
            <w:pPr>
              <w:autoSpaceDE w:val="0"/>
              <w:autoSpaceDN w:val="0"/>
              <w:adjustRightInd w:val="0"/>
              <w:snapToGrid w:val="0"/>
              <w:jc w:val="left"/>
              <w:rPr>
                <w:rFonts w:ascii="宋体" w:hAnsi="宋体"/>
                <w:b/>
                <w:bCs/>
                <w:sz w:val="18"/>
                <w:szCs w:val="18"/>
              </w:rPr>
            </w:pPr>
            <w:r>
              <w:rPr>
                <w:rFonts w:ascii="宋体" w:hAnsi="宋体"/>
                <w:b/>
                <w:bCs/>
                <w:sz w:val="18"/>
                <w:szCs w:val="18"/>
              </w:rPr>
              <w:t>金额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rPr>
              <w:t>元整。</w:t>
            </w:r>
          </w:p>
        </w:tc>
        <w:tc>
          <w:tcPr>
            <w:tcW w:w="1843" w:type="dxa"/>
            <w:vMerge w:val="restart"/>
            <w:tcBorders>
              <w:left w:val="single" w:color="auto" w:sz="4" w:space="0"/>
            </w:tcBorders>
            <w:vAlign w:val="center"/>
          </w:tcPr>
          <w:p>
            <w:pPr>
              <w:autoSpaceDE w:val="0"/>
              <w:autoSpaceDN w:val="0"/>
              <w:adjustRightInd w:val="0"/>
              <w:snapToGrid w:val="0"/>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5" w:hRule="atLeast"/>
        </w:trPr>
        <w:tc>
          <w:tcPr>
            <w:tcW w:w="1277" w:type="dxa"/>
            <w:gridSpan w:val="2"/>
            <w:vMerge w:val="continue"/>
            <w:vAlign w:val="center"/>
          </w:tcPr>
          <w:p>
            <w:pPr>
              <w:autoSpaceDE w:val="0"/>
              <w:autoSpaceDN w:val="0"/>
              <w:adjustRightInd w:val="0"/>
              <w:snapToGrid w:val="0"/>
              <w:jc w:val="center"/>
              <w:rPr>
                <w:rFonts w:ascii="宋体" w:hAnsi="宋体"/>
                <w:b/>
                <w:sz w:val="18"/>
                <w:szCs w:val="18"/>
              </w:rPr>
            </w:pPr>
          </w:p>
        </w:tc>
        <w:tc>
          <w:tcPr>
            <w:tcW w:w="1134" w:type="dxa"/>
            <w:gridSpan w:val="2"/>
            <w:vAlign w:val="center"/>
          </w:tcPr>
          <w:p>
            <w:pPr>
              <w:autoSpaceDE w:val="0"/>
              <w:autoSpaceDN w:val="0"/>
              <w:adjustRightInd w:val="0"/>
              <w:snapToGrid w:val="0"/>
              <w:jc w:val="center"/>
              <w:rPr>
                <w:rFonts w:ascii="宋体" w:hAnsi="宋体"/>
                <w:b/>
                <w:bCs/>
                <w:sz w:val="18"/>
                <w:szCs w:val="18"/>
              </w:rPr>
            </w:pPr>
            <w:r>
              <w:rPr>
                <w:rFonts w:hint="eastAsia" w:ascii="宋体" w:hAnsi="宋体"/>
                <w:b/>
                <w:bCs/>
                <w:sz w:val="18"/>
                <w:szCs w:val="18"/>
              </w:rPr>
              <w:t>赎回</w:t>
            </w:r>
          </w:p>
        </w:tc>
        <w:tc>
          <w:tcPr>
            <w:tcW w:w="4819" w:type="dxa"/>
            <w:tcBorders>
              <w:right w:val="single" w:color="auto" w:sz="4" w:space="0"/>
            </w:tcBorders>
            <w:vAlign w:val="center"/>
          </w:tcPr>
          <w:p>
            <w:pPr>
              <w:autoSpaceDE w:val="0"/>
              <w:autoSpaceDN w:val="0"/>
              <w:adjustRightInd w:val="0"/>
              <w:snapToGrid w:val="0"/>
              <w:jc w:val="left"/>
              <w:rPr>
                <w:rFonts w:ascii="宋体" w:hAnsi="宋体"/>
                <w:b/>
                <w:bCs/>
                <w:sz w:val="18"/>
                <w:szCs w:val="18"/>
              </w:rPr>
            </w:pPr>
            <w:r>
              <w:rPr>
                <w:rFonts w:ascii="宋体" w:hAnsi="宋体"/>
                <w:b/>
                <w:bCs/>
                <w:sz w:val="18"/>
                <w:szCs w:val="18"/>
              </w:rPr>
              <w:t>份额：</w:t>
            </w:r>
            <w:r>
              <w:rPr>
                <w:rFonts w:hint="eastAsia" w:ascii="宋体" w:hAnsi="宋体"/>
                <w:b/>
                <w:bCs/>
                <w:sz w:val="18"/>
                <w:szCs w:val="18"/>
              </w:rPr>
              <w:t>小写：</w:t>
            </w:r>
            <w:r>
              <w:rPr>
                <w:rFonts w:ascii="宋体" w:hAnsi="宋体"/>
                <w:b/>
                <w:bCs/>
                <w:sz w:val="18"/>
                <w:szCs w:val="18"/>
                <w:u w:val="single"/>
              </w:rPr>
              <w:t xml:space="preserve">　          </w:t>
            </w:r>
            <w:r>
              <w:rPr>
                <w:rFonts w:ascii="宋体" w:hAnsi="宋体"/>
                <w:b/>
                <w:bCs/>
                <w:sz w:val="18"/>
                <w:szCs w:val="18"/>
              </w:rPr>
              <w:t>，大写：</w:t>
            </w:r>
            <w:r>
              <w:rPr>
                <w:rFonts w:ascii="宋体" w:hAnsi="宋体"/>
                <w:b/>
                <w:bCs/>
                <w:sz w:val="18"/>
                <w:szCs w:val="18"/>
                <w:u w:val="single"/>
              </w:rPr>
              <w:t xml:space="preserve">　                </w:t>
            </w:r>
            <w:r>
              <w:rPr>
                <w:rFonts w:hint="eastAsia" w:ascii="宋体" w:hAnsi="宋体"/>
                <w:b/>
                <w:bCs/>
                <w:sz w:val="18"/>
                <w:szCs w:val="18"/>
              </w:rPr>
              <w:t>份。</w:t>
            </w:r>
          </w:p>
        </w:tc>
        <w:tc>
          <w:tcPr>
            <w:tcW w:w="1843" w:type="dxa"/>
            <w:vMerge w:val="continue"/>
            <w:tcBorders>
              <w:left w:val="single" w:color="auto" w:sz="4" w:space="0"/>
            </w:tcBorders>
            <w:vAlign w:val="center"/>
          </w:tcPr>
          <w:p>
            <w:pPr>
              <w:autoSpaceDE w:val="0"/>
              <w:autoSpaceDN w:val="0"/>
              <w:adjustRightInd w:val="0"/>
              <w:snapToGrid w:val="0"/>
              <w:jc w:val="left"/>
              <w:rPr>
                <w:rFonts w:ascii="宋体" w:hAnsi="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7" w:hRule="atLeast"/>
        </w:trPr>
        <w:tc>
          <w:tcPr>
            <w:tcW w:w="1277"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交易申请日</w:t>
            </w:r>
          </w:p>
        </w:tc>
        <w:tc>
          <w:tcPr>
            <w:tcW w:w="6662" w:type="dxa"/>
            <w:gridSpan w:val="2"/>
            <w:vAlign w:val="center"/>
          </w:tcPr>
          <w:p>
            <w:pPr>
              <w:autoSpaceDE w:val="0"/>
              <w:autoSpaceDN w:val="0"/>
              <w:adjustRightInd w:val="0"/>
              <w:snapToGrid w:val="0"/>
              <w:jc w:val="center"/>
              <w:rPr>
                <w:rFonts w:ascii="宋体" w:hAnsi="宋体"/>
                <w:b/>
                <w:sz w:val="18"/>
                <w:szCs w:val="18"/>
              </w:rPr>
            </w:pPr>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 w:hRule="atLeast"/>
        </w:trPr>
        <w:tc>
          <w:tcPr>
            <w:tcW w:w="9073" w:type="dxa"/>
            <w:gridSpan w:val="6"/>
            <w:vAlign w:val="center"/>
          </w:tcPr>
          <w:p>
            <w:pPr>
              <w:autoSpaceDE w:val="0"/>
              <w:autoSpaceDN w:val="0"/>
              <w:adjustRightInd w:val="0"/>
              <w:snapToGrid w:val="0"/>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1"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8222" w:type="dxa"/>
            <w:gridSpan w:val="5"/>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3、投资者</w:t>
            </w:r>
            <w:r>
              <w:rPr>
                <w:rFonts w:ascii="黑体" w:hAnsi="黑体" w:eastAsia="黑体"/>
                <w:sz w:val="18"/>
                <w:szCs w:val="18"/>
              </w:rPr>
              <w:t>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2" w:hRule="exact"/>
        </w:trPr>
        <w:tc>
          <w:tcPr>
            <w:tcW w:w="851"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b/>
                <w:sz w:val="18"/>
                <w:szCs w:val="18"/>
              </w:rPr>
            </w:pPr>
            <w:r>
              <w:rPr>
                <w:rFonts w:hint="eastAsia"/>
                <w:b/>
                <w:sz w:val="18"/>
                <w:szCs w:val="18"/>
              </w:rPr>
              <w:t>个人投资者适用</w:t>
            </w:r>
          </w:p>
        </w:tc>
        <w:tc>
          <w:tcPr>
            <w:tcW w:w="7371" w:type="dxa"/>
            <w:gridSpan w:val="3"/>
          </w:tcPr>
          <w:p>
            <w:pPr>
              <w:spacing w:line="360" w:lineRule="auto"/>
              <w:rPr>
                <w:sz w:val="18"/>
                <w:szCs w:val="18"/>
              </w:rPr>
            </w:pPr>
            <w:r>
              <w:rPr>
                <w:rFonts w:hint="eastAsia"/>
                <w:sz w:val="18"/>
                <w:szCs w:val="18"/>
              </w:rPr>
              <w:t>投资者（签字）：</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851" w:type="dxa"/>
            <w:vMerge w:val="continue"/>
          </w:tcPr>
          <w:p>
            <w:pPr>
              <w:spacing w:line="360" w:lineRule="auto"/>
              <w:rPr>
                <w:b/>
                <w:sz w:val="18"/>
                <w:szCs w:val="18"/>
              </w:rPr>
            </w:pPr>
          </w:p>
        </w:tc>
        <w:tc>
          <w:tcPr>
            <w:tcW w:w="851" w:type="dxa"/>
            <w:gridSpan w:val="2"/>
          </w:tcPr>
          <w:p>
            <w:pPr>
              <w:spacing w:line="360" w:lineRule="auto"/>
              <w:rPr>
                <w:b/>
                <w:sz w:val="18"/>
                <w:szCs w:val="18"/>
              </w:rPr>
            </w:pPr>
            <w:r>
              <w:rPr>
                <w:rFonts w:hint="eastAsia"/>
                <w:b/>
                <w:sz w:val="18"/>
                <w:szCs w:val="18"/>
              </w:rPr>
              <w:t>机构投资者适用</w:t>
            </w:r>
          </w:p>
        </w:tc>
        <w:tc>
          <w:tcPr>
            <w:tcW w:w="7371" w:type="dxa"/>
            <w:gridSpan w:val="3"/>
          </w:tcPr>
          <w:p>
            <w:pPr>
              <w:spacing w:line="360" w:lineRule="auto"/>
              <w:rPr>
                <w:rFonts w:cs="Arial"/>
                <w:sz w:val="18"/>
                <w:szCs w:val="18"/>
              </w:rPr>
            </w:pPr>
            <w:r>
              <w:rPr>
                <w:rFonts w:hint="eastAsia"/>
                <w:sz w:val="18"/>
                <w:szCs w:val="18"/>
              </w:rPr>
              <w:t>投资者</w:t>
            </w:r>
            <w:r>
              <w:rPr>
                <w:rFonts w:hint="eastAsia" w:cs="Arial"/>
                <w:sz w:val="18"/>
                <w:szCs w:val="18"/>
              </w:rPr>
              <w:t>（盖章）：</w:t>
            </w:r>
          </w:p>
          <w:p>
            <w:pPr>
              <w:spacing w:line="360" w:lineRule="auto"/>
              <w:rPr>
                <w:rFonts w:cs="Arial"/>
                <w:sz w:val="18"/>
                <w:szCs w:val="18"/>
              </w:rPr>
            </w:pPr>
          </w:p>
          <w:p>
            <w:pPr>
              <w:spacing w:line="360" w:lineRule="auto"/>
              <w:rPr>
                <w:rFonts w:cs="Arial"/>
                <w:sz w:val="18"/>
                <w:szCs w:val="18"/>
              </w:rPr>
            </w:pPr>
            <w:r>
              <w:rPr>
                <w:rFonts w:hint="eastAsia" w:cs="Arial"/>
                <w:sz w:val="18"/>
                <w:szCs w:val="18"/>
              </w:rPr>
              <w:t>投资者法定代表人或授权代理人（签字或盖章）：</w:t>
            </w:r>
          </w:p>
          <w:p>
            <w:pPr>
              <w:spacing w:line="360" w:lineRule="auto"/>
              <w:rPr>
                <w:b/>
                <w:sz w:val="18"/>
                <w:szCs w:val="18"/>
              </w:rPr>
            </w:pPr>
          </w:p>
          <w:p>
            <w:pPr>
              <w:spacing w:line="360" w:lineRule="auto"/>
              <w:rPr>
                <w:sz w:val="18"/>
                <w:szCs w:val="18"/>
              </w:rPr>
            </w:pPr>
            <w:r>
              <w:rPr>
                <w:rFonts w:hint="eastAsia"/>
                <w:sz w:val="18"/>
                <w:szCs w:val="18"/>
              </w:rPr>
              <w:t>日期：</w:t>
            </w:r>
          </w:p>
        </w:tc>
      </w:tr>
    </w:tbl>
    <w:p>
      <w:pPr>
        <w:spacing w:line="360" w:lineRule="auto"/>
        <w:jc w:val="left"/>
        <w:rPr>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pgSz w:w="11906" w:h="16838"/>
      <w:pgMar w:top="1440" w:right="1800" w:bottom="1440" w:left="1800"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4872"/>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thickThinLargeGap" w:color="auto" w:sz="24" w:space="10"/>
      </w:pBdr>
      <w:tabs>
        <w:tab w:val="right" w:pos="8280"/>
      </w:tabs>
      <w:wordWrap w:val="0"/>
      <w:adjustRightInd w:val="0"/>
      <w:jc w:val="right"/>
      <w:rPr>
        <w:b/>
      </w:rPr>
    </w:pPr>
    <w:r>
      <w:rPr>
        <w:rFonts w:hint="eastAsia"/>
        <w:b/>
      </w:rPr>
      <w:t>投资协议书</w:t>
    </w:r>
  </w:p>
  <w:p>
    <w:pPr>
      <w:pStyle w:val="15"/>
      <w:pBdr>
        <w:bottom w:val="thickThinLargeGap" w:color="auto" w:sz="24" w:space="10"/>
      </w:pBdr>
      <w:tabs>
        <w:tab w:val="right" w:pos="8280"/>
      </w:tabs>
      <w:wordWrap w:val="0"/>
      <w:adjustRightInd w:val="0"/>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6A1"/>
    <w:rsid w:val="00001E2E"/>
    <w:rsid w:val="000047F2"/>
    <w:rsid w:val="000052BD"/>
    <w:rsid w:val="00006526"/>
    <w:rsid w:val="000073F3"/>
    <w:rsid w:val="0001314C"/>
    <w:rsid w:val="0001389C"/>
    <w:rsid w:val="000141A7"/>
    <w:rsid w:val="000209B7"/>
    <w:rsid w:val="00021451"/>
    <w:rsid w:val="000215C7"/>
    <w:rsid w:val="00021BF7"/>
    <w:rsid w:val="00023F0A"/>
    <w:rsid w:val="0002724F"/>
    <w:rsid w:val="00030239"/>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6B4B"/>
    <w:rsid w:val="00077B06"/>
    <w:rsid w:val="00081682"/>
    <w:rsid w:val="0008289A"/>
    <w:rsid w:val="00083216"/>
    <w:rsid w:val="00083712"/>
    <w:rsid w:val="00096B82"/>
    <w:rsid w:val="00097F9C"/>
    <w:rsid w:val="000A21B2"/>
    <w:rsid w:val="000A29E4"/>
    <w:rsid w:val="000B0F5E"/>
    <w:rsid w:val="000B1095"/>
    <w:rsid w:val="000B687C"/>
    <w:rsid w:val="000B732C"/>
    <w:rsid w:val="000C2157"/>
    <w:rsid w:val="000C23C6"/>
    <w:rsid w:val="000C5F0B"/>
    <w:rsid w:val="000C66F8"/>
    <w:rsid w:val="000C6CA3"/>
    <w:rsid w:val="000D7C5B"/>
    <w:rsid w:val="000E4739"/>
    <w:rsid w:val="000F16C0"/>
    <w:rsid w:val="000F18A0"/>
    <w:rsid w:val="000F4555"/>
    <w:rsid w:val="000F4EBB"/>
    <w:rsid w:val="000F7F68"/>
    <w:rsid w:val="0010450A"/>
    <w:rsid w:val="00105DB2"/>
    <w:rsid w:val="001075D6"/>
    <w:rsid w:val="00111396"/>
    <w:rsid w:val="00112F70"/>
    <w:rsid w:val="00113191"/>
    <w:rsid w:val="0011395B"/>
    <w:rsid w:val="00116696"/>
    <w:rsid w:val="001249B1"/>
    <w:rsid w:val="00124ADF"/>
    <w:rsid w:val="001256B2"/>
    <w:rsid w:val="00125A39"/>
    <w:rsid w:val="00136F50"/>
    <w:rsid w:val="00150F88"/>
    <w:rsid w:val="00151C5F"/>
    <w:rsid w:val="00153821"/>
    <w:rsid w:val="00153A6A"/>
    <w:rsid w:val="0015605F"/>
    <w:rsid w:val="0015634B"/>
    <w:rsid w:val="00156B9B"/>
    <w:rsid w:val="001676C5"/>
    <w:rsid w:val="00172A27"/>
    <w:rsid w:val="001739F3"/>
    <w:rsid w:val="00176250"/>
    <w:rsid w:val="001767D5"/>
    <w:rsid w:val="00181F8E"/>
    <w:rsid w:val="00183919"/>
    <w:rsid w:val="00184F16"/>
    <w:rsid w:val="001913D5"/>
    <w:rsid w:val="001A0DEE"/>
    <w:rsid w:val="001A331C"/>
    <w:rsid w:val="001A3B4F"/>
    <w:rsid w:val="001B3D1B"/>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5DFD"/>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D80"/>
    <w:rsid w:val="00260461"/>
    <w:rsid w:val="00261F65"/>
    <w:rsid w:val="00262029"/>
    <w:rsid w:val="002632C7"/>
    <w:rsid w:val="00263D71"/>
    <w:rsid w:val="00267780"/>
    <w:rsid w:val="002719C4"/>
    <w:rsid w:val="00276547"/>
    <w:rsid w:val="002819AA"/>
    <w:rsid w:val="00284C82"/>
    <w:rsid w:val="00287678"/>
    <w:rsid w:val="00287D6F"/>
    <w:rsid w:val="00294417"/>
    <w:rsid w:val="0029567E"/>
    <w:rsid w:val="002A31A8"/>
    <w:rsid w:val="002A571E"/>
    <w:rsid w:val="002A599B"/>
    <w:rsid w:val="002A72B3"/>
    <w:rsid w:val="002B2076"/>
    <w:rsid w:val="002B2E59"/>
    <w:rsid w:val="002B30E7"/>
    <w:rsid w:val="002B3DF5"/>
    <w:rsid w:val="002B659B"/>
    <w:rsid w:val="002B661B"/>
    <w:rsid w:val="002C13C1"/>
    <w:rsid w:val="002C27E7"/>
    <w:rsid w:val="002C3012"/>
    <w:rsid w:val="002C7D8E"/>
    <w:rsid w:val="002D121A"/>
    <w:rsid w:val="002D407E"/>
    <w:rsid w:val="002E2C93"/>
    <w:rsid w:val="002E388A"/>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6B22"/>
    <w:rsid w:val="003873DE"/>
    <w:rsid w:val="0039164E"/>
    <w:rsid w:val="00391C13"/>
    <w:rsid w:val="003928B0"/>
    <w:rsid w:val="00395E69"/>
    <w:rsid w:val="0039705F"/>
    <w:rsid w:val="003A2822"/>
    <w:rsid w:val="003B03E1"/>
    <w:rsid w:val="003B0F19"/>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3AE7"/>
    <w:rsid w:val="00444664"/>
    <w:rsid w:val="00444AD5"/>
    <w:rsid w:val="00445CFA"/>
    <w:rsid w:val="00446FBB"/>
    <w:rsid w:val="0045304A"/>
    <w:rsid w:val="004530E2"/>
    <w:rsid w:val="0045487E"/>
    <w:rsid w:val="0045508F"/>
    <w:rsid w:val="00460B00"/>
    <w:rsid w:val="00467615"/>
    <w:rsid w:val="004727C4"/>
    <w:rsid w:val="00477E43"/>
    <w:rsid w:val="00481A9B"/>
    <w:rsid w:val="00483EB5"/>
    <w:rsid w:val="004875C3"/>
    <w:rsid w:val="00487FEB"/>
    <w:rsid w:val="004918BC"/>
    <w:rsid w:val="00493B96"/>
    <w:rsid w:val="004946EF"/>
    <w:rsid w:val="004973D1"/>
    <w:rsid w:val="004A23D9"/>
    <w:rsid w:val="004A3FA4"/>
    <w:rsid w:val="004A5131"/>
    <w:rsid w:val="004A7454"/>
    <w:rsid w:val="004B03B2"/>
    <w:rsid w:val="004B3210"/>
    <w:rsid w:val="004B3302"/>
    <w:rsid w:val="004B3AF7"/>
    <w:rsid w:val="004B6C04"/>
    <w:rsid w:val="004B7A5A"/>
    <w:rsid w:val="004C1C32"/>
    <w:rsid w:val="004C23FF"/>
    <w:rsid w:val="004C2E33"/>
    <w:rsid w:val="004C39B2"/>
    <w:rsid w:val="004C3F33"/>
    <w:rsid w:val="004C5C67"/>
    <w:rsid w:val="004D6E12"/>
    <w:rsid w:val="004E08AE"/>
    <w:rsid w:val="004E1B86"/>
    <w:rsid w:val="004E3E74"/>
    <w:rsid w:val="004E4588"/>
    <w:rsid w:val="004E5D10"/>
    <w:rsid w:val="004E61D4"/>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82A"/>
    <w:rsid w:val="005578EB"/>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D7C36"/>
    <w:rsid w:val="005E03C1"/>
    <w:rsid w:val="005E2C29"/>
    <w:rsid w:val="005E3D99"/>
    <w:rsid w:val="005E7D8A"/>
    <w:rsid w:val="006001EC"/>
    <w:rsid w:val="00605764"/>
    <w:rsid w:val="00605F23"/>
    <w:rsid w:val="00607C62"/>
    <w:rsid w:val="00613250"/>
    <w:rsid w:val="00613EED"/>
    <w:rsid w:val="006206A4"/>
    <w:rsid w:val="0062210C"/>
    <w:rsid w:val="00623E9F"/>
    <w:rsid w:val="006250B0"/>
    <w:rsid w:val="00625409"/>
    <w:rsid w:val="00630E80"/>
    <w:rsid w:val="006335F7"/>
    <w:rsid w:val="00640E2B"/>
    <w:rsid w:val="006445E5"/>
    <w:rsid w:val="00644D2A"/>
    <w:rsid w:val="00646391"/>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7443"/>
    <w:rsid w:val="006D1109"/>
    <w:rsid w:val="006D4A61"/>
    <w:rsid w:val="006D6CDD"/>
    <w:rsid w:val="006D7EB4"/>
    <w:rsid w:val="006E07CD"/>
    <w:rsid w:val="006E4978"/>
    <w:rsid w:val="006E56C2"/>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B37"/>
    <w:rsid w:val="00764FE5"/>
    <w:rsid w:val="0076672F"/>
    <w:rsid w:val="00770687"/>
    <w:rsid w:val="00773717"/>
    <w:rsid w:val="00775FFD"/>
    <w:rsid w:val="00784D9C"/>
    <w:rsid w:val="007856E8"/>
    <w:rsid w:val="00785730"/>
    <w:rsid w:val="00786BEA"/>
    <w:rsid w:val="00786E6B"/>
    <w:rsid w:val="007874E0"/>
    <w:rsid w:val="00790A64"/>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E0F86"/>
    <w:rsid w:val="007E1220"/>
    <w:rsid w:val="007E32B6"/>
    <w:rsid w:val="007E40AA"/>
    <w:rsid w:val="007E6098"/>
    <w:rsid w:val="007F214F"/>
    <w:rsid w:val="007F66C2"/>
    <w:rsid w:val="007F71C3"/>
    <w:rsid w:val="00802F46"/>
    <w:rsid w:val="0080338A"/>
    <w:rsid w:val="008051C4"/>
    <w:rsid w:val="00806156"/>
    <w:rsid w:val="00810CE5"/>
    <w:rsid w:val="0081194A"/>
    <w:rsid w:val="00816E31"/>
    <w:rsid w:val="0081755C"/>
    <w:rsid w:val="008209BF"/>
    <w:rsid w:val="008235A9"/>
    <w:rsid w:val="0082410A"/>
    <w:rsid w:val="00830913"/>
    <w:rsid w:val="00833DA0"/>
    <w:rsid w:val="0084117B"/>
    <w:rsid w:val="00842240"/>
    <w:rsid w:val="00842ECC"/>
    <w:rsid w:val="00844C52"/>
    <w:rsid w:val="00844FAC"/>
    <w:rsid w:val="00847D06"/>
    <w:rsid w:val="008526AD"/>
    <w:rsid w:val="00852A74"/>
    <w:rsid w:val="0085467A"/>
    <w:rsid w:val="00855E29"/>
    <w:rsid w:val="00856912"/>
    <w:rsid w:val="00862721"/>
    <w:rsid w:val="00863B57"/>
    <w:rsid w:val="00870710"/>
    <w:rsid w:val="00871266"/>
    <w:rsid w:val="00871450"/>
    <w:rsid w:val="008739A5"/>
    <w:rsid w:val="0087714D"/>
    <w:rsid w:val="00895DC9"/>
    <w:rsid w:val="008A3830"/>
    <w:rsid w:val="008A5426"/>
    <w:rsid w:val="008B0B17"/>
    <w:rsid w:val="008B1FC9"/>
    <w:rsid w:val="008B20D2"/>
    <w:rsid w:val="008B5D1E"/>
    <w:rsid w:val="008B60CD"/>
    <w:rsid w:val="008B64A4"/>
    <w:rsid w:val="008C1F51"/>
    <w:rsid w:val="008C41BB"/>
    <w:rsid w:val="008C4E5E"/>
    <w:rsid w:val="008C77FD"/>
    <w:rsid w:val="008D0202"/>
    <w:rsid w:val="008D0B1A"/>
    <w:rsid w:val="008D1177"/>
    <w:rsid w:val="008D43FD"/>
    <w:rsid w:val="008E5137"/>
    <w:rsid w:val="008E67DB"/>
    <w:rsid w:val="008E6FBA"/>
    <w:rsid w:val="008F0E09"/>
    <w:rsid w:val="008F14E7"/>
    <w:rsid w:val="008F24C8"/>
    <w:rsid w:val="00905340"/>
    <w:rsid w:val="00905B69"/>
    <w:rsid w:val="0090798A"/>
    <w:rsid w:val="00907AEC"/>
    <w:rsid w:val="00911B78"/>
    <w:rsid w:val="009122AA"/>
    <w:rsid w:val="00914791"/>
    <w:rsid w:val="00920606"/>
    <w:rsid w:val="00925A17"/>
    <w:rsid w:val="00927AE1"/>
    <w:rsid w:val="0093239E"/>
    <w:rsid w:val="00933BBA"/>
    <w:rsid w:val="00933D38"/>
    <w:rsid w:val="00944C6F"/>
    <w:rsid w:val="00947DAA"/>
    <w:rsid w:val="0095255D"/>
    <w:rsid w:val="00952B18"/>
    <w:rsid w:val="0095500C"/>
    <w:rsid w:val="0095516F"/>
    <w:rsid w:val="009559AB"/>
    <w:rsid w:val="00961CD3"/>
    <w:rsid w:val="009639E7"/>
    <w:rsid w:val="0096677D"/>
    <w:rsid w:val="0097370D"/>
    <w:rsid w:val="009768D0"/>
    <w:rsid w:val="0097776B"/>
    <w:rsid w:val="00977B2B"/>
    <w:rsid w:val="00977C61"/>
    <w:rsid w:val="00983DF9"/>
    <w:rsid w:val="00987518"/>
    <w:rsid w:val="00993714"/>
    <w:rsid w:val="009969BB"/>
    <w:rsid w:val="00996C45"/>
    <w:rsid w:val="009A14A5"/>
    <w:rsid w:val="009A42BC"/>
    <w:rsid w:val="009B0C9E"/>
    <w:rsid w:val="009B1C9C"/>
    <w:rsid w:val="009B2C85"/>
    <w:rsid w:val="009B5BC2"/>
    <w:rsid w:val="009C2069"/>
    <w:rsid w:val="009C521A"/>
    <w:rsid w:val="009C6F8E"/>
    <w:rsid w:val="009D63B0"/>
    <w:rsid w:val="009D7AA0"/>
    <w:rsid w:val="009E371D"/>
    <w:rsid w:val="009E4C02"/>
    <w:rsid w:val="009E5E1C"/>
    <w:rsid w:val="009E6DAE"/>
    <w:rsid w:val="009F1537"/>
    <w:rsid w:val="009F29D8"/>
    <w:rsid w:val="009F4C90"/>
    <w:rsid w:val="009F759C"/>
    <w:rsid w:val="009F7CF8"/>
    <w:rsid w:val="00A11CB0"/>
    <w:rsid w:val="00A17171"/>
    <w:rsid w:val="00A21427"/>
    <w:rsid w:val="00A21A6C"/>
    <w:rsid w:val="00A229C4"/>
    <w:rsid w:val="00A25383"/>
    <w:rsid w:val="00A26C04"/>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3BDD"/>
    <w:rsid w:val="00A75B30"/>
    <w:rsid w:val="00A76F1E"/>
    <w:rsid w:val="00A81ECE"/>
    <w:rsid w:val="00A84912"/>
    <w:rsid w:val="00A879D0"/>
    <w:rsid w:val="00A87A12"/>
    <w:rsid w:val="00A90D98"/>
    <w:rsid w:val="00A9723D"/>
    <w:rsid w:val="00A9773F"/>
    <w:rsid w:val="00A97F9F"/>
    <w:rsid w:val="00AA0BFE"/>
    <w:rsid w:val="00AA2082"/>
    <w:rsid w:val="00AB009C"/>
    <w:rsid w:val="00AB633E"/>
    <w:rsid w:val="00AB7FE4"/>
    <w:rsid w:val="00AC18A8"/>
    <w:rsid w:val="00AC3CEC"/>
    <w:rsid w:val="00AC4838"/>
    <w:rsid w:val="00AC4A57"/>
    <w:rsid w:val="00AC6DEA"/>
    <w:rsid w:val="00AD1745"/>
    <w:rsid w:val="00AD4F90"/>
    <w:rsid w:val="00AD57C7"/>
    <w:rsid w:val="00AD74DA"/>
    <w:rsid w:val="00AE3332"/>
    <w:rsid w:val="00AE4AC1"/>
    <w:rsid w:val="00AE6A16"/>
    <w:rsid w:val="00AF2416"/>
    <w:rsid w:val="00AF3E6D"/>
    <w:rsid w:val="00AF40F3"/>
    <w:rsid w:val="00AF49B3"/>
    <w:rsid w:val="00AF5042"/>
    <w:rsid w:val="00AF7D63"/>
    <w:rsid w:val="00B010E6"/>
    <w:rsid w:val="00B01124"/>
    <w:rsid w:val="00B034C7"/>
    <w:rsid w:val="00B123EF"/>
    <w:rsid w:val="00B13299"/>
    <w:rsid w:val="00B13D10"/>
    <w:rsid w:val="00B20BD0"/>
    <w:rsid w:val="00B21F78"/>
    <w:rsid w:val="00B23C21"/>
    <w:rsid w:val="00B241B4"/>
    <w:rsid w:val="00B24D2D"/>
    <w:rsid w:val="00B340F8"/>
    <w:rsid w:val="00B3762A"/>
    <w:rsid w:val="00B4101D"/>
    <w:rsid w:val="00B41509"/>
    <w:rsid w:val="00B43375"/>
    <w:rsid w:val="00B52FAD"/>
    <w:rsid w:val="00B56276"/>
    <w:rsid w:val="00B606E5"/>
    <w:rsid w:val="00B606E6"/>
    <w:rsid w:val="00B61A35"/>
    <w:rsid w:val="00B70428"/>
    <w:rsid w:val="00B70DB8"/>
    <w:rsid w:val="00B72632"/>
    <w:rsid w:val="00B73C10"/>
    <w:rsid w:val="00B74A78"/>
    <w:rsid w:val="00B74F12"/>
    <w:rsid w:val="00B75AC5"/>
    <w:rsid w:val="00B76971"/>
    <w:rsid w:val="00B84E80"/>
    <w:rsid w:val="00B85D3C"/>
    <w:rsid w:val="00B85F6B"/>
    <w:rsid w:val="00B92A1E"/>
    <w:rsid w:val="00B93447"/>
    <w:rsid w:val="00B93769"/>
    <w:rsid w:val="00B9604A"/>
    <w:rsid w:val="00B9646A"/>
    <w:rsid w:val="00BA39BA"/>
    <w:rsid w:val="00BA3B89"/>
    <w:rsid w:val="00BA55D3"/>
    <w:rsid w:val="00BA7689"/>
    <w:rsid w:val="00BB0B42"/>
    <w:rsid w:val="00BB49A2"/>
    <w:rsid w:val="00BB521C"/>
    <w:rsid w:val="00BB5E64"/>
    <w:rsid w:val="00BC32EB"/>
    <w:rsid w:val="00BC4611"/>
    <w:rsid w:val="00BC68AA"/>
    <w:rsid w:val="00BD020C"/>
    <w:rsid w:val="00BD0D17"/>
    <w:rsid w:val="00BD4663"/>
    <w:rsid w:val="00BD6425"/>
    <w:rsid w:val="00BF0849"/>
    <w:rsid w:val="00BF33D6"/>
    <w:rsid w:val="00BF3E98"/>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0BC"/>
    <w:rsid w:val="00C348DE"/>
    <w:rsid w:val="00C349B7"/>
    <w:rsid w:val="00C3641F"/>
    <w:rsid w:val="00C40580"/>
    <w:rsid w:val="00C4092B"/>
    <w:rsid w:val="00C41A12"/>
    <w:rsid w:val="00C41D76"/>
    <w:rsid w:val="00C46269"/>
    <w:rsid w:val="00C5061E"/>
    <w:rsid w:val="00C527BF"/>
    <w:rsid w:val="00C54EDB"/>
    <w:rsid w:val="00C550E2"/>
    <w:rsid w:val="00C561B4"/>
    <w:rsid w:val="00C569F3"/>
    <w:rsid w:val="00C57F3A"/>
    <w:rsid w:val="00C6524D"/>
    <w:rsid w:val="00C6577D"/>
    <w:rsid w:val="00C66942"/>
    <w:rsid w:val="00C80014"/>
    <w:rsid w:val="00C822A5"/>
    <w:rsid w:val="00C8645E"/>
    <w:rsid w:val="00C90BFF"/>
    <w:rsid w:val="00C9379A"/>
    <w:rsid w:val="00C97F28"/>
    <w:rsid w:val="00CA42AB"/>
    <w:rsid w:val="00CA504C"/>
    <w:rsid w:val="00CA767B"/>
    <w:rsid w:val="00CB118D"/>
    <w:rsid w:val="00CB24A2"/>
    <w:rsid w:val="00CC153D"/>
    <w:rsid w:val="00CC5DA1"/>
    <w:rsid w:val="00CD1A38"/>
    <w:rsid w:val="00CD1ED6"/>
    <w:rsid w:val="00CD4530"/>
    <w:rsid w:val="00CE04EA"/>
    <w:rsid w:val="00CE199D"/>
    <w:rsid w:val="00CE21A3"/>
    <w:rsid w:val="00CE3D7D"/>
    <w:rsid w:val="00CF07E7"/>
    <w:rsid w:val="00CF20EC"/>
    <w:rsid w:val="00D044FA"/>
    <w:rsid w:val="00D06A40"/>
    <w:rsid w:val="00D07F3D"/>
    <w:rsid w:val="00D11889"/>
    <w:rsid w:val="00D143FA"/>
    <w:rsid w:val="00D14989"/>
    <w:rsid w:val="00D1696F"/>
    <w:rsid w:val="00D246C7"/>
    <w:rsid w:val="00D251F1"/>
    <w:rsid w:val="00D330E4"/>
    <w:rsid w:val="00D354C6"/>
    <w:rsid w:val="00D4074A"/>
    <w:rsid w:val="00D4395E"/>
    <w:rsid w:val="00D44376"/>
    <w:rsid w:val="00D4445B"/>
    <w:rsid w:val="00D501A2"/>
    <w:rsid w:val="00D50C49"/>
    <w:rsid w:val="00D51521"/>
    <w:rsid w:val="00D515DA"/>
    <w:rsid w:val="00D62BAC"/>
    <w:rsid w:val="00D66F78"/>
    <w:rsid w:val="00D705DA"/>
    <w:rsid w:val="00D77ADC"/>
    <w:rsid w:val="00D77F0D"/>
    <w:rsid w:val="00D820EB"/>
    <w:rsid w:val="00D8308D"/>
    <w:rsid w:val="00D833EB"/>
    <w:rsid w:val="00D837CC"/>
    <w:rsid w:val="00D92526"/>
    <w:rsid w:val="00D97143"/>
    <w:rsid w:val="00D9748A"/>
    <w:rsid w:val="00DA43E0"/>
    <w:rsid w:val="00DA5A27"/>
    <w:rsid w:val="00DA78A9"/>
    <w:rsid w:val="00DA7A2B"/>
    <w:rsid w:val="00DB201C"/>
    <w:rsid w:val="00DB2DB0"/>
    <w:rsid w:val="00DB3857"/>
    <w:rsid w:val="00DB44A2"/>
    <w:rsid w:val="00DB6E39"/>
    <w:rsid w:val="00DC0F23"/>
    <w:rsid w:val="00DC18EE"/>
    <w:rsid w:val="00DC2771"/>
    <w:rsid w:val="00DC295F"/>
    <w:rsid w:val="00DC3C57"/>
    <w:rsid w:val="00DC40E4"/>
    <w:rsid w:val="00DD2FE5"/>
    <w:rsid w:val="00DD6FE7"/>
    <w:rsid w:val="00DF3437"/>
    <w:rsid w:val="00DF3F05"/>
    <w:rsid w:val="00DF6B27"/>
    <w:rsid w:val="00DF749F"/>
    <w:rsid w:val="00DF7FC5"/>
    <w:rsid w:val="00E03447"/>
    <w:rsid w:val="00E0477B"/>
    <w:rsid w:val="00E072D2"/>
    <w:rsid w:val="00E12287"/>
    <w:rsid w:val="00E1770C"/>
    <w:rsid w:val="00E22677"/>
    <w:rsid w:val="00E23CB4"/>
    <w:rsid w:val="00E23CE7"/>
    <w:rsid w:val="00E3045C"/>
    <w:rsid w:val="00E30CD1"/>
    <w:rsid w:val="00E323CD"/>
    <w:rsid w:val="00E34CBA"/>
    <w:rsid w:val="00E36F2B"/>
    <w:rsid w:val="00E37E1A"/>
    <w:rsid w:val="00E40765"/>
    <w:rsid w:val="00E4276E"/>
    <w:rsid w:val="00E44D44"/>
    <w:rsid w:val="00E44FFE"/>
    <w:rsid w:val="00E50662"/>
    <w:rsid w:val="00E51C4F"/>
    <w:rsid w:val="00E57E75"/>
    <w:rsid w:val="00E67AFF"/>
    <w:rsid w:val="00E7480F"/>
    <w:rsid w:val="00E753BD"/>
    <w:rsid w:val="00E774B6"/>
    <w:rsid w:val="00E83E00"/>
    <w:rsid w:val="00E8753A"/>
    <w:rsid w:val="00E90A44"/>
    <w:rsid w:val="00E966A2"/>
    <w:rsid w:val="00E97E89"/>
    <w:rsid w:val="00EA6CED"/>
    <w:rsid w:val="00EB0C83"/>
    <w:rsid w:val="00EB5E32"/>
    <w:rsid w:val="00EB772E"/>
    <w:rsid w:val="00EC514B"/>
    <w:rsid w:val="00ED08E0"/>
    <w:rsid w:val="00ED0F4E"/>
    <w:rsid w:val="00ED1DD5"/>
    <w:rsid w:val="00ED2BA5"/>
    <w:rsid w:val="00ED3882"/>
    <w:rsid w:val="00ED3E6B"/>
    <w:rsid w:val="00ED5759"/>
    <w:rsid w:val="00ED5E6F"/>
    <w:rsid w:val="00EE183A"/>
    <w:rsid w:val="00EE263C"/>
    <w:rsid w:val="00EE3D96"/>
    <w:rsid w:val="00EE7357"/>
    <w:rsid w:val="00EF4162"/>
    <w:rsid w:val="00EF6103"/>
    <w:rsid w:val="00F00C67"/>
    <w:rsid w:val="00F0469D"/>
    <w:rsid w:val="00F046EC"/>
    <w:rsid w:val="00F05739"/>
    <w:rsid w:val="00F0768A"/>
    <w:rsid w:val="00F07962"/>
    <w:rsid w:val="00F104F1"/>
    <w:rsid w:val="00F12096"/>
    <w:rsid w:val="00F12A59"/>
    <w:rsid w:val="00F12E33"/>
    <w:rsid w:val="00F1386E"/>
    <w:rsid w:val="00F14579"/>
    <w:rsid w:val="00F16D1C"/>
    <w:rsid w:val="00F2211E"/>
    <w:rsid w:val="00F23DF7"/>
    <w:rsid w:val="00F243AF"/>
    <w:rsid w:val="00F34661"/>
    <w:rsid w:val="00F3550C"/>
    <w:rsid w:val="00F4075D"/>
    <w:rsid w:val="00F43CC2"/>
    <w:rsid w:val="00F45279"/>
    <w:rsid w:val="00F45D4D"/>
    <w:rsid w:val="00F477AD"/>
    <w:rsid w:val="00F4787A"/>
    <w:rsid w:val="00F55612"/>
    <w:rsid w:val="00F611C6"/>
    <w:rsid w:val="00F652FF"/>
    <w:rsid w:val="00F6638A"/>
    <w:rsid w:val="00F6673D"/>
    <w:rsid w:val="00F6765C"/>
    <w:rsid w:val="00F7607C"/>
    <w:rsid w:val="00F8155D"/>
    <w:rsid w:val="00F84ACA"/>
    <w:rsid w:val="00F865A9"/>
    <w:rsid w:val="00F8733E"/>
    <w:rsid w:val="00F913B7"/>
    <w:rsid w:val="00F91EA4"/>
    <w:rsid w:val="00F92464"/>
    <w:rsid w:val="00FA10AA"/>
    <w:rsid w:val="00FA2F7C"/>
    <w:rsid w:val="00FA3BF1"/>
    <w:rsid w:val="00FB0D3D"/>
    <w:rsid w:val="00FB166A"/>
    <w:rsid w:val="00FB7721"/>
    <w:rsid w:val="00FC3B11"/>
    <w:rsid w:val="00FC64D6"/>
    <w:rsid w:val="00FC6768"/>
    <w:rsid w:val="00FD08DF"/>
    <w:rsid w:val="00FD4E32"/>
    <w:rsid w:val="00FD771E"/>
    <w:rsid w:val="00FD7F16"/>
    <w:rsid w:val="00FE1886"/>
    <w:rsid w:val="00FE2B6B"/>
    <w:rsid w:val="00FE2CC0"/>
    <w:rsid w:val="00FE441D"/>
    <w:rsid w:val="00FF46EE"/>
    <w:rsid w:val="149E474A"/>
    <w:rsid w:val="297646F4"/>
    <w:rsid w:val="2D6D5335"/>
    <w:rsid w:val="35C863A1"/>
    <w:rsid w:val="3DD41285"/>
    <w:rsid w:val="45ED39EA"/>
    <w:rsid w:val="4F9B33E8"/>
    <w:rsid w:val="54931C51"/>
    <w:rsid w:val="687025FC"/>
    <w:rsid w:val="6B56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5"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5E7F2-6933-46D9-8985-29460243801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1478</Words>
  <Characters>8431</Characters>
  <Lines>70</Lines>
  <Paragraphs>19</Paragraphs>
  <TotalTime>59</TotalTime>
  <ScaleCrop>false</ScaleCrop>
  <LinksUpToDate>false</LinksUpToDate>
  <CharactersWithSpaces>9890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2021-03-29T01:33:00Z</dcterms:created>
  <dc:creator>Mandy.Z</dc:creator>
  <cp:lastModifiedBy>cib</cp:lastModifiedBy>
  <cp:lastPrinted>2017-10-31T06:33:00Z</cp:lastPrinted>
  <dcterms:modified xsi:type="dcterms:W3CDTF">2023-09-05T05:46:21Z</dcterms:modified>
  <dc:title>___证券投资基金招募说明书1</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