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6F1D" w14:textId="77777777" w:rsidR="00DA619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36AD83BA" w14:textId="77777777" w:rsidR="00DA619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9A34865" w14:textId="77777777" w:rsidR="00DA619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481D0BA7" w14:textId="77777777" w:rsidR="00DA619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D54F204" w14:textId="378823A1" w:rsidR="00DA619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227836" w:rsidRPr="00227836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ED54FF4" w14:textId="77777777" w:rsidR="00DA619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8692EF0" w14:textId="77777777" w:rsidR="00DA6190" w:rsidRDefault="00DA6190">
      <w:pPr>
        <w:ind w:firstLineChars="200" w:firstLine="360"/>
        <w:rPr>
          <w:rFonts w:ascii="宋体" w:hAnsi="宋体"/>
          <w:sz w:val="18"/>
          <w:szCs w:val="18"/>
        </w:rPr>
      </w:pPr>
    </w:p>
    <w:p w14:paraId="363A8B39" w14:textId="77777777" w:rsidR="00DA619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EFBE1F8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018E640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645E22A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20258F2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5F1B2723" w14:textId="77777777" w:rsidR="00DA619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FB940DC" w14:textId="77777777" w:rsidR="00DA619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0F9F4E9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4035894D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0E13626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DA6190" w14:paraId="6D681030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3AE72E37" w14:textId="77777777" w:rsidR="00DA619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51E4C8B9" w14:textId="77777777" w:rsidR="00DA619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50F54BC1" w14:textId="77777777" w:rsidR="00DA619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DA6190" w14:paraId="26FCB741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C4202EA" w14:textId="77777777" w:rsidR="00DA619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1B76A00E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30E6F2C8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DA6190" w14:paraId="0BE667B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80EEEDC" w14:textId="77777777" w:rsidR="00DA619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7FEE5B3D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762F33E2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DA6190" w14:paraId="0256A16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1252EF2" w14:textId="77777777" w:rsidR="00DA619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2A86C97D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0FEC9682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DA6190" w14:paraId="53A7293B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07A3A97" w14:textId="77777777" w:rsidR="00DA619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7C2694B6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6F240380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DA6190" w14:paraId="55FC42A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EE58D48" w14:textId="77777777" w:rsidR="00DA619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5769DC9F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134194F5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DA6190" w14:paraId="55CC0C7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9953391" w14:textId="77777777" w:rsidR="00DA619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7BE81F08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12FB828D" w14:textId="77777777" w:rsidR="00DA619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10067E95" w14:textId="77777777" w:rsidR="00DA619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432D5B2" w14:textId="77777777" w:rsidR="00DA619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D3CF704" w14:textId="77777777" w:rsidR="00DA619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6DD16C3" w14:textId="77777777" w:rsidR="00DA619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ABF2D87" w14:textId="77777777" w:rsidR="00DA6190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3426318" w14:textId="77777777" w:rsidR="00DA6190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4E05B66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E1F1D0F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AAAD3D2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568CCD12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2A404B3" w14:textId="059B40C3" w:rsidR="00DA6190" w:rsidRDefault="00227836">
      <w:pPr>
        <w:ind w:firstLineChars="200" w:firstLine="360"/>
        <w:rPr>
          <w:rFonts w:ascii="宋体" w:hAnsi="宋体"/>
          <w:sz w:val="18"/>
          <w:szCs w:val="18"/>
        </w:rPr>
      </w:pPr>
      <w:r w:rsidRPr="00227836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19554D14" w14:textId="77777777" w:rsidR="00DA6190" w:rsidRDefault="00DA619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87AAA17" w14:textId="77777777" w:rsidR="00DA6190" w:rsidRDefault="00DA619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4DC2C8B" w14:textId="77777777" w:rsidR="00DA6190" w:rsidRDefault="00DA6190">
      <w:pPr>
        <w:jc w:val="right"/>
        <w:rPr>
          <w:rFonts w:ascii="宋体" w:hAnsi="宋体"/>
          <w:sz w:val="18"/>
          <w:szCs w:val="18"/>
        </w:rPr>
      </w:pPr>
    </w:p>
    <w:p w14:paraId="5DA59175" w14:textId="77777777" w:rsidR="00DA6190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33CA21DA" w14:textId="77777777" w:rsidR="00DA6190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C8174B2" w14:textId="77777777" w:rsidR="00DA619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3D66BBF6" w14:textId="77777777" w:rsidR="00DA619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945AA67" w14:textId="77777777" w:rsidR="00DA6190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0A709AE" w14:textId="77777777" w:rsidR="00DA6190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32B575D" w14:textId="77777777" w:rsidR="00DA619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0C36E11" w14:textId="77777777" w:rsidR="00DA619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4624F81" w14:textId="77777777" w:rsidR="00DA6190" w:rsidRDefault="00DA619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A90CCB8" w14:textId="77777777" w:rsidR="00DA619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00AAC46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47FD5D1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73A8B57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C006F56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57BBEAEA" w14:textId="77777777" w:rsidR="00DA619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F300772" w14:textId="77777777" w:rsidR="00DA619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09A8498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52DD8F70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8D49BD3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DA6190" w14:paraId="0E74F046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6AA2DA" w14:textId="77777777" w:rsidR="00DA619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F65DB0" w14:textId="77777777" w:rsidR="00DA619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DA6190" w14:paraId="0129D80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25DE9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97B21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55F67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A6190" w14:paraId="503E7FE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11D58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F9787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5042F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A6190" w14:paraId="3542D3D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C9782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D159E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31B7F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A6190" w14:paraId="0762936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4DC5B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66A53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9AEC6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A6190" w14:paraId="3FFC296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CEBF1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787B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EF14F" w14:textId="77777777" w:rsidR="00DA619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47CC6B98" w14:textId="77777777" w:rsidR="00DA619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8487BA4" w14:textId="77777777" w:rsidR="00DA619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FBBF8C0" w14:textId="77777777" w:rsidR="00DA619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942C41A" w14:textId="77777777" w:rsidR="00DA619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2169F7EF" w14:textId="77777777" w:rsidR="00DA619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7959412C" w14:textId="77777777" w:rsidR="00DA619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0261B69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0F670AD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94D551F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76C7498C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65D698B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58A6EE75" w14:textId="77777777" w:rsidR="00DA6190" w:rsidRDefault="00DA619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716ED1A" w14:textId="77777777" w:rsidR="00DA6190" w:rsidRDefault="00DA619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592B5D1" w14:textId="77777777" w:rsidR="00DA6190" w:rsidRDefault="00DA6190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4855F5AE" w14:textId="77777777" w:rsidR="00DA6190" w:rsidRDefault="00DA6190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24BEFD7D" w14:textId="77777777" w:rsidR="00DA6190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E0F5FC1" w14:textId="77777777" w:rsidR="00DA619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3ED9438F" w14:textId="77777777" w:rsidR="00DA619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00193A0" w14:textId="77777777" w:rsidR="00DA619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7893053" w14:textId="77777777" w:rsidR="00DA619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50FB9C3" w14:textId="77777777" w:rsidR="00DA619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7567755" w14:textId="77777777" w:rsidR="00DA619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B2CDDB5" w14:textId="77777777" w:rsidR="00DA6190" w:rsidRDefault="00DA619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3423CE7" w14:textId="77777777" w:rsidR="00DA619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F271CB8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A859E87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31F793D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97AC49E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25D5C8BB" w14:textId="77777777" w:rsidR="00DA619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582648F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6588562" w14:textId="77777777" w:rsidR="00DA619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D01ECB9" w14:textId="77777777" w:rsidR="00DA619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5DE3532A" w14:textId="77777777" w:rsidR="00DA6190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74FA69EA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5BE3948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DA861FD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2FC3F0CA" w14:textId="77777777" w:rsidR="00DA619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AF952F9" w14:textId="77777777" w:rsidR="00DA619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9F0C8EA" w14:textId="77777777" w:rsidR="00DA6190" w:rsidRDefault="00DA6190"/>
    <w:sectPr w:rsidR="00DA619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9685" w14:textId="77777777" w:rsidR="001649AB" w:rsidRDefault="001649AB">
      <w:r>
        <w:separator/>
      </w:r>
    </w:p>
  </w:endnote>
  <w:endnote w:type="continuationSeparator" w:id="0">
    <w:p w14:paraId="280DC70E" w14:textId="77777777" w:rsidR="001649AB" w:rsidRDefault="0016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5B4763D" w14:textId="77777777" w:rsidR="00DA6190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6947" w14:textId="77777777" w:rsidR="001649AB" w:rsidRDefault="001649AB">
      <w:r>
        <w:separator/>
      </w:r>
    </w:p>
  </w:footnote>
  <w:footnote w:type="continuationSeparator" w:id="0">
    <w:p w14:paraId="6E715961" w14:textId="77777777" w:rsidR="001649AB" w:rsidRDefault="0016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63CF" w14:textId="77777777" w:rsidR="00DA619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7F93DFED" w14:textId="77777777" w:rsidR="00DA619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649AB"/>
    <w:rsid w:val="00171420"/>
    <w:rsid w:val="00195672"/>
    <w:rsid w:val="00227836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A6190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73DE3"/>
  <w15:docId w15:val="{2191D677-4E6F-414B-99B2-EBEC9F8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2278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2023-10-07T08:08:00Z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