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ascii="宋体" w:hAnsi="宋体" w:cs="Times New Roman"/>
          <w:sz w:val="32"/>
          <w:szCs w:val="32"/>
        </w:rPr>
        <w:t>9</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88747121"/>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兴银理财稳利丰收封闭式44号固收类理财产品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稳利丰收封闭式44号A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【Z7002023000470】投资者可依据理财产品登记编码在中国理财网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9C310440】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9C31044A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hint="eastAsia" w:asciiTheme="majorEastAsia" w:hAnsiTheme="majorEastAsia" w:eastAsiaTheme="majorEastAsia"/>
                <w:bCs/>
                <w:sz w:val="18"/>
                <w:szCs w:val="18"/>
                <w:lang w:val="en-US" w:eastAsia="zh-CN"/>
              </w:rPr>
            </w:pPr>
            <w:r>
              <w:rPr>
                <w:rFonts w:hint="eastAsia" w:cs="仿宋_GB2312" w:asciiTheme="majorEastAsia" w:hAnsiTheme="majorEastAsia" w:eastAsiaTheme="majorEastAsia"/>
                <w:kern w:val="0"/>
                <w:sz w:val="18"/>
                <w:szCs w:val="18"/>
              </w:rPr>
              <w:t>【</w:t>
            </w:r>
            <w:r>
              <w:rPr>
                <w:rFonts w:hint="eastAsia" w:cs="仿宋_GB2312" w:asciiTheme="majorEastAsia" w:hAnsiTheme="majorEastAsia" w:eastAsiaTheme="majorEastAsia"/>
                <w:kern w:val="0"/>
                <w:sz w:val="18"/>
                <w:szCs w:val="18"/>
                <w:lang w:val="en-US" w:eastAsia="zh-CN"/>
              </w:rPr>
              <w:t>371</w:t>
            </w:r>
            <w:r>
              <w:rPr>
                <w:rFonts w:hint="eastAsia" w:cs="仿宋_GB2312" w:asciiTheme="majorEastAsia" w:hAnsiTheme="majorEastAsia" w:eastAsiaTheme="majorEastAsia"/>
                <w:kern w:val="0"/>
                <w:sz w:val="18"/>
                <w:szCs w:val="18"/>
              </w:rPr>
              <w:t>】</w:t>
            </w:r>
            <w:r>
              <w:rPr>
                <w:rFonts w:hint="eastAsia" w:cs="仿宋_GB2312" w:asciiTheme="majorEastAsia" w:hAnsiTheme="majorEastAsia" w:eastAsiaTheme="majorEastAsia"/>
                <w:kern w:val="0"/>
                <w:sz w:val="18"/>
                <w:szCs w:val="18"/>
                <w:lang w:val="en-US" w:eastAsia="zh-CN"/>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yellow"/>
              </w:rPr>
              <w:t>【202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asciiTheme="minorEastAsia" w:hAnsiTheme="minorEastAsia"/>
                <w:bCs/>
                <w:sz w:val="18"/>
                <w:szCs w:val="18"/>
                <w:highlight w:val="yellow"/>
              </w:rPr>
              <w:t>9</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26</w:t>
            </w:r>
            <w:r>
              <w:rPr>
                <w:rFonts w:hint="eastAsia" w:asciiTheme="minorEastAsia" w:hAnsiTheme="minorEastAsia"/>
                <w:bCs/>
                <w:sz w:val="18"/>
                <w:szCs w:val="18"/>
                <w:highlight w:val="yellow"/>
              </w:rPr>
              <w:t>】日</w:t>
            </w:r>
            <w:r>
              <w:rPr>
                <w:rFonts w:asciiTheme="minorEastAsia" w:hAnsiTheme="minorEastAsia"/>
                <w:bCs/>
                <w:sz w:val="18"/>
                <w:szCs w:val="18"/>
                <w:highlight w:val="yellow"/>
              </w:rPr>
              <w:t>9</w:t>
            </w:r>
            <w:r>
              <w:rPr>
                <w:rFonts w:hint="eastAsia" w:asciiTheme="minorEastAsia" w:hAnsiTheme="minorEastAsia"/>
                <w:bCs/>
                <w:sz w:val="18"/>
                <w:szCs w:val="18"/>
                <w:highlight w:val="yellow"/>
              </w:rPr>
              <w:t>:00至【202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10</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9</w:t>
            </w:r>
            <w:r>
              <w:rPr>
                <w:rFonts w:hint="eastAsia" w:asciiTheme="minorEastAsia" w:hAnsiTheme="minorEastAsia"/>
                <w:bCs/>
                <w:sz w:val="18"/>
                <w:szCs w:val="18"/>
                <w:highlight w:val="yellow"/>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023】年【</w:t>
            </w:r>
            <w:r>
              <w:rPr>
                <w:rFonts w:hint="eastAsia" w:cs="Times New Roman" w:asciiTheme="minorEastAsia" w:hAnsiTheme="minorEastAsia"/>
                <w:sz w:val="18"/>
                <w:szCs w:val="18"/>
                <w:highlight w:val="yellow"/>
                <w:lang w:val="en-US" w:eastAsia="zh-CN"/>
              </w:rPr>
              <w:t>10</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10</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024】年【</w:t>
            </w:r>
            <w:r>
              <w:rPr>
                <w:rFonts w:hint="eastAsia" w:cs="Times New Roman" w:asciiTheme="minorEastAsia" w:hAnsiTheme="minorEastAsia"/>
                <w:sz w:val="18"/>
                <w:szCs w:val="18"/>
                <w:highlight w:val="yellow"/>
                <w:lang w:val="en-US" w:eastAsia="zh-CN"/>
              </w:rPr>
              <w:t>10</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15</w:t>
            </w:r>
            <w:bookmarkStart w:id="156" w:name="_GoBack"/>
            <w:bookmarkEnd w:id="156"/>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highlight w:val="yellow"/>
              </w:rPr>
              <w:t>【1】元；超出起点金额的部分以【0</w:t>
            </w:r>
            <w:r>
              <w:rPr>
                <w:rFonts w:asciiTheme="majorEastAsia" w:hAnsiTheme="majorEastAsia" w:eastAsiaTheme="majorEastAsia"/>
                <w:bCs/>
                <w:sz w:val="18"/>
                <w:szCs w:val="18"/>
                <w:highlight w:val="yellow"/>
              </w:rPr>
              <w:t>.01</w:t>
            </w:r>
            <w:r>
              <w:rPr>
                <w:rFonts w:hint="eastAsia" w:asciiTheme="majorEastAsia" w:hAnsiTheme="majorEastAsia" w:eastAsiaTheme="majorEastAsia"/>
                <w:bCs/>
                <w:sz w:val="18"/>
                <w:szCs w:val="18"/>
                <w:highlight w:val="yellow"/>
              </w:rPr>
              <w:t>】元</w:t>
            </w:r>
            <w:r>
              <w:rPr>
                <w:rFonts w:hint="eastAsia" w:asciiTheme="majorEastAsia" w:hAnsiTheme="majorEastAsia" w:eastAsiaTheme="majorEastAsia"/>
                <w:bCs/>
                <w:sz w:val="18"/>
                <w:szCs w:val="18"/>
              </w:rPr>
              <w:t>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79154666"/>
      <w:bookmarkStart w:id="5" w:name="_Toc88747122"/>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outlineLvl w:val="1"/>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outlineLvl w:val="2"/>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outlineLvl w:val="2"/>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outlineLvl w:val="2"/>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outlineLvl w:val="1"/>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outlineLvl w:val="1"/>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outlineLvl w:val="1"/>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88747123"/>
      <w:bookmarkStart w:id="11" w:name="_Toc15203"/>
      <w:bookmarkStart w:id="12" w:name="_Toc6714"/>
      <w:bookmarkStart w:id="13" w:name="_Toc79154668"/>
      <w:bookmarkStart w:id="14" w:name="_Toc90742321"/>
      <w:bookmarkStart w:id="15" w:name="_Toc29948"/>
      <w:bookmarkStart w:id="16" w:name="_Toc90742688"/>
      <w:bookmarkStart w:id="17" w:name="_Toc3266"/>
      <w:bookmarkStart w:id="18" w:name="_Toc22074"/>
      <w:bookmarkStart w:id="19" w:name="_Toc7151"/>
      <w:bookmarkStart w:id="20" w:name="_Toc90742390"/>
      <w:bookmarkStart w:id="21" w:name="_Toc27189"/>
      <w:bookmarkStart w:id="22" w:name="_Toc16265"/>
      <w:bookmarkStart w:id="23" w:name="_Toc27226"/>
      <w:bookmarkStart w:id="24" w:name="_Toc74065741"/>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outlineLvl w:val="1"/>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outlineLvl w:val="1"/>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outlineLvl w:val="1"/>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outlineLvl w:val="1"/>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outlineLvl w:val="1"/>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88747125"/>
      <w:bookmarkStart w:id="29" w:name="_Toc21988"/>
      <w:bookmarkStart w:id="30" w:name="_Toc26986"/>
      <w:bookmarkStart w:id="31" w:name="_Toc18329"/>
      <w:bookmarkStart w:id="32" w:name="_Toc79154669"/>
      <w:bookmarkStart w:id="33" w:name="_Toc4741"/>
      <w:bookmarkStart w:id="34" w:name="_Toc141703885"/>
      <w:bookmarkStart w:id="35" w:name="_Toc18526"/>
      <w:bookmarkStart w:id="36" w:name="_Toc139991735"/>
      <w:bookmarkStart w:id="37" w:name="_Toc14893"/>
      <w:bookmarkStart w:id="38" w:name="_Toc17912"/>
      <w:bookmarkStart w:id="39" w:name="_Toc18797"/>
      <w:bookmarkStart w:id="40" w:name="_Toc74065742"/>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outlineLvl w:val="1"/>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88747126"/>
      <w:bookmarkStart w:id="44" w:name="_Toc17244"/>
      <w:bookmarkStart w:id="45" w:name="_Toc610"/>
      <w:bookmarkStart w:id="46" w:name="_Toc79392606"/>
      <w:bookmarkStart w:id="47" w:name="_Toc23261"/>
      <w:bookmarkStart w:id="48" w:name="_Toc10463"/>
      <w:bookmarkStart w:id="49" w:name="_Toc98560352"/>
      <w:bookmarkStart w:id="50" w:name="_Toc79154670"/>
      <w:bookmarkStart w:id="51" w:name="_Toc48649707"/>
      <w:bookmarkStart w:id="52" w:name="_Toc141703886"/>
      <w:bookmarkStart w:id="53" w:name="_Toc139991736"/>
      <w:bookmarkStart w:id="54" w:name="_Toc23822"/>
      <w:bookmarkStart w:id="55" w:name="_Toc74065743"/>
      <w:bookmarkStart w:id="56" w:name="_Toc1270"/>
      <w:bookmarkStart w:id="57" w:name="_Toc1427"/>
      <w:bookmarkStart w:id="58" w:name="_Toc123112234"/>
      <w:bookmarkStart w:id="59" w:name="_Toc123102453"/>
      <w:bookmarkStart w:id="60" w:name="_Toc20733"/>
      <w:bookmarkStart w:id="61" w:name="_Toc123051452"/>
      <w:bookmarkStart w:id="62" w:name="_Toc7920"/>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0" w:edGrp="everyone"/>
      <w:r>
        <w:rPr>
          <w:rFonts w:hint="eastAsia" w:hAnsi="宋体"/>
          <w:sz w:val="18"/>
          <w:szCs w:val="18"/>
        </w:rPr>
        <w:t>本产品存续期间，每【周】进行一次估值。如遇产品到期日、季度末、半年度末、年度末等时间节点管理人将增加估值日。</w:t>
      </w:r>
    </w:p>
    <w:permEnd w:id="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int="eastAsia" w:hAnsi="宋体"/>
          <w:b/>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int="eastAsia" w:hAnsi="宋体"/>
          <w:b/>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int="eastAsia" w:hAnsi="宋体"/>
          <w:b/>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int="eastAsia" w:hAnsi="宋体"/>
          <w:b/>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int="eastAsia" w:hAnsi="宋体"/>
          <w:b/>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int="eastAsia" w:hAnsi="宋体"/>
          <w:b/>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int="eastAsia" w:hAnsi="宋体"/>
          <w:b/>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int="eastAsia" w:hAnsi="宋体"/>
          <w:b/>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53"/>
      <w:bookmarkStart w:id="66" w:name="_Toc139991737"/>
      <w:bookmarkStart w:id="67" w:name="_Toc14835"/>
      <w:bookmarkStart w:id="68" w:name="_Toc123112235"/>
      <w:bookmarkStart w:id="69" w:name="_Toc12245"/>
      <w:bookmarkStart w:id="70" w:name="_Toc6405"/>
      <w:bookmarkStart w:id="71" w:name="_Toc141703887"/>
      <w:bookmarkStart w:id="72" w:name="_Toc31644"/>
      <w:bookmarkStart w:id="73" w:name="_Toc123102454"/>
      <w:bookmarkStart w:id="74" w:name="_Toc123051453"/>
      <w:bookmarkStart w:id="75" w:name="_Toc98560353"/>
      <w:bookmarkStart w:id="76" w:name="_Toc29251"/>
      <w:bookmarkStart w:id="77" w:name="_Toc74065744"/>
      <w:bookmarkStart w:id="78" w:name="_Toc88747127"/>
      <w:bookmarkStart w:id="79" w:name="_Toc31235"/>
      <w:bookmarkStart w:id="80" w:name="_Toc3601"/>
      <w:bookmarkStart w:id="81" w:name="_Toc79154671"/>
      <w:bookmarkStart w:id="82" w:name="_Toc26207"/>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int="eastAsia" w:hAnsi="宋体"/>
          <w:color w:val="auto"/>
          <w:sz w:val="18"/>
          <w:szCs w:val="18"/>
        </w:rPr>
        <w:t>每一产品份额享有同等分配权。</w:t>
      </w:r>
    </w:p>
    <w:p>
      <w:pPr>
        <w:pStyle w:val="34"/>
        <w:spacing w:line="360" w:lineRule="auto"/>
        <w:ind w:firstLine="360" w:firstLineChars="200"/>
        <w:rPr>
          <w:rFonts w:hAnsi="宋体"/>
          <w:color w:val="auto"/>
          <w:sz w:val="18"/>
          <w:szCs w:val="18"/>
        </w:rPr>
      </w:pPr>
      <w:r>
        <w:rPr>
          <w:rFonts w:hint="eastAsia" w:hAnsi="宋体"/>
          <w:color w:val="auto"/>
          <w:sz w:val="18"/>
          <w:szCs w:val="18"/>
        </w:rPr>
        <w:t>2.在不违反法律法规、理财产品销售文件约定以及对份额持有人权益无实质性不利影响的情况下，</w:t>
      </w:r>
      <w:r>
        <w:rPr>
          <w:rFonts w:hint="eastAsia" w:asciiTheme="majorEastAsia" w:hAnsiTheme="majorEastAsia" w:eastAsiaTheme="majorEastAsia"/>
          <w:bCs/>
          <w:color w:val="auto"/>
          <w:sz w:val="18"/>
          <w:szCs w:val="18"/>
        </w:rPr>
        <w:t>产品管理人</w:t>
      </w:r>
      <w:r>
        <w:rPr>
          <w:rFonts w:hint="eastAsia" w:hAnsi="宋体"/>
          <w:color w:val="auto"/>
          <w:sz w:val="18"/>
          <w:szCs w:val="18"/>
        </w:rPr>
        <w:t>可调整本产品利益的分配原则和支付方式。法律法规或监管机构另有规定的从其规定。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1"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int="eastAsia"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3.理财产品存续期间，产品管理人有权视理财产品收益情况进行主动分配，相应分配基准日、分配方案由管理人及时披露。</w:t>
      </w:r>
    </w:p>
    <w:permEnd w:id="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widowControl/>
        <w:spacing w:line="360" w:lineRule="auto"/>
        <w:jc w:val="left"/>
        <w:rPr>
          <w:rFonts w:ascii="宋体" w:hAnsi="宋体"/>
          <w:kern w:val="0"/>
          <w:sz w:val="18"/>
          <w:szCs w:val="18"/>
        </w:rPr>
      </w:pPr>
      <w:r>
        <w:rPr>
          <w:rFonts w:hAnsi="宋体"/>
          <w:sz w:val="18"/>
          <w:szCs w:val="18"/>
        </w:rPr>
        <w:t>2.</w:t>
      </w:r>
      <w:r>
        <w:rPr>
          <w:rFonts w:hint="eastAsia" w:hAnsi="宋体"/>
          <w:sz w:val="18"/>
          <w:szCs w:val="18"/>
        </w:rPr>
        <w:t>具体的理财利益分配以管理人实际分配的为准。</w:t>
      </w: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98560354"/>
      <w:bookmarkStart w:id="92" w:name="_Toc3771"/>
      <w:bookmarkStart w:id="93" w:name="_Toc4559"/>
      <w:bookmarkStart w:id="94" w:name="_Toc18567"/>
      <w:bookmarkStart w:id="95" w:name="_Toc3321"/>
      <w:bookmarkStart w:id="96" w:name="_Toc25783"/>
      <w:bookmarkStart w:id="97" w:name="_Toc88747128"/>
      <w:bookmarkStart w:id="98" w:name="_Toc139991738"/>
      <w:bookmarkStart w:id="99" w:name="_Toc7058"/>
      <w:bookmarkStart w:id="100" w:name="_Toc11030"/>
      <w:bookmarkStart w:id="101" w:name="_Toc10650"/>
      <w:bookmarkStart w:id="102" w:name="_Toc6447"/>
      <w:bookmarkStart w:id="103" w:name="_Toc141703888"/>
      <w:bookmarkStart w:id="104" w:name="_Toc74065745"/>
      <w:bookmarkStart w:id="105" w:name="_Toc9706"/>
      <w:bookmarkStart w:id="106" w:name="_Toc123112236"/>
      <w:bookmarkStart w:id="107" w:name="_Toc79154672"/>
      <w:bookmarkStart w:id="108" w:name="_Toc123102455"/>
      <w:bookmarkStart w:id="109" w:name="_Toc79392583"/>
      <w:bookmarkStart w:id="110"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bookmarkStart w:id="111" w:name="_Toc1745"/>
      <w:bookmarkStart w:id="112" w:name="_Toc3963"/>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int="eastAsia" w:hAnsi="宋体"/>
          <w:sz w:val="18"/>
          <w:szCs w:val="18"/>
        </w:rPr>
      </w:pPr>
      <w:r>
        <w:rPr>
          <w:rFonts w:hint="eastAsia" w:ascii="宋体" w:hAnsi="宋体"/>
          <w:kern w:val="0"/>
          <w:sz w:val="18"/>
          <w:szCs w:val="18"/>
        </w:rPr>
        <w:t>1.理财产品费用的种类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（1）理财产品的认购费；</w:t>
      </w:r>
    </w:p>
    <w:p>
      <w:pPr>
        <w:widowControl/>
        <w:spacing w:line="360" w:lineRule="auto"/>
        <w:ind w:firstLine="360" w:firstLineChars="200"/>
        <w:jc w:val="left"/>
        <w:rPr>
          <w:rFonts w:hAnsi="宋体"/>
          <w:sz w:val="18"/>
          <w:szCs w:val="18"/>
        </w:rPr>
      </w:pPr>
      <w:r>
        <w:rPr>
          <w:rFonts w:hint="eastAsia" w:ascii="宋体" w:hAnsi="宋体"/>
          <w:kern w:val="0"/>
          <w:sz w:val="18"/>
          <w:szCs w:val="18"/>
        </w:rPr>
        <w:t>（2）理财产品的销售服务费；</w:t>
      </w:r>
    </w:p>
    <w:p>
      <w:pPr>
        <w:widowControl/>
        <w:spacing w:line="360" w:lineRule="auto"/>
        <w:ind w:firstLine="360" w:firstLineChars="200"/>
        <w:jc w:val="left"/>
        <w:rPr>
          <w:rFonts w:hAnsi="宋体"/>
          <w:sz w:val="18"/>
          <w:szCs w:val="18"/>
        </w:rPr>
      </w:pPr>
      <w:r>
        <w:rPr>
          <w:rFonts w:hint="eastAsia"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（4）理财产品的产品托管费；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（5）理财产品的证券交易费用；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（6）理财产品验资费、审计费、律师费、信息披露费、清算费、执行费用等相关费用；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（7）按照国家法律法规规定可以列入的其他费用。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2.理财产品费用计提方法、计提标准和支付方式</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（1）理财产品的认购费</w:t>
      </w:r>
    </w:p>
    <w:p>
      <w:pPr>
        <w:widowControl/>
        <w:spacing w:line="360" w:lineRule="auto"/>
        <w:ind w:firstLine="360" w:firstLineChars="200"/>
        <w:jc w:val="left"/>
        <w:rPr>
          <w:rFonts w:hint="eastAsia" w:ascii="宋体" w:hAnsi="宋体"/>
          <w:sz w:val="18"/>
          <w:szCs w:val="18"/>
        </w:rPr>
      </w:pPr>
      <w:r>
        <w:rPr>
          <w:rFonts w:hint="eastAsia" w:asciiTheme="majorEastAsia" w:hAnsiTheme="majorEastAsia" w:eastAsiaTheme="majorEastAsia"/>
          <w:bCs/>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（2）理财产品的销售服务费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H＝E×销售服务费年费率÷365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H为每日应计提的销售服务费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E为前一日的理财资产净值</w:t>
      </w:r>
    </w:p>
    <w:p>
      <w:pPr>
        <w:pStyle w:val="34"/>
        <w:spacing w:line="360" w:lineRule="auto"/>
        <w:ind w:firstLine="360" w:firstLineChars="200"/>
        <w:rPr>
          <w:rFonts w:hint="eastAsia"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（3）理财产品的投资管理费</w:t>
      </w:r>
    </w:p>
    <w:p>
      <w:pPr>
        <w:widowControl/>
        <w:spacing w:line="360" w:lineRule="auto"/>
        <w:ind w:firstLine="360" w:firstLineChars="200"/>
        <w:jc w:val="left"/>
        <w:rPr>
          <w:rFonts w:hint="eastAsia"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H＝E×投资管理费年费率÷365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H为每日应计提的产品投资管理费</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E为前一日的理财资产净值</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hint="eastAsia" w:ascii="宋体" w:hAnsi="宋体"/>
          <w:kern w:val="0"/>
          <w:sz w:val="18"/>
          <w:szCs w:val="18"/>
        </w:rPr>
      </w:pPr>
      <w:permStart w:id="2" w:edGrp="everyone"/>
      <w:r>
        <w:rPr>
          <w:rFonts w:hint="eastAsia" w:ascii="宋体" w:hAnsi="宋体"/>
          <w:kern w:val="0"/>
          <w:sz w:val="18"/>
          <w:szCs w:val="18"/>
        </w:rPr>
        <w:t>（4）超额业绩报酬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（5）理财产品的产品托管费</w:t>
      </w:r>
    </w:p>
    <w:p>
      <w:pPr>
        <w:widowControl/>
        <w:spacing w:line="360" w:lineRule="auto"/>
        <w:ind w:firstLine="360" w:firstLineChars="200"/>
        <w:jc w:val="left"/>
        <w:rPr>
          <w:rFonts w:hint="eastAsia" w:ascii="宋体" w:hAnsi="宋体"/>
          <w:sz w:val="18"/>
          <w:szCs w:val="18"/>
        </w:rPr>
      </w:pPr>
      <w:r>
        <w:rPr>
          <w:rFonts w:hint="eastAsia" w:ascii="宋体" w:hAnsi="宋体"/>
          <w:sz w:val="18"/>
          <w:szCs w:val="18"/>
        </w:rPr>
        <w:t>本产品的产品托管费按前一日理财资产净值与产品托管费每日费率每日计提。</w:t>
      </w:r>
      <w:r>
        <w:rPr>
          <w:rFonts w:hint="eastAsia" w:ascii="宋体" w:hAnsi="宋体"/>
          <w:kern w:val="0"/>
          <w:sz w:val="18"/>
          <w:szCs w:val="18"/>
        </w:rPr>
        <w:t>产品托管费的计算方法如下：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H＝E×产品托管费年费率÷365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H为每日应计提的产品托管费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E为前一日的理财资产净值</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（6）上述理财产品的证券交易费用</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（7）上述理财产品验资费、审计费、律师费、信息披露费、清算费、执行费用等相关费用</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按费用实际支出金额列入当期费用，从理财财产中支付。产品管理人因处理上述事务而先行垫付上述费用的，管理人有权从理财产品资产中优先受偿。</w:t>
      </w:r>
    </w:p>
    <w:p>
      <w:pPr>
        <w:pStyle w:val="34"/>
        <w:spacing w:line="360" w:lineRule="auto"/>
        <w:ind w:firstLine="360" w:firstLineChars="200"/>
        <w:rPr>
          <w:rFonts w:hint="eastAsia" w:ascii="黑体" w:hAnsi="黑体" w:eastAsia="黑体"/>
          <w:color w:val="auto"/>
          <w:sz w:val="18"/>
        </w:rPr>
      </w:pPr>
      <w:r>
        <w:rPr>
          <w:rFonts w:hint="eastAsia" w:ascii="黑体" w:hAnsi="黑体" w:eastAsia="黑体"/>
          <w:color w:val="auto"/>
          <w:sz w:val="18"/>
        </w:rPr>
        <w:t>3.</w:t>
      </w:r>
      <w:r>
        <w:rPr>
          <w:rFonts w:hint="eastAsia"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hint="eastAsia"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hint="eastAsia"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r>
        <w:br w:type="page"/>
      </w:r>
      <w:bookmarkStart w:id="113" w:name="_Toc98560355"/>
      <w:bookmarkStart w:id="114" w:name="_Toc123102456"/>
      <w:bookmarkStart w:id="115" w:name="_Toc139991739"/>
      <w:bookmarkStart w:id="116" w:name="_Toc16164"/>
      <w:bookmarkStart w:id="117" w:name="_Toc79154673"/>
      <w:bookmarkStart w:id="118" w:name="_Toc31821"/>
      <w:bookmarkStart w:id="119" w:name="_Toc141703889"/>
      <w:bookmarkStart w:id="120" w:name="_Toc725"/>
      <w:bookmarkStart w:id="121" w:name="_Toc74065746"/>
      <w:bookmarkStart w:id="122" w:name="_Toc21735"/>
      <w:bookmarkStart w:id="123" w:name="_Toc88747129"/>
      <w:bookmarkStart w:id="124" w:name="_Toc123112237"/>
      <w:bookmarkStart w:id="125" w:name="_Toc3080"/>
      <w:bookmarkStart w:id="126" w:name="_Toc3572"/>
      <w:bookmarkStart w:id="127" w:name="_Toc18206"/>
      <w:bookmarkStart w:id="128" w:name="_Toc123051455"/>
      <w:bookmarkStart w:id="129" w:name="_Toc1039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39"/>
      <w:bookmarkStart w:id="134" w:name="_Toc32092"/>
      <w:bookmarkStart w:id="135" w:name="_Toc48649708"/>
      <w:bookmarkStart w:id="136" w:name="_Toc139991740"/>
      <w:bookmarkStart w:id="137" w:name="_Toc88747130"/>
      <w:bookmarkStart w:id="138" w:name="_Toc3329"/>
      <w:bookmarkStart w:id="139" w:name="_Toc21237"/>
      <w:bookmarkStart w:id="140" w:name="_Toc74065747"/>
      <w:bookmarkStart w:id="141" w:name="_Toc32584"/>
      <w:bookmarkStart w:id="142" w:name="_Toc5170"/>
      <w:bookmarkStart w:id="143" w:name="_Toc17920"/>
      <w:bookmarkStart w:id="144" w:name="_Toc79392622"/>
      <w:bookmarkStart w:id="145" w:name="_Toc29408"/>
      <w:bookmarkStart w:id="146" w:name="_Toc8791"/>
      <w:bookmarkStart w:id="147" w:name="_Toc17198"/>
      <w:bookmarkStart w:id="148" w:name="_Toc79154674"/>
      <w:bookmarkStart w:id="149" w:name="_Toc123051456"/>
      <w:bookmarkStart w:id="150" w:name="_Toc141703890"/>
      <w:bookmarkStart w:id="151" w:name="_Toc123112238"/>
      <w:bookmarkStart w:id="152" w:name="_Toc123102457"/>
      <w:bookmarkStart w:id="153" w:name="_Toc985603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（一）信息披露的原则</w:t>
      </w:r>
    </w:p>
    <w:p>
      <w:pPr>
        <w:spacing w:line="360" w:lineRule="auto"/>
        <w:ind w:firstLine="360"/>
        <w:rPr>
          <w:rFonts w:ascii="宋体" w:hAnsi="宋体"/>
          <w:b/>
          <w:bCs/>
          <w:sz w:val="18"/>
          <w:szCs w:val="18"/>
        </w:rPr>
      </w:pPr>
      <w:r>
        <w:rPr>
          <w:rFonts w:hint="eastAsia" w:ascii="宋体" w:hAnsi="宋体"/>
          <w:bCs/>
          <w:sz w:val="18"/>
          <w:szCs w:val="18"/>
        </w:rPr>
        <w:t>产品管理人遵循真实性、准确性、完整性和及时性原则进行信息披露。</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hint="eastAsia" w:ascii="宋体" w:hAnsi="宋体"/>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hint="eastAsia" w:ascii="黑体" w:hAnsi="黑体" w:eastAsia="黑体"/>
          <w:bCs/>
          <w:sz w:val="18"/>
          <w:szCs w:val="18"/>
        </w:rPr>
        <w:t>2.★产品管理人通过产品管理人或销售机构的信息披露渠道发布理财产品有关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60" w:lineRule="auto"/>
        <w:ind w:firstLine="360"/>
        <w:rPr>
          <w:rFonts w:ascii="宋体" w:hAnsi="宋体"/>
          <w:bCs/>
          <w:sz w:val="18"/>
          <w:szCs w:val="18"/>
        </w:rPr>
      </w:pPr>
      <w:r>
        <w:rPr>
          <w:rFonts w:hint="eastAsia" w:ascii="宋体" w:hAnsi="宋体"/>
          <w:bCs/>
          <w:sz w:val="18"/>
          <w:szCs w:val="18"/>
        </w:rPr>
        <w:t>3.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hint="eastAsia" w:ascii="宋体" w:hAnsi="宋体"/>
          <w:bCs/>
          <w:sz w:val="18"/>
          <w:szCs w:val="18"/>
        </w:rPr>
        <w:t>4.在保障投资者知情权的前提下，产品管理人保留变更信息披露渠道的权利。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hint="eastAsia"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rPr>
          <w:rFonts w:ascii="宋体" w:hAnsi="宋体"/>
          <w:bCs/>
          <w:sz w:val="18"/>
          <w:szCs w:val="18"/>
        </w:rPr>
      </w:pPr>
      <w:r>
        <w:rPr>
          <w:rFonts w:hint="eastAsia" w:ascii="宋体" w:hAnsi="宋体"/>
          <w:bCs/>
          <w:sz w:val="18"/>
          <w:szCs w:val="18"/>
        </w:rPr>
        <w:t>2.重大事项公告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在发生可能对理财产品投资者或者理财产品收益产生重大影响的事件后2个工作日内发布重大事项公告。</w:t>
      </w:r>
    </w:p>
    <w:p>
      <w:pPr>
        <w:spacing w:line="360" w:lineRule="auto"/>
        <w:ind w:firstLine="360"/>
        <w:rPr>
          <w:rFonts w:ascii="宋体" w:hAnsi="宋体"/>
          <w:bCs/>
          <w:sz w:val="18"/>
          <w:szCs w:val="18"/>
        </w:rPr>
      </w:pPr>
      <w:r>
        <w:rPr>
          <w:rFonts w:hint="eastAsia"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hint="eastAsia"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rPr>
          <w:rFonts w:ascii="宋体" w:hAnsi="宋体"/>
          <w:bCs/>
          <w:sz w:val="18"/>
          <w:szCs w:val="18"/>
        </w:rPr>
      </w:pPr>
      <w:r>
        <w:rPr>
          <w:rFonts w:hint="eastAsia" w:ascii="宋体" w:hAnsi="宋体"/>
          <w:bCs/>
          <w:sz w:val="18"/>
          <w:szCs w:val="18"/>
        </w:rPr>
        <w:t>5.估值日公告</w:t>
      </w:r>
    </w:p>
    <w:p>
      <w:pPr>
        <w:spacing w:line="360" w:lineRule="auto"/>
        <w:ind w:firstLine="360"/>
        <w:rPr>
          <w:rFonts w:ascii="宋体" w:hAnsi="宋体"/>
          <w:bCs/>
          <w:sz w:val="18"/>
          <w:szCs w:val="18"/>
        </w:rPr>
      </w:pPr>
      <w:permStart w:id="3" w:edGrp="everyone"/>
      <w:r>
        <w:rPr>
          <w:rFonts w:hint="eastAsia" w:ascii="宋体" w:hAnsi="宋体"/>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3"/>
    <w:p>
      <w:pPr>
        <w:spacing w:line="360" w:lineRule="auto"/>
        <w:ind w:firstLine="360"/>
        <w:rPr>
          <w:rFonts w:ascii="宋体" w:hAnsi="宋体"/>
          <w:bCs/>
          <w:sz w:val="18"/>
          <w:szCs w:val="18"/>
        </w:rPr>
      </w:pPr>
      <w:r>
        <w:rPr>
          <w:rFonts w:hint="eastAsia"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pPr>
        <w:spacing w:line="360" w:lineRule="auto"/>
        <w:ind w:firstLine="360" w:firstLineChars="200"/>
        <w:rPr>
          <w:rFonts w:ascii="宋体" w:hAnsi="宋体"/>
          <w:bCs/>
          <w:sz w:val="18"/>
          <w:szCs w:val="18"/>
        </w:rPr>
      </w:pPr>
      <w:r>
        <w:rPr>
          <w:rFonts w:hint="eastAsia"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拒绝或暂停接受投资者认购申请、暂停理财产品估值等情形时，</w:t>
      </w:r>
      <w:r>
        <w:rPr>
          <w:rFonts w:hint="eastAsia" w:ascii="宋体" w:hAnsi="宋体"/>
          <w:sz w:val="18"/>
          <w:szCs w:val="18"/>
        </w:rPr>
        <w:t>产品管理人</w:t>
      </w:r>
      <w:r>
        <w:rPr>
          <w:rFonts w:hint="eastAsia" w:ascii="宋体" w:hAnsi="宋体"/>
          <w:bCs/>
          <w:sz w:val="18"/>
          <w:szCs w:val="18"/>
        </w:rPr>
        <w:t>将于3个交易日内告知投资者，并说明运用相关措施的原因和拟采取的应对安排等。在发生涉及产品认购事项调整时，管理人将发布临时公告。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pPr>
        <w:spacing w:line="360" w:lineRule="auto"/>
        <w:ind w:firstLine="360"/>
        <w:rPr>
          <w:rFonts w:ascii="宋体" w:hAnsi="宋体"/>
          <w:bCs/>
          <w:sz w:val="18"/>
          <w:szCs w:val="18"/>
        </w:rPr>
      </w:pPr>
      <w:r>
        <w:rPr>
          <w:rFonts w:hint="eastAsia"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88747131"/>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2962D-C8CC-43BF-804A-CD60AE6D7475}">
  <ds:schemaRefs/>
</ds:datastoreItem>
</file>

<file path=customXml/itemProps11.xml><?xml version="1.0" encoding="utf-8"?>
<ds:datastoreItem xmlns:ds="http://schemas.openxmlformats.org/officeDocument/2006/customXml" ds:itemID="{0FFC5A82-DAD7-43C1-9386-C94B3FA86837}">
  <ds:schemaRefs/>
</ds:datastoreItem>
</file>

<file path=customXml/itemProps12.xml><?xml version="1.0" encoding="utf-8"?>
<ds:datastoreItem xmlns:ds="http://schemas.openxmlformats.org/officeDocument/2006/customXml" ds:itemID="{2108FF18-8EC8-4170-A536-1AA8E39CC797}">
  <ds:schemaRefs/>
</ds:datastoreItem>
</file>

<file path=customXml/itemProps13.xml><?xml version="1.0" encoding="utf-8"?>
<ds:datastoreItem xmlns:ds="http://schemas.openxmlformats.org/officeDocument/2006/customXml" ds:itemID="{EC45DDBE-A426-47CA-BC62-D025DE29F1BC}">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79B37214-9E52-4241-8DD2-9E9CD9442006}">
  <ds:schemaRefs/>
</ds:datastoreItem>
</file>

<file path=customXml/itemProps17.xml><?xml version="1.0" encoding="utf-8"?>
<ds:datastoreItem xmlns:ds="http://schemas.openxmlformats.org/officeDocument/2006/customXml" ds:itemID="{509BA638-9D3A-4AA3-A169-FF78BC0E4BE9}">
  <ds:schemaRefs/>
</ds:datastoreItem>
</file>

<file path=customXml/itemProps18.xml><?xml version="1.0" encoding="utf-8"?>
<ds:datastoreItem xmlns:ds="http://schemas.openxmlformats.org/officeDocument/2006/customXml" ds:itemID="{7E5C9D84-6DB6-48FB-8632-D5279FC233C8}">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3A3C3A8D-C5E4-45AF-8B48-C3BF528808AD}">
  <ds:schemaRefs/>
</ds:datastoreItem>
</file>

<file path=customXml/itemProps4.xml><?xml version="1.0" encoding="utf-8"?>
<ds:datastoreItem xmlns:ds="http://schemas.openxmlformats.org/officeDocument/2006/customXml" ds:itemID="{BEEE0313-55EB-45FA-BBBD-C0232D367255}">
  <ds:schemaRefs/>
</ds:datastoreItem>
</file>

<file path=customXml/itemProps5.xml><?xml version="1.0" encoding="utf-8"?>
<ds:datastoreItem xmlns:ds="http://schemas.openxmlformats.org/officeDocument/2006/customXml" ds:itemID="{AC86F3EB-DB57-4B60-8A7E-BBB67A22EE0B}">
  <ds:schemaRefs/>
</ds:datastoreItem>
</file>

<file path=customXml/itemProps6.xml><?xml version="1.0" encoding="utf-8"?>
<ds:datastoreItem xmlns:ds="http://schemas.openxmlformats.org/officeDocument/2006/customXml" ds:itemID="{0A7AA9EF-3B8C-4BAA-9155-A6E3E5337D3C}">
  <ds:schemaRefs/>
</ds:datastoreItem>
</file>

<file path=customXml/itemProps7.xml><?xml version="1.0" encoding="utf-8"?>
<ds:datastoreItem xmlns:ds="http://schemas.openxmlformats.org/officeDocument/2006/customXml" ds:itemID="{CF487381-D648-48A1-B1E4-A4540B0D3650}">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3581</Words>
  <Characters>20418</Characters>
  <Lines>170</Lines>
  <Paragraphs>47</Paragraphs>
  <TotalTime>1</TotalTime>
  <ScaleCrop>false</ScaleCrop>
  <LinksUpToDate>false</LinksUpToDate>
  <CharactersWithSpaces>23952</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熊征斯</cp:lastModifiedBy>
  <cp:lastPrinted>2020-09-21T06:35:00Z</cp:lastPrinted>
  <dcterms:modified xsi:type="dcterms:W3CDTF">2023-09-12T06:01:01Z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