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兴银理财【稳利丰收封闭式固收类】</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 xml:space="preserve">理财产品 </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r>
        <w:rPr>
          <w:rStyle w:val="27"/>
          <w:rFonts w:hint="eastAsia" w:ascii="宋体" w:hAnsi="宋体" w:cs="Times New Roman"/>
          <w:sz w:val="32"/>
          <w:szCs w:val="32"/>
        </w:rPr>
        <w:t>【2</w:t>
      </w:r>
      <w:r>
        <w:rPr>
          <w:rStyle w:val="27"/>
          <w:rFonts w:ascii="宋体" w:hAnsi="宋体" w:cs="Times New Roman"/>
          <w:sz w:val="32"/>
          <w:szCs w:val="32"/>
        </w:rPr>
        <w:t>023</w:t>
      </w:r>
      <w:r>
        <w:rPr>
          <w:rStyle w:val="27"/>
          <w:rFonts w:hint="eastAsia" w:ascii="宋体" w:hAnsi="宋体" w:cs="Times New Roman"/>
          <w:sz w:val="32"/>
          <w:szCs w:val="32"/>
        </w:rPr>
        <w:t>】年【</w:t>
      </w:r>
      <w:r>
        <w:rPr>
          <w:rStyle w:val="27"/>
          <w:rFonts w:ascii="宋体" w:hAnsi="宋体" w:cs="Times New Roman"/>
          <w:sz w:val="32"/>
          <w:szCs w:val="32"/>
        </w:rPr>
        <w:t>9</w:t>
      </w:r>
      <w:r>
        <w:rPr>
          <w:rStyle w:val="27"/>
          <w:rFonts w:hint="eastAsia" w:ascii="宋体" w:hAnsi="宋体" w:cs="Times New Roman"/>
          <w:sz w:val="32"/>
          <w:szCs w:val="32"/>
        </w:rPr>
        <w:t>】月</w:t>
      </w:r>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"_Toc88747120"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_Toc88747120 \h </w:instrText>
          </w:r>
          <w:r>
            <w:fldChar w:fldCharType="separate"/>
          </w:r>
          <w:r>
            <w:t>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"_Toc88747121"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_Toc88747121 \h </w:instrText>
          </w:r>
          <w:r>
            <w:fldChar w:fldCharType="separate"/>
          </w:r>
          <w:r>
            <w:t>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"_Toc88747122"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_Toc88747122 \h </w:instrText>
          </w:r>
          <w:r>
            <w:fldChar w:fldCharType="separate"/>
          </w:r>
          <w:r>
            <w:t>8</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"_Toc88747123"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_Toc88747123 \h </w:instrText>
          </w:r>
          <w:r>
            <w:fldChar w:fldCharType="separate"/>
          </w:r>
          <w:r>
            <w:t>10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"_Toc88747124"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_Toc88747124 \h </w:instrText>
          </w:r>
          <w:r>
            <w:fldChar w:fldCharType="separate"/>
          </w:r>
          <w:r>
            <w:t>11</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"_Toc88747125"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_Toc88747125 \h </w:instrText>
          </w:r>
          <w:r>
            <w:fldChar w:fldCharType="separate"/>
          </w:r>
          <w:r>
            <w:t>14</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"_Toc88747126"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_Toc88747126 \h </w:instrText>
          </w:r>
          <w:r>
            <w:fldChar w:fldCharType="separate"/>
          </w:r>
          <w:r>
            <w:t>15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"_Toc88747127"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_Toc88747127 \h </w:instrText>
          </w:r>
          <w:r>
            <w:fldChar w:fldCharType="separate"/>
          </w:r>
          <w:r>
            <w:t>19</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"_Toc88747128"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_Toc88747128 \h </w:instrText>
          </w:r>
          <w:r>
            <w:fldChar w:fldCharType="separate"/>
          </w:r>
          <w:r>
            <w:t>20</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"_Toc88747129"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_Toc88747129 \h </w:instrText>
          </w:r>
          <w:r>
            <w:fldChar w:fldCharType="separate"/>
          </w:r>
          <w:r>
            <w:t>23</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"_Toc88747130"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_Toc88747130 \h </w:instrText>
          </w:r>
          <w:r>
            <w:fldChar w:fldCharType="separate"/>
          </w:r>
          <w:r>
            <w:t>25</w:t>
          </w:r>
          <w:r>
            <w:fldChar w:fldCharType="end"/>
          </w:r>
          <w:r>
            <w:fldChar w:fldCharType="end"/>
          </w:r>
        </w:p>
        <w:p>
          <w:pPr>
            <w:pStyle w:val="16"/>
            <w:tabs>
              <w:tab w:val="right" w:leader="dot" w:pos="8296"/>
            </w:tabs>
            <w:spacing w:line="360" w:lineRule="auto"/>
            <w:rPr>
              <w:rFonts w:asciiTheme="minorHAnsi" w:hAnsiTheme="minorHAnsi" w:eastAsiaTheme="minorEastAsia" w:cstheme="minorBidi"/>
              <w:kern w:val="2"/>
              <w:sz w:val="21"/>
            </w:rPr>
          </w:pPr>
          <w:r>
            <w:fldChar w:fldCharType="begin"/>
          </w:r>
          <w:r>
            <w:instrText xml:space="preserve"> HYPERLINK \l "_Toc88747131"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_Toc88747131 \h </w:instrText>
          </w:r>
          <w:r>
            <w:fldChar w:fldCharType="separate"/>
          </w:r>
          <w:r>
            <w:t>27</w:t>
          </w:r>
          <w:r>
            <w:fldChar w:fldCharType="end"/>
          </w:r>
          <w:r>
            <w:fldChar w:fldCharType="end"/>
          </w:r>
        </w:p>
        <w:p>
          <w:pPr>
            <w:spacing w:line="360" w:lineRule="auto"/>
          </w:pPr>
          <w:r>
            <w:fldChar w:fldCharType="end"/>
          </w:r>
        </w:p>
      </w:sdtContent>
    </w:sdt>
    <w:p>
      <w:pPr>
        <w:widowControl/>
        <w:spacing w:line="360" w:lineRule="auto"/>
        <w:jc w:val="left"/>
        <w:rPr>
          <w:rFonts w:ascii="Times New Roman"/>
          <w:sz w:val="30"/>
        </w:rPr>
      </w:pPr>
    </w:p>
    <w:p>
      <w:pPr>
        <w:widowControl/>
        <w:spacing w:line="360" w:lineRule="auto"/>
        <w:jc w:val="left"/>
        <w:rPr>
          <w:rFonts w:ascii="Times New Roman"/>
          <w:sz w:val="30"/>
        </w:rPr>
        <w:sectPr>
          <w:headerReference r:id="rId3" w:type="default"/>
          <w:footerReference r:id="rId4" w:type="default"/>
          <w:pgSz w:w="11906" w:h="16838"/>
          <w:pgMar w:top="1276" w:right="1800" w:bottom="1418" w:left="1800" w:header="567" w:footer="850" w:gutter="0"/>
          <w:cols w:space="425" w:num="1"/>
          <w:docGrid w:type="lines" w:linePitch="312" w:charSpace="0"/>
        </w:sectPr>
      </w:pPr>
    </w:p>
    <w:p>
      <w:pPr>
        <w:pStyle w:val="2"/>
        <w:spacing w:before="0" w:after="0" w:line="360" w:lineRule="auto"/>
        <w:jc w:val="center"/>
        <w:rPr>
          <w:rFonts w:ascii="Times New Roman"/>
          <w:sz w:val="30"/>
        </w:rPr>
      </w:pPr>
      <w:bookmarkStart w:id="1" w:name="_Toc88747120"/>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（一）在本产品投资协议书中，除非上下文另有明确约定，下列用词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：指产品管理人向投资者提供的，用于描述产品特征，约定权利义务的文件。具体指《兴银理财【稳利丰收封闭式固收类】理财产品 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《投资协议书》：指管理人统一编制的《兴银理财【稳利丰收封闭式固收类】理财产品 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）《产品说明书》：指管理人统一编制的《兴银理财【稳利丰收封闭式固收类】理财产品 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（4）《（代理）销售协议书》：指管理人统一编制的《兴银理财【稳利丰收封闭式固收类】理财产品 （代理）销售协议书》或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）《风险揭示书》：指管理人统一编制的《兴银理财【稳利丰收封闭式固收类】理财产品 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的《兴银理财【稳利丰收封闭式固收类】理财产品 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）《投资者权益须知》：指管理人统一编制的《兴银理财【稳利丰收封闭式固收类】理财产品 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《兴银理财【稳利丰收封闭式固收类】理财产品 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）适合投资者：指适合购买本产品的投资者类型。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理财产品份额净值指当前理财产品份额净值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即产品目前的净值</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指产品当前份额净值及产品成立到现在理财产品分红之和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12</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指管理人基于过往投资经验及对产品存续期投资市场波动的预判而对本产品所设定的投资目标。</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13</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指管理人收取超额业绩报酬的参照相关</w:t>
      </w:r>
      <w:r>
        <w:rPr>
          <w:rFonts w:asciiTheme="majorEastAsia" w:hAnsiTheme="majorEastAsia" w:eastAsiaTheme="majorEastAsia"/>
          <w:bCs/>
          <w:color w:val="auto"/>
          <w:sz w:val="18"/>
          <w:szCs w:val="18"/>
        </w:rPr>
        <w:t>数值标准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14</w:t>
      </w:r>
      <w:r>
        <w:rPr>
          <w:rFonts w:hint="eastAsia" w:asciiTheme="majorEastAsia" w:hAnsiTheme="majorEastAsia" w:eastAsiaTheme="majorEastAsia"/>
          <w:bCs/>
          <w:color w:val="auto"/>
          <w:sz w:val="18"/>
          <w:szCs w:val="18"/>
        </w:rPr>
        <w:t>）</w:t>
      </w:r>
      <w:r>
        <w:rPr>
          <w:rFonts w:hint="eastAsia" w:ascii="黑体" w:hAnsi="黑体" w:eastAsia="黑体" w:cs="仿宋_GB2312"/>
          <w:bCs/>
          <w:color w:val="auto"/>
          <w:sz w:val="18"/>
          <w:szCs w:val="18"/>
        </w:rPr>
        <w:t>★</w:t>
      </w:r>
      <w:r>
        <w:rPr>
          <w:rFonts w:hint="eastAsia" w:asciiTheme="majorEastAsia" w:hAnsiTheme="majorEastAsia" w:eastAsiaTheme="majorEastAsia"/>
          <w:bCs/>
          <w:color w:val="auto"/>
          <w:sz w:val="18"/>
          <w:szCs w:val="18"/>
        </w:rPr>
        <w:t>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15）利益分配：指产品管理人向投资者进行理财产品利益分配。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16）期间分配：指在理财产品终止日（不含当日）前的理财产品利益分配。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17）终止分配：指在理财产品终止日当日及之后的理财产品利益分配。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）认购：指投资者根据本协议约定在认购期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募集期内申请购买本产品理财产品份额的行为。</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w:t>
      </w:r>
      <w:r>
        <w:rPr>
          <w:rFonts w:asciiTheme="majorEastAsia" w:hAnsiTheme="majorEastAsia" w:eastAsiaTheme="majorEastAsia"/>
          <w:bCs/>
          <w:color w:val="auto"/>
          <w:sz w:val="18"/>
          <w:szCs w:val="18"/>
        </w:rPr>
        <w:t>0</w:t>
      </w:r>
      <w:r>
        <w:rPr>
          <w:rFonts w:hint="eastAsia" w:asciiTheme="majorEastAsia" w:hAnsiTheme="majorEastAsia" w:eastAsiaTheme="majorEastAsia"/>
          <w:bCs/>
          <w:color w:val="auto"/>
          <w:sz w:val="18"/>
          <w:szCs w:val="18"/>
        </w:rPr>
        <w:t>）产品存续期：指自理财产品成立日起，至理财产品终止日的期间。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11</w:t>
      </w:r>
      <w:r>
        <w:rPr>
          <w:rFonts w:hint="eastAsia" w:asciiTheme="majorEastAsia" w:hAnsiTheme="majorEastAsia" w:eastAsiaTheme="majorEastAsia"/>
          <w:bCs/>
          <w:color w:val="auto"/>
          <w:sz w:val="18"/>
          <w:szCs w:val="18"/>
        </w:rPr>
        <w:t>）清算期：指自本理财产品终止日至投资者理财利益到账日之间的期间。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88747121"/>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828"/>
        <w:gridCol w:w="78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兴银理财稳利丰收封闭式3004号固收类理财产品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816" w:type="dxa"/>
            <w:shd w:val="solid" w:color="FFFFFF" w:fill="FFFFFF"/>
          </w:tcPr>
          <w:p>
            <w:pPr>
              <w:widowControl/>
              <w:spacing w:line="360" w:lineRule="auto"/>
              <w:jc w:val="left"/>
              <w:rPr>
                <w:rFonts w:hint="eastAsia"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稳利丰收封闭式3004号A</w:t>
            </w:r>
            <w:r>
              <w:rPr>
                <w:rFonts w:asciiTheme="minorEastAsia" w:hAnsiTheme="minorEastAsia"/>
                <w:sz w:val="18"/>
                <w:szCs w:val="18"/>
              </w:rPr>
              <w:t>】</w:t>
            </w:r>
            <w:r>
              <w:rPr>
                <w:rFonts w:hint="eastAsia" w:asciiTheme="minorEastAsia" w:hAnsiTheme="minorEastAsia"/>
                <w:sz w:val="18"/>
                <w:szCs w:val="18"/>
              </w:rPr>
              <w:t>（适用【A】类份额）</w:t>
            </w:r>
          </w:p>
          <w:p>
            <w:pPr>
              <w:widowControl/>
              <w:spacing w:line="360" w:lineRule="auto"/>
              <w:jc w:val="left"/>
              <w:rPr>
                <w:rFonts w:hint="eastAsia"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稳利丰收封闭式3004号B</w:t>
            </w:r>
            <w:r>
              <w:rPr>
                <w:rFonts w:asciiTheme="minorEastAsia" w:hAnsiTheme="minorEastAsia"/>
                <w:sz w:val="18"/>
                <w:szCs w:val="18"/>
              </w:rPr>
              <w:t>】</w:t>
            </w:r>
            <w:r>
              <w:rPr>
                <w:rFonts w:hint="eastAsia" w:asciiTheme="minorEastAsia" w:hAnsiTheme="minorEastAsia"/>
                <w:sz w:val="18"/>
                <w:szCs w:val="18"/>
              </w:rPr>
              <w:t>（适用【</w:t>
            </w:r>
            <w:r>
              <w:rPr>
                <w:rFonts w:hint="eastAsia" w:asciiTheme="minorEastAsia" w:hAnsiTheme="minorEastAsia"/>
                <w:sz w:val="18"/>
                <w:szCs w:val="18"/>
                <w:lang w:val="en-US" w:eastAsia="zh-CN"/>
              </w:rPr>
              <w:t>B</w:t>
            </w:r>
            <w:r>
              <w:rPr>
                <w:rFonts w:hint="eastAsia" w:asciiTheme="minorEastAsia" w:hAnsiTheme="minorEastAsia"/>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816" w:type="dxa"/>
            <w:shd w:val="solid" w:color="FFFFFF" w:fill="FFFFFF"/>
          </w:tcPr>
          <w:p>
            <w:pPr>
              <w:spacing w:line="360" w:lineRule="auto"/>
              <w:jc w:val="left"/>
              <w:rPr>
                <w:rFonts w:asciiTheme="minorEastAsia" w:hAnsiTheme="minorEastAsia"/>
                <w:sz w:val="18"/>
                <w:szCs w:val="18"/>
              </w:rPr>
            </w:pPr>
            <w:r>
              <w:rPr>
                <w:rFonts w:hint="eastAsia" w:asciiTheme="minorEastAsia" w:hAnsiTheme="minorEastAsia"/>
                <w:sz w:val="18"/>
                <w:szCs w:val="18"/>
              </w:rPr>
              <w:t>【Z7002023000975】投资者可依据理财产品登记编码在中国理财网</w:t>
            </w:r>
            <w:r>
              <w:rPr>
                <w:rFonts w:asciiTheme="minorEastAsia" w:hAnsiTheme="minorEastAsia"/>
                <w:sz w:val="18"/>
                <w:szCs w:val="18"/>
              </w:rPr>
              <w:t>(</w:t>
            </w:r>
            <w:r>
              <w:fldChar w:fldCharType="begin"/>
            </w:r>
            <w:r>
              <w:instrText xml:space="preserve"> HYPERLINK "http://www.chinawealth.com.cn" </w:instrText>
            </w:r>
            <w:r>
              <w:fldChar w:fldCharType="separate"/>
            </w:r>
            <w:r>
              <w:rPr>
                <w:rFonts w:asciiTheme="minorEastAsia" w:hAnsiTheme="minorEastAsia"/>
                <w:sz w:val="18"/>
                <w:szCs w:val="18"/>
              </w:rPr>
              <w:t>www.chinawealth.com.cn</w:t>
            </w:r>
            <w:r>
              <w:rPr>
                <w:rFonts w:asciiTheme="minorEastAsia" w:hAnsiTheme="minorEastAsia"/>
                <w:sz w:val="18"/>
                <w:szCs w:val="18"/>
              </w:rPr>
              <w:fldChar w:fldCharType="end"/>
            </w:r>
            <w:r>
              <w:rPr>
                <w:rFonts w:asciiTheme="minorEastAsia" w:hAnsiTheme="minorEastAsia"/>
                <w:sz w:val="18"/>
                <w:szCs w:val="18"/>
              </w:rPr>
              <w:t>）</w:t>
            </w:r>
            <w:r>
              <w:rPr>
                <w:rFonts w:hint="eastAsia" w:asciiTheme="minorEastAsia" w:hAnsiTheme="min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816" w:type="dxa"/>
            <w:shd w:val="solid" w:color="FFFFFF" w:fill="FFFFFF"/>
            <w:vAlign w:val="center"/>
          </w:tcPr>
          <w:p>
            <w:pPr>
              <w:spacing w:line="360" w:lineRule="auto"/>
              <w:jc w:val="left"/>
              <w:rPr>
                <w:rFonts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9C333040】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 w:hRule="atLeast"/>
          <w:jc w:val="center"/>
        </w:trPr>
        <w:tc>
          <w:tcPr>
            <w:tcW w:w="1828"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816" w:type="dxa"/>
            <w:shd w:val="solid" w:color="FFFFFF" w:fill="FFFFFF"/>
            <w:vAlign w:val="center"/>
          </w:tcPr>
          <w:p>
            <w:pPr>
              <w:spacing w:line="360" w:lineRule="auto"/>
              <w:jc w:val="left"/>
              <w:rPr>
                <w:rFonts w:hint="eastAsia"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9C33304A</w:t>
            </w:r>
            <w:r>
              <w:rPr>
                <w:rFonts w:asciiTheme="minorEastAsia" w:hAnsiTheme="minorEastAsia"/>
                <w:sz w:val="18"/>
                <w:szCs w:val="18"/>
              </w:rPr>
              <w:t>】</w:t>
            </w:r>
            <w:r>
              <w:rPr>
                <w:rFonts w:hint="eastAsia" w:asciiTheme="minorEastAsia" w:hAnsiTheme="minorEastAsia"/>
                <w:sz w:val="18"/>
                <w:szCs w:val="18"/>
              </w:rPr>
              <w:t>（适用【A】类份额）</w:t>
            </w:r>
          </w:p>
          <w:p>
            <w:pPr>
              <w:spacing w:line="360" w:lineRule="auto"/>
              <w:jc w:val="left"/>
              <w:rPr>
                <w:rFonts w:hint="eastAsia" w:asciiTheme="minorEastAsia" w:hAnsiTheme="minorEastAsia"/>
                <w:sz w:val="18"/>
                <w:szCs w:val="18"/>
              </w:rPr>
            </w:pPr>
            <w:r>
              <w:rPr>
                <w:rFonts w:asciiTheme="minorEastAsia" w:hAnsiTheme="minorEastAsia"/>
                <w:sz w:val="18"/>
                <w:szCs w:val="18"/>
              </w:rPr>
              <w:t>【</w:t>
            </w:r>
            <w:r>
              <w:rPr>
                <w:rFonts w:hint="eastAsia" w:asciiTheme="minorEastAsia" w:hAnsiTheme="minorEastAsia"/>
                <w:sz w:val="18"/>
                <w:szCs w:val="18"/>
              </w:rPr>
              <w:t>9C33304B</w:t>
            </w:r>
            <w:r>
              <w:rPr>
                <w:rFonts w:asciiTheme="minorEastAsia" w:hAnsiTheme="minorEastAsia"/>
                <w:sz w:val="18"/>
                <w:szCs w:val="18"/>
              </w:rPr>
              <w:t>】</w:t>
            </w:r>
            <w:r>
              <w:rPr>
                <w:rFonts w:hint="eastAsia" w:asciiTheme="minorEastAsia" w:hAnsiTheme="minorEastAsia"/>
                <w:sz w:val="18"/>
                <w:szCs w:val="18"/>
              </w:rPr>
              <w:t>（适用【</w:t>
            </w:r>
            <w:r>
              <w:rPr>
                <w:rFonts w:hint="eastAsia" w:asciiTheme="minorEastAsia" w:hAnsiTheme="minorEastAsia"/>
                <w:sz w:val="18"/>
                <w:szCs w:val="18"/>
                <w:lang w:val="en-US" w:eastAsia="zh-CN"/>
              </w:rPr>
              <w:t>B</w:t>
            </w:r>
            <w:r>
              <w:rPr>
                <w:rFonts w:hint="eastAsia" w:asciiTheme="minorEastAsia" w:hAnsiTheme="minorEastAsia"/>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816"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.本产品设置不同的理财产品份额，每类理财产品份额以下内容将单独设置：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Cs/>
                <w:sz w:val="18"/>
                <w:szCs w:val="18"/>
              </w:rPr>
            </w:pPr>
            <w:r>
              <w:rPr>
                <w:rFonts w:hint="eastAsia" w:ascii="黑体" w:hAnsi="黑体" w:eastAsia="黑体"/>
                <w:bCs/>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816"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816"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Cs/>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816"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816"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Cs/>
                <w:sz w:val="18"/>
                <w:szCs w:val="18"/>
              </w:rPr>
            </w:pPr>
            <w:r>
              <w:rPr>
                <w:rFonts w:hint="eastAsia" w:ascii="黑体" w:hAnsi="黑体" w:eastAsia="黑体"/>
                <w:sz w:val="18"/>
                <w:szCs w:val="18"/>
              </w:rPr>
              <w:t>注</w:t>
            </w:r>
            <w:r>
              <w:rPr>
                <w:rFonts w:ascii="黑体" w:hAnsi="黑体" w:eastAsia="黑体"/>
                <w:sz w:val="18"/>
                <w:szCs w:val="18"/>
              </w:rPr>
              <w:t>：</w:t>
            </w:r>
            <w:r>
              <w:rPr>
                <w:rFonts w:hint="eastAsia" w:ascii="黑体" w:hAnsi="黑体" w:eastAsia="黑体"/>
                <w:sz w:val="18"/>
                <w:szCs w:val="18"/>
              </w:rPr>
              <w:t>若本</w:t>
            </w:r>
            <w:r>
              <w:rPr>
                <w:rFonts w:ascii="黑体" w:hAnsi="黑体" w:eastAsia="黑体"/>
                <w:sz w:val="18"/>
                <w:szCs w:val="18"/>
              </w:rPr>
              <w:t>产品通过代理销售机构销售的，</w:t>
            </w:r>
            <w:r>
              <w:rPr>
                <w:rFonts w:hint="eastAsia" w:ascii="黑体" w:hAnsi="黑体" w:eastAsia="黑体"/>
                <w:sz w:val="18"/>
                <w:szCs w:val="18"/>
              </w:rPr>
              <w:t>理财产品</w:t>
            </w:r>
            <w:r>
              <w:rPr>
                <w:rFonts w:ascii="黑体" w:hAnsi="黑体" w:eastAsia="黑体"/>
                <w:sz w:val="18"/>
                <w:szCs w:val="18"/>
              </w:rPr>
              <w:t>评级</w:t>
            </w:r>
            <w:r>
              <w:rPr>
                <w:rFonts w:hint="eastAsia" w:ascii="黑体" w:hAnsi="黑体" w:eastAsia="黑体"/>
                <w:sz w:val="18"/>
                <w:szCs w:val="18"/>
              </w:rPr>
              <w:t>以</w:t>
            </w:r>
            <w:r>
              <w:rPr>
                <w:rFonts w:ascii="黑体" w:hAnsi="黑体" w:eastAsia="黑体"/>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816"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黑体" w:hAnsi="黑体" w:eastAsia="黑体"/>
                <w:bCs/>
                <w:sz w:val="18"/>
                <w:szCs w:val="18"/>
              </w:rPr>
              <w:t>特别提示：当销售机构销售产品风险评级为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w:t>
            </w:r>
            <w:r>
              <w:rPr>
                <w:rFonts w:asciiTheme="majorEastAsia" w:hAnsiTheme="majorEastAsia" w:eastAsiaTheme="majorEastAsia"/>
                <w:bCs/>
                <w:sz w:val="18"/>
                <w:szCs w:val="18"/>
              </w:rPr>
              <w:t>0</w:t>
            </w:r>
            <w:r>
              <w:rPr>
                <w:rFonts w:hint="eastAsia" w:asciiTheme="majorEastAsia" w:hAnsiTheme="majorEastAsia" w:eastAsiaTheme="majorEastAsia"/>
                <w:bCs/>
                <w:sz w:val="18"/>
                <w:szCs w:val="18"/>
              </w:rPr>
              <w:t>】亿元。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cs="仿宋_GB2312" w:asciiTheme="majorEastAsia" w:hAnsiTheme="majorEastAsia" w:eastAsiaTheme="majorEastAsia"/>
                <w:kern w:val="0"/>
                <w:sz w:val="18"/>
                <w:szCs w:val="18"/>
              </w:rPr>
              <w:t>【</w:t>
            </w:r>
            <w:r>
              <w:rPr>
                <w:rFonts w:cs="仿宋_GB2312" w:asciiTheme="majorEastAsia" w:hAnsiTheme="majorEastAsia" w:eastAsiaTheme="majorEastAsia"/>
                <w:kern w:val="0"/>
                <w:sz w:val="18"/>
                <w:szCs w:val="18"/>
              </w:rPr>
              <w:t>3</w:t>
            </w:r>
            <w:r>
              <w:rPr>
                <w:rFonts w:hint="eastAsia" w:cs="仿宋_GB2312" w:asciiTheme="majorEastAsia" w:hAnsiTheme="majorEastAsia" w:eastAsiaTheme="majorEastAsia"/>
                <w:kern w:val="0"/>
                <w:sz w:val="18"/>
                <w:szCs w:val="18"/>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 xml:space="preserve"> 本产品认购期/募集期为</w:t>
            </w:r>
            <w:r>
              <w:rPr>
                <w:rFonts w:hint="eastAsia" w:asciiTheme="minorEastAsia" w:hAnsiTheme="minorEastAsia"/>
                <w:bCs/>
                <w:sz w:val="18"/>
                <w:szCs w:val="18"/>
              </w:rPr>
              <w:t>：</w:t>
            </w:r>
            <w:r>
              <w:rPr>
                <w:rFonts w:hint="eastAsia" w:asciiTheme="minorEastAsia" w:hAnsiTheme="minorEastAsia"/>
                <w:bCs/>
                <w:sz w:val="18"/>
                <w:szCs w:val="18"/>
                <w:highlight w:val="none"/>
              </w:rPr>
              <w:t>【202</w:t>
            </w:r>
            <w:r>
              <w:rPr>
                <w:rFonts w:asciiTheme="minorEastAsia" w:hAnsiTheme="minorEastAsia"/>
                <w:bCs/>
                <w:sz w:val="18"/>
                <w:szCs w:val="18"/>
                <w:highlight w:val="none"/>
              </w:rPr>
              <w:t>3</w:t>
            </w:r>
            <w:r>
              <w:rPr>
                <w:rFonts w:hint="eastAsia" w:asciiTheme="minorEastAsia" w:hAnsiTheme="minorEastAsia"/>
                <w:bCs/>
                <w:sz w:val="18"/>
                <w:szCs w:val="18"/>
                <w:highlight w:val="none"/>
              </w:rPr>
              <w:t>】年【</w:t>
            </w:r>
            <w:r>
              <w:rPr>
                <w:rFonts w:asciiTheme="minorEastAsia" w:hAnsiTheme="minorEastAsia"/>
                <w:bCs/>
                <w:sz w:val="18"/>
                <w:szCs w:val="18"/>
                <w:highlight w:val="none"/>
              </w:rPr>
              <w:t>9</w:t>
            </w:r>
            <w:r>
              <w:rPr>
                <w:rFonts w:hint="eastAsia" w:asciiTheme="minorEastAsia" w:hAnsiTheme="minorEastAsia"/>
                <w:bCs/>
                <w:sz w:val="18"/>
                <w:szCs w:val="18"/>
                <w:highlight w:val="none"/>
              </w:rPr>
              <w:t>】月【</w:t>
            </w:r>
            <w:r>
              <w:rPr>
                <w:rFonts w:hint="eastAsia" w:asciiTheme="minorEastAsia" w:hAnsiTheme="minorEastAsia"/>
                <w:bCs/>
                <w:sz w:val="18"/>
                <w:szCs w:val="18"/>
                <w:highlight w:val="none"/>
                <w:lang w:val="en-US" w:eastAsia="zh-CN"/>
              </w:rPr>
              <w:t>27</w:t>
            </w:r>
            <w:r>
              <w:rPr>
                <w:rFonts w:hint="eastAsia" w:asciiTheme="minorEastAsia" w:hAnsiTheme="minorEastAsia"/>
                <w:bCs/>
                <w:sz w:val="18"/>
                <w:szCs w:val="18"/>
                <w:highlight w:val="none"/>
              </w:rPr>
              <w:t>】日</w:t>
            </w:r>
            <w:r>
              <w:rPr>
                <w:rFonts w:asciiTheme="minorEastAsia" w:hAnsiTheme="minorEastAsia"/>
                <w:bCs/>
                <w:sz w:val="18"/>
                <w:szCs w:val="18"/>
                <w:highlight w:val="none"/>
              </w:rPr>
              <w:t>9</w:t>
            </w:r>
            <w:r>
              <w:rPr>
                <w:rFonts w:hint="eastAsia" w:asciiTheme="minorEastAsia" w:hAnsiTheme="minorEastAsia"/>
                <w:bCs/>
                <w:sz w:val="18"/>
                <w:szCs w:val="18"/>
                <w:highlight w:val="none"/>
              </w:rPr>
              <w:t>:00至【202</w:t>
            </w:r>
            <w:r>
              <w:rPr>
                <w:rFonts w:asciiTheme="minorEastAsia" w:hAnsiTheme="minorEastAsia"/>
                <w:bCs/>
                <w:sz w:val="18"/>
                <w:szCs w:val="18"/>
                <w:highlight w:val="none"/>
              </w:rPr>
              <w:t>3</w:t>
            </w:r>
            <w:r>
              <w:rPr>
                <w:rFonts w:hint="eastAsia" w:asciiTheme="minorEastAsia" w:hAnsiTheme="minorEastAsia"/>
                <w:bCs/>
                <w:sz w:val="18"/>
                <w:szCs w:val="18"/>
                <w:highlight w:val="none"/>
              </w:rPr>
              <w:t>】年【</w:t>
            </w:r>
            <w:r>
              <w:rPr>
                <w:rFonts w:hint="eastAsia" w:asciiTheme="minorEastAsia" w:hAnsiTheme="minorEastAsia"/>
                <w:bCs/>
                <w:sz w:val="18"/>
                <w:szCs w:val="18"/>
                <w:highlight w:val="none"/>
                <w:lang w:val="en-US" w:eastAsia="zh-CN"/>
              </w:rPr>
              <w:t>10</w:t>
            </w:r>
            <w:r>
              <w:rPr>
                <w:rFonts w:hint="eastAsia" w:asciiTheme="minorEastAsia" w:hAnsiTheme="minorEastAsia"/>
                <w:bCs/>
                <w:sz w:val="18"/>
                <w:szCs w:val="18"/>
                <w:highlight w:val="none"/>
              </w:rPr>
              <w:t>】月【</w:t>
            </w:r>
            <w:r>
              <w:rPr>
                <w:rFonts w:hint="eastAsia" w:asciiTheme="minorEastAsia" w:hAnsiTheme="minorEastAsia"/>
                <w:bCs/>
                <w:sz w:val="18"/>
                <w:szCs w:val="18"/>
                <w:highlight w:val="none"/>
                <w:lang w:val="en-US" w:eastAsia="zh-CN"/>
              </w:rPr>
              <w:t>11</w:t>
            </w:r>
            <w:r>
              <w:rPr>
                <w:rFonts w:hint="eastAsia" w:asciiTheme="minorEastAsia" w:hAnsiTheme="minorEastAsia"/>
                <w:bCs/>
                <w:sz w:val="18"/>
                <w:szCs w:val="18"/>
                <w:highlight w:val="none"/>
              </w:rPr>
              <w:t>】日17:00。</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.认购期</w:t>
            </w:r>
            <w:r>
              <w:rPr>
                <w:rFonts w:asciiTheme="minorEastAsia" w:hAnsiTheme="minorEastAsia"/>
                <w:bCs/>
                <w:sz w:val="18"/>
                <w:szCs w:val="18"/>
              </w:rPr>
              <w:t>/</w:t>
            </w:r>
            <w:r>
              <w:rPr>
                <w:rFonts w:hint="eastAsia" w:ascii="宋体" w:hAnsi="宋体"/>
                <w:bCs/>
                <w:sz w:val="18"/>
                <w:szCs w:val="18"/>
              </w:rPr>
              <w:t>募集期内资金按照活期存款利息计息，认购期/募集期内的利息不计入认购资金</w:t>
            </w:r>
            <w:r>
              <w:rPr>
                <w:rFonts w:hint="eastAsia" w:ascii="宋体" w:hAnsi="宋体"/>
                <w:sz w:val="18"/>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②代理销售机构的实际工作服务时段，最早不得早于销售文件约定</w:t>
            </w:r>
            <w:r>
              <w:rPr>
                <w:rFonts w:ascii="黑体" w:hAnsi="黑体" w:eastAsia="黑体"/>
                <w:bCs/>
                <w:color w:val="000000" w:themeColor="text1"/>
                <w:sz w:val="18"/>
                <w:szCs w:val="18"/>
                <w14:textFill>
                  <w14:solidFill>
                    <w14:schemeClr w14:val="tx1"/>
                  </w14:solidFill>
                </w14:textFill>
              </w:rPr>
              <w:t>的</w:t>
            </w:r>
            <w:r>
              <w:rPr>
                <w:rFonts w:hint="eastAsia" w:ascii="黑体" w:hAnsi="黑体" w:eastAsia="黑体"/>
                <w:bCs/>
                <w:color w:val="000000" w:themeColor="text1"/>
                <w:sz w:val="18"/>
                <w:szCs w:val="18"/>
                <w14:textFill>
                  <w14:solidFill>
                    <w14:schemeClr w14:val="tx1"/>
                  </w14:solidFill>
                </w14:textFill>
              </w:rPr>
              <w:t>起始时点、最晚不得晚于销售文件</w:t>
            </w:r>
            <w:r>
              <w:rPr>
                <w:rFonts w:ascii="黑体" w:hAnsi="黑体" w:eastAsia="黑体"/>
                <w:bCs/>
                <w:color w:val="000000" w:themeColor="text1"/>
                <w:sz w:val="18"/>
                <w:szCs w:val="18"/>
                <w14:textFill>
                  <w14:solidFill>
                    <w14:schemeClr w14:val="tx1"/>
                  </w14:solidFill>
                </w14:textFill>
              </w:rPr>
              <w:t>约定的</w:t>
            </w:r>
            <w:r>
              <w:rPr>
                <w:rFonts w:hint="eastAsia" w:ascii="黑体" w:hAnsi="黑体" w:eastAsia="黑体"/>
                <w:bCs/>
                <w:color w:val="000000" w:themeColor="text1"/>
                <w:sz w:val="18"/>
                <w:szCs w:val="18"/>
                <w14:textFill>
                  <w14:solidFill>
                    <w14:schemeClr w14:val="tx1"/>
                  </w14:solidFill>
                </w14:textFill>
              </w:rPr>
              <w:t>终止时点</w:t>
            </w:r>
            <w:r>
              <w:rPr>
                <w:rFonts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816"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highlight w:val="none"/>
              </w:rPr>
              <w:t>【2</w:t>
            </w:r>
            <w:r>
              <w:rPr>
                <w:rFonts w:cs="Times New Roman" w:asciiTheme="minorEastAsia" w:hAnsiTheme="minorEastAsia"/>
                <w:sz w:val="18"/>
                <w:szCs w:val="18"/>
                <w:highlight w:val="none"/>
              </w:rPr>
              <w:t>023】年【</w:t>
            </w:r>
            <w:r>
              <w:rPr>
                <w:rFonts w:hint="eastAsia" w:cs="Times New Roman" w:asciiTheme="minorEastAsia" w:hAnsiTheme="minorEastAsia"/>
                <w:sz w:val="18"/>
                <w:szCs w:val="18"/>
                <w:highlight w:val="none"/>
                <w:lang w:val="en-US" w:eastAsia="zh-CN"/>
              </w:rPr>
              <w:t>10</w:t>
            </w:r>
            <w:r>
              <w:rPr>
                <w:rFonts w:hint="eastAsia" w:cs="Times New Roman" w:asciiTheme="minorEastAsia" w:hAnsiTheme="minorEastAsia"/>
                <w:sz w:val="18"/>
                <w:szCs w:val="18"/>
                <w:highlight w:val="none"/>
              </w:rPr>
              <w:t>】月【</w:t>
            </w:r>
            <w:r>
              <w:rPr>
                <w:rFonts w:hint="eastAsia" w:cs="Times New Roman" w:asciiTheme="minorEastAsia" w:hAnsiTheme="minorEastAsia"/>
                <w:sz w:val="18"/>
                <w:szCs w:val="18"/>
                <w:highlight w:val="none"/>
                <w:lang w:val="en-US" w:eastAsia="zh-CN"/>
              </w:rPr>
              <w:t>12</w:t>
            </w:r>
            <w:r>
              <w:rPr>
                <w:rFonts w:hint="eastAsia" w:cs="Times New Roman" w:asciiTheme="minorEastAsia" w:hAnsiTheme="minorEastAsia"/>
                <w:sz w:val="18"/>
                <w:szCs w:val="18"/>
                <w:highlight w:val="none"/>
              </w:rPr>
              <w:t>】日（遇节假日顺延）</w:t>
            </w:r>
            <w:r>
              <w:rPr>
                <w:rFonts w:hint="eastAsia" w:asciiTheme="minorEastAsia" w:hAnsiTheme="minorEastAsia"/>
                <w:bCs/>
                <w:sz w:val="18"/>
                <w:szCs w:val="18"/>
                <w:highlight w:val="none"/>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816"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highlight w:val="none"/>
              </w:rPr>
              <w:t>【2</w:t>
            </w:r>
            <w:r>
              <w:rPr>
                <w:rFonts w:cs="Times New Roman" w:asciiTheme="minorEastAsia" w:hAnsiTheme="minorEastAsia"/>
                <w:sz w:val="18"/>
                <w:szCs w:val="18"/>
                <w:highlight w:val="none"/>
              </w:rPr>
              <w:t>02</w:t>
            </w:r>
            <w:r>
              <w:rPr>
                <w:rFonts w:hint="eastAsia" w:cs="Times New Roman" w:asciiTheme="minorEastAsia" w:hAnsiTheme="minorEastAsia"/>
                <w:sz w:val="18"/>
                <w:szCs w:val="18"/>
                <w:highlight w:val="none"/>
                <w:lang w:val="en-US" w:eastAsia="zh-CN"/>
              </w:rPr>
              <w:t>4</w:t>
            </w:r>
            <w:r>
              <w:rPr>
                <w:rFonts w:cs="Times New Roman" w:asciiTheme="minorEastAsia" w:hAnsiTheme="minorEastAsia"/>
                <w:sz w:val="18"/>
                <w:szCs w:val="18"/>
                <w:highlight w:val="none"/>
              </w:rPr>
              <w:t>】年【1</w:t>
            </w:r>
            <w:r>
              <w:rPr>
                <w:rFonts w:hint="eastAsia" w:cs="Times New Roman" w:asciiTheme="minorEastAsia" w:hAnsiTheme="minorEastAsia"/>
                <w:sz w:val="18"/>
                <w:szCs w:val="18"/>
                <w:highlight w:val="none"/>
              </w:rPr>
              <w:t>】月【</w:t>
            </w:r>
            <w:r>
              <w:rPr>
                <w:rFonts w:hint="eastAsia" w:cs="Times New Roman" w:asciiTheme="minorEastAsia" w:hAnsiTheme="minorEastAsia"/>
                <w:sz w:val="18"/>
                <w:szCs w:val="18"/>
                <w:highlight w:val="none"/>
                <w:lang w:val="en-US" w:eastAsia="zh-CN"/>
              </w:rPr>
              <w:t>18</w:t>
            </w:r>
            <w:bookmarkStart w:id="156" w:name="_GoBack"/>
            <w:bookmarkEnd w:id="156"/>
            <w:r>
              <w:rPr>
                <w:rFonts w:hint="eastAsia" w:cs="Times New Roman" w:asciiTheme="minorEastAsia" w:hAnsiTheme="minorEastAsia"/>
                <w:sz w:val="18"/>
                <w:szCs w:val="18"/>
                <w:highlight w:val="none"/>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816" w:type="dxa"/>
            <w:shd w:val="solid" w:color="FFFFFF" w:fill="FFFFFF"/>
            <w:vAlign w:val="center"/>
          </w:tcPr>
          <w:p>
            <w:pPr>
              <w:spacing w:line="360" w:lineRule="auto"/>
              <w:rPr>
                <w:rFonts w:asciiTheme="majorEastAsia" w:hAnsiTheme="majorEastAsia" w:eastAsiaTheme="majorEastAsia"/>
                <w:bCs/>
                <w:sz w:val="18"/>
                <w:szCs w:val="18"/>
                <w:highlight w:val="none"/>
              </w:rPr>
            </w:pPr>
            <w:r>
              <w:rPr>
                <w:rFonts w:hint="eastAsia" w:asciiTheme="majorEastAsia" w:hAnsiTheme="majorEastAsia" w:eastAsiaTheme="majorEastAsia"/>
                <w:sz w:val="18"/>
                <w:szCs w:val="18"/>
                <w:highlight w:val="none"/>
              </w:rPr>
              <w:t>每笔</w:t>
            </w:r>
            <w:r>
              <w:rPr>
                <w:rFonts w:hint="eastAsia" w:asciiTheme="majorEastAsia" w:hAnsiTheme="majorEastAsia" w:eastAsiaTheme="majorEastAsia"/>
                <w:bCs/>
                <w:sz w:val="18"/>
                <w:szCs w:val="18"/>
                <w:highlight w:val="none"/>
              </w:rPr>
              <w:t>购买起点金额为【1】元；超出起点金额的部分以【0</w:t>
            </w:r>
            <w:r>
              <w:rPr>
                <w:rFonts w:asciiTheme="majorEastAsia" w:hAnsiTheme="majorEastAsia" w:eastAsiaTheme="majorEastAsia"/>
                <w:bCs/>
                <w:sz w:val="18"/>
                <w:szCs w:val="18"/>
                <w:highlight w:val="none"/>
              </w:rPr>
              <w:t>.01</w:t>
            </w:r>
            <w:r>
              <w:rPr>
                <w:rFonts w:hint="eastAsia" w:asciiTheme="majorEastAsia" w:hAnsiTheme="majorEastAsia" w:eastAsiaTheme="majorEastAsia"/>
                <w:bCs/>
                <w:sz w:val="18"/>
                <w:szCs w:val="18"/>
                <w:highlight w:val="none"/>
              </w:rPr>
              <w:t>】元的整数倍递增。</w:t>
            </w:r>
            <w:r>
              <w:rPr>
                <w:rFonts w:hint="eastAsia" w:asciiTheme="majorEastAsia" w:hAnsiTheme="majorEastAsia" w:eastAsiaTheme="majorEastAsia"/>
                <w:bCs/>
                <w:color w:val="000000" w:themeColor="text1"/>
                <w:sz w:val="18"/>
                <w:szCs w:val="18"/>
                <w:highlight w:val="none"/>
                <w14:textFill>
                  <w14:solidFill>
                    <w14:schemeClr w14:val="tx1"/>
                  </w14:solidFill>
                </w14:textFill>
              </w:rPr>
              <w:t>（适用【</w:t>
            </w:r>
            <w:r>
              <w:rPr>
                <w:rFonts w:hint="eastAsia" w:asciiTheme="majorEastAsia" w:hAnsiTheme="majorEastAsia" w:eastAsiaTheme="majorEastAsia"/>
                <w:bCs/>
                <w:color w:val="000000" w:themeColor="text1"/>
                <w:sz w:val="18"/>
                <w:szCs w:val="18"/>
                <w:highlight w:val="none"/>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highlight w:val="none"/>
                <w14:textFill>
                  <w14:solidFill>
                    <w14:schemeClr w14:val="tx1"/>
                  </w14:solidFill>
                </w14:textFill>
              </w:rPr>
              <w:t>】类份额）</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关于代理销售机构的实际销售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的提示</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bCs/>
                <w:color w:val="000000" w:themeColor="text1"/>
                <w:sz w:val="18"/>
                <w:szCs w:val="18"/>
                <w14:textFill>
                  <w14:solidFill>
                    <w14:schemeClr w14:val="tx1"/>
                  </w14:solidFill>
                </w14:textFill>
              </w:rPr>
              <w:t>以</w:t>
            </w:r>
            <w:r>
              <w:rPr>
                <w:rFonts w:hint="eastAsia" w:ascii="黑体" w:hAnsi="黑体" w:eastAsia="黑体"/>
                <w:bCs/>
                <w:color w:val="000000" w:themeColor="text1"/>
                <w:sz w:val="18"/>
                <w:szCs w:val="18"/>
                <w14:textFill>
                  <w14:solidFill>
                    <w14:schemeClr w14:val="tx1"/>
                  </w14:solidFill>
                </w14:textFill>
              </w:rPr>
              <w:t>代理销售机构展示</w:t>
            </w:r>
            <w:r>
              <w:rPr>
                <w:rFonts w:ascii="黑体" w:hAnsi="黑体" w:eastAsia="黑体"/>
                <w:bCs/>
                <w:color w:val="000000" w:themeColor="text1"/>
                <w:sz w:val="18"/>
                <w:szCs w:val="18"/>
                <w14:textFill>
                  <w14:solidFill>
                    <w14:schemeClr w14:val="tx1"/>
                  </w14:solidFill>
                </w14:textFill>
              </w:rPr>
              <w:t>为准</w:t>
            </w:r>
            <w:r>
              <w:rPr>
                <w:rFonts w:hint="eastAsia" w:ascii="黑体" w:hAnsi="黑体" w:eastAsia="黑体"/>
                <w:bCs/>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bCs/>
                <w:color w:val="000000" w:themeColor="text1"/>
                <w:sz w:val="18"/>
                <w:szCs w:val="18"/>
                <w14:textFill>
                  <w14:solidFill>
                    <w14:schemeClr w14:val="tx1"/>
                  </w14:solidFill>
                </w14:textFill>
              </w:rPr>
              <w:t>②代理销售机构的实际销售起点金额，</w:t>
            </w:r>
            <w:r>
              <w:rPr>
                <w:rFonts w:ascii="黑体" w:hAnsi="黑体" w:eastAsia="黑体"/>
                <w:bCs/>
                <w:color w:val="000000" w:themeColor="text1"/>
                <w:sz w:val="18"/>
                <w:szCs w:val="18"/>
                <w14:textFill>
                  <w14:solidFill>
                    <w14:schemeClr w14:val="tx1"/>
                  </w14:solidFill>
                </w14:textFill>
              </w:rPr>
              <w:t>不得低于</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文件约定的</w:t>
            </w:r>
            <w:r>
              <w:rPr>
                <w:rFonts w:hint="eastAsia" w:ascii="黑体" w:hAnsi="黑体" w:eastAsia="黑体"/>
                <w:bCs/>
                <w:color w:val="000000" w:themeColor="text1"/>
                <w:sz w:val="18"/>
                <w:szCs w:val="18"/>
                <w14:textFill>
                  <w14:solidFill>
                    <w14:schemeClr w14:val="tx1"/>
                  </w14:solidFill>
                </w14:textFill>
              </w:rPr>
              <w:t>销售</w:t>
            </w:r>
            <w:r>
              <w:rPr>
                <w:rFonts w:ascii="黑体" w:hAnsi="黑体" w:eastAsia="黑体"/>
                <w:bCs/>
                <w:color w:val="000000" w:themeColor="text1"/>
                <w:sz w:val="18"/>
                <w:szCs w:val="18"/>
                <w14:textFill>
                  <w14:solidFill>
                    <w14:schemeClr w14:val="tx1"/>
                  </w14:solidFill>
                </w14:textFill>
              </w:rPr>
              <w:t>起点金额</w:t>
            </w:r>
            <w:r>
              <w:rPr>
                <w:rFonts w:hint="eastAsia" w:ascii="黑体" w:hAnsi="黑体" w:eastAsia="黑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816"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】类份额）</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产品</w:t>
            </w:r>
            <w:r>
              <w:rPr>
                <w:rFonts w:asciiTheme="minorEastAsia" w:hAnsiTheme="minorEastAsia" w:eastAsiaTheme="minorEastAsia"/>
                <w:sz w:val="18"/>
                <w:szCs w:val="18"/>
              </w:rPr>
              <w:t>存续期间，</w:t>
            </w:r>
            <w:r>
              <w:rPr>
                <w:rFonts w:hint="eastAsia" w:asciiTheme="minorEastAsia" w:hAnsiTheme="minorEastAsia" w:eastAsiaTheme="minorEastAsia"/>
                <w:sz w:val="18"/>
                <w:szCs w:val="18"/>
              </w:rPr>
              <w:t>投资者</w:t>
            </w:r>
            <w:r>
              <w:rPr>
                <w:rFonts w:asciiTheme="minorEastAsia" w:hAnsiTheme="minorEastAsia" w:eastAsiaTheme="minorEastAsia"/>
                <w:sz w:val="18"/>
                <w:szCs w:val="18"/>
              </w:rPr>
              <w:t>最高</w:t>
            </w:r>
            <w:r>
              <w:rPr>
                <w:rFonts w:hint="eastAsia" w:asciiTheme="minorEastAsia" w:hAnsiTheme="minorEastAsia" w:eastAsiaTheme="minorEastAsia"/>
                <w:sz w:val="18"/>
                <w:szCs w:val="18"/>
              </w:rPr>
              <w:t>持有</w:t>
            </w:r>
            <w:r>
              <w:rPr>
                <w:rFonts w:asciiTheme="minorEastAsia" w:hAnsiTheme="minorEastAsia" w:eastAsiaTheme="minorEastAsia"/>
                <w:sz w:val="18"/>
                <w:szCs w:val="18"/>
              </w:rPr>
              <w:t>份额上限为</w:t>
            </w:r>
            <w:r>
              <w:rPr>
                <w:rFonts w:hint="eastAsia" w:asciiTheme="minorEastAsia" w:hAnsiTheme="minorEastAsia" w:eastAsiaTheme="minorEastAsia"/>
                <w:sz w:val="18"/>
                <w:szCs w:val="18"/>
              </w:rPr>
              <w:t>【/】份，符合产品管理人流动性管理的稳定资金除外。如需突破最高持有上限，请与产品管理人或销售机构客户经理联系。</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hAnsi="宋体"/>
                <w:sz w:val="18"/>
                <w:szCs w:val="18"/>
              </w:rPr>
              <w:t>★</w:t>
            </w:r>
            <w:r>
              <w:rPr>
                <w:rFonts w:hint="eastAsia" w:ascii="黑体" w:hAnsi="黑体" w:eastAsia="黑体"/>
                <w:bCs/>
                <w:color w:val="000000" w:themeColor="text1"/>
                <w:sz w:val="18"/>
                <w:szCs w:val="18"/>
                <w14:textFill>
                  <w14:solidFill>
                    <w14:schemeClr w14:val="tx1"/>
                  </w14:solidFill>
                </w14:textFill>
              </w:rPr>
              <w:t>注</w:t>
            </w:r>
            <w:r>
              <w:rPr>
                <w:rFonts w:ascii="黑体" w:hAnsi="黑体" w:eastAsia="黑体"/>
                <w:bCs/>
                <w:color w:val="000000" w:themeColor="text1"/>
                <w:sz w:val="18"/>
                <w:szCs w:val="18"/>
                <w14:textFill>
                  <w14:solidFill>
                    <w14:schemeClr w14:val="tx1"/>
                  </w14:solidFill>
                </w14:textFill>
              </w:rPr>
              <w:t>：</w:t>
            </w:r>
            <w:r>
              <w:rPr>
                <w:rFonts w:hint="eastAsia" w:ascii="黑体" w:hAnsi="黑体" w:eastAsia="黑体"/>
                <w:bCs/>
                <w:color w:val="000000" w:themeColor="text1"/>
                <w:sz w:val="18"/>
                <w:szCs w:val="18"/>
                <w14:textFill>
                  <w14:solidFill>
                    <w14:schemeClr w14:val="tx1"/>
                  </w14:solidFill>
                </w14:textFill>
              </w:rPr>
              <w:t>本产品单一投资者持有份额不得超过产品总份额50%。</w:t>
            </w:r>
          </w:p>
          <w:p>
            <w:pPr>
              <w:pStyle w:val="34"/>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bCs/>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816"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816"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w:t>
            </w:r>
            <w:r>
              <w:rPr>
                <w:rFonts w:hint="eastAsia" w:asciiTheme="majorEastAsia" w:hAnsiTheme="majorEastAsia" w:eastAsiaTheme="majorEastAsia"/>
                <w:bCs/>
                <w:sz w:val="18"/>
                <w:szCs w:val="18"/>
              </w:rPr>
              <w:t>各</w:t>
            </w:r>
            <w:r>
              <w:rPr>
                <w:rFonts w:asciiTheme="majorEastAsia" w:hAnsiTheme="majorEastAsia" w:eastAsiaTheme="majorEastAsia"/>
                <w:bCs/>
                <w:sz w:val="18"/>
                <w:szCs w:val="18"/>
              </w:rPr>
              <w:t>估值日公布的产品份额净值已扣除交易手续费、销售服务费、产品托管费、投资管理费。</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816" w:type="dxa"/>
            <w:shd w:val="solid" w:color="FFFFFF" w:fill="FFFFFF"/>
            <w:vAlign w:val="center"/>
          </w:tcPr>
          <w:p>
            <w:pPr>
              <w:autoSpaceDE w:val="0"/>
              <w:autoSpaceDN w:val="0"/>
              <w:adjustRightInd w:val="0"/>
              <w:spacing w:line="360" w:lineRule="auto"/>
              <w:jc w:val="left"/>
              <w:rPr>
                <w:rFonts w:asciiTheme="majorEastAsia" w:hAnsiTheme="majorEastAsia" w:eastAsiaTheme="majorEastAsia"/>
                <w:b/>
                <w:bCs/>
                <w:sz w:val="18"/>
                <w:szCs w:val="18"/>
              </w:rPr>
            </w:pPr>
            <w:r>
              <w:rPr>
                <w:rFonts w:hint="eastAsia" w:ascii="宋体" w:hAnsi="宋体"/>
                <w:b/>
                <w:bCs/>
                <w:sz w:val="18"/>
                <w:szCs w:val="18"/>
              </w:rPr>
              <w:t>1.业绩</w:t>
            </w:r>
            <w:r>
              <w:rPr>
                <w:rFonts w:ascii="宋体" w:hAnsi="宋体"/>
                <w:b/>
                <w:bCs/>
                <w:sz w:val="18"/>
                <w:szCs w:val="18"/>
              </w:rPr>
              <w:t>比较基准的说明：</w:t>
            </w:r>
            <w:r>
              <w:rPr>
                <w:rFonts w:hint="eastAsia" w:ascii="宋体" w:hAnsi="宋体"/>
                <w:b/>
                <w:bCs/>
                <w:sz w:val="18"/>
                <w:szCs w:val="18"/>
              </w:rPr>
              <w:t>【</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hint="eastAsia" w:asciiTheme="majorEastAsia" w:hAnsiTheme="majorEastAsia" w:eastAsiaTheme="majorEastAsia"/>
                <w:b/>
                <w:bCs/>
                <w:sz w:val="18"/>
                <w:szCs w:val="18"/>
              </w:rPr>
              <w:t>。</w:t>
            </w:r>
          </w:p>
          <w:p>
            <w:pPr>
              <w:spacing w:line="360" w:lineRule="auto"/>
              <w:jc w:val="left"/>
              <w:rPr>
                <w:rFonts w:asciiTheme="majorEastAsia" w:hAnsiTheme="majorEastAsia"/>
                <w:b/>
                <w:sz w:val="18"/>
              </w:rPr>
            </w:pPr>
            <w:r>
              <w:rPr>
                <w:rFonts w:asciiTheme="majorEastAsia" w:hAnsiTheme="majorEastAsia" w:eastAsiaTheme="majorEastAsia"/>
                <w:b/>
                <w:bCs/>
                <w:sz w:val="18"/>
                <w:szCs w:val="18"/>
              </w:rPr>
              <w:t>2.</w:t>
            </w:r>
            <w:r>
              <w:rPr>
                <w:rFonts w:hint="eastAsia" w:asciiTheme="majorEastAsia" w:hAnsiTheme="majorEastAsia" w:eastAsiaTheme="majorEastAsia"/>
                <w:b/>
                <w:bCs/>
                <w:sz w:val="18"/>
                <w:szCs w:val="18"/>
              </w:rPr>
              <w:t>业绩</w:t>
            </w:r>
            <w:r>
              <w:rPr>
                <w:rFonts w:asciiTheme="majorEastAsia" w:hAnsiTheme="majorEastAsia" w:eastAsiaTheme="majorEastAsia"/>
                <w:b/>
                <w:bCs/>
                <w:sz w:val="18"/>
                <w:szCs w:val="18"/>
              </w:rPr>
              <w:t>比较基准的设定：</w:t>
            </w:r>
            <w:r>
              <w:rPr>
                <w:rFonts w:hint="eastAsia" w:asciiTheme="majorEastAsia" w:hAnsiTheme="majorEastAsia"/>
                <w:b/>
                <w:sz w:val="18"/>
              </w:rPr>
              <w:t>管理人对</w:t>
            </w:r>
            <w:r>
              <w:rPr>
                <w:rFonts w:asciiTheme="majorEastAsia" w:hAnsiTheme="majorEastAsia"/>
                <w:b/>
                <w:sz w:val="18"/>
              </w:rPr>
              <w:t>本产品设定</w:t>
            </w:r>
            <w:r>
              <w:rPr>
                <w:rFonts w:hint="eastAsia" w:asciiTheme="majorEastAsia" w:hAnsiTheme="majorEastAsia"/>
                <w:b/>
                <w:sz w:val="18"/>
              </w:rPr>
              <w:t>业绩比较基准：</w:t>
            </w:r>
          </w:p>
          <w:p>
            <w:pPr>
              <w:spacing w:line="360" w:lineRule="auto"/>
              <w:jc w:val="left"/>
              <w:rPr>
                <w:rFonts w:hint="eastAsia" w:ascii="宋体" w:hAnsi="宋体"/>
                <w:bCs/>
                <w:sz w:val="18"/>
                <w:szCs w:val="18"/>
              </w:rPr>
            </w:pPr>
            <w:r>
              <w:rPr>
                <w:rFonts w:hint="eastAsia" w:ascii="宋体" w:hAnsi="宋体"/>
                <w:bCs/>
                <w:sz w:val="18"/>
                <w:szCs w:val="18"/>
              </w:rPr>
              <w:t>年化</w:t>
            </w:r>
            <w:r>
              <w:rPr>
                <w:rFonts w:ascii="宋体" w:hAnsi="宋体"/>
                <w:bCs/>
                <w:sz w:val="18"/>
                <w:szCs w:val="18"/>
              </w:rPr>
              <w:t>【2.95%</w:t>
            </w:r>
            <w:r>
              <w:rPr>
                <w:rFonts w:hint="eastAsia" w:ascii="宋体" w:hAnsi="宋体"/>
                <w:bCs/>
                <w:sz w:val="18"/>
                <w:szCs w:val="18"/>
              </w:rPr>
              <w:t>-</w:t>
            </w:r>
            <w:r>
              <w:rPr>
                <w:rFonts w:ascii="宋体" w:hAnsi="宋体"/>
                <w:bCs/>
                <w:sz w:val="18"/>
                <w:szCs w:val="18"/>
              </w:rPr>
              <w:t>3.6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。（适用【A】类份额）</w:t>
            </w:r>
          </w:p>
          <w:p>
            <w:pPr>
              <w:spacing w:line="360" w:lineRule="auto"/>
              <w:jc w:val="left"/>
              <w:rPr>
                <w:rFonts w:hint="eastAsia" w:ascii="宋体" w:hAnsi="宋体"/>
                <w:bCs/>
                <w:sz w:val="18"/>
                <w:szCs w:val="18"/>
              </w:rPr>
            </w:pPr>
            <w:r>
              <w:rPr>
                <w:rFonts w:hint="eastAsia" w:ascii="宋体" w:hAnsi="宋体"/>
                <w:bCs/>
                <w:sz w:val="18"/>
                <w:szCs w:val="18"/>
              </w:rPr>
              <w:t>年化</w:t>
            </w:r>
            <w:r>
              <w:rPr>
                <w:rFonts w:ascii="宋体" w:hAnsi="宋体"/>
                <w:bCs/>
                <w:sz w:val="18"/>
                <w:szCs w:val="18"/>
              </w:rPr>
              <w:t>【</w:t>
            </w:r>
            <w:r>
              <w:rPr>
                <w:rFonts w:hint="eastAsia" w:ascii="宋体" w:hAnsi="宋体"/>
                <w:bCs/>
                <w:sz w:val="18"/>
                <w:szCs w:val="18"/>
                <w:lang w:val="en-US" w:eastAsia="zh-CN"/>
              </w:rPr>
              <w:t>3.1</w:t>
            </w:r>
            <w:r>
              <w:rPr>
                <w:rFonts w:ascii="宋体" w:hAnsi="宋体"/>
                <w:bCs/>
                <w:sz w:val="18"/>
                <w:szCs w:val="18"/>
              </w:rPr>
              <w:t>%</w:t>
            </w:r>
            <w:r>
              <w:rPr>
                <w:rFonts w:hint="eastAsia" w:ascii="宋体" w:hAnsi="宋体"/>
                <w:bCs/>
                <w:sz w:val="18"/>
                <w:szCs w:val="18"/>
              </w:rPr>
              <w:t>-</w:t>
            </w:r>
            <w:r>
              <w:rPr>
                <w:rFonts w:ascii="宋体" w:hAnsi="宋体"/>
                <w:bCs/>
                <w:sz w:val="18"/>
                <w:szCs w:val="18"/>
              </w:rPr>
              <w:t>3.</w:t>
            </w:r>
            <w:r>
              <w:rPr>
                <w:rFonts w:hint="eastAsia" w:ascii="宋体" w:hAnsi="宋体"/>
                <w:bCs/>
                <w:sz w:val="18"/>
                <w:szCs w:val="18"/>
                <w:lang w:val="en-US" w:eastAsia="zh-CN"/>
              </w:rPr>
              <w:t>75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3.业绩比较基准的提示：</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（1）业绩比较基准不代表理财产品未来表现，不等于理财产品实际收益，不作为产品收益的业绩保证，投资须谨慎。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828"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pPr>
              <w:spacing w:line="360" w:lineRule="auto"/>
              <w:jc w:val="left"/>
              <w:rPr>
                <w:rFonts w:ascii="宋体" w:hAnsi="宋体"/>
                <w:b/>
                <w:bCs/>
                <w:sz w:val="18"/>
                <w:szCs w:val="18"/>
              </w:rPr>
            </w:pPr>
            <w:r>
              <w:rPr>
                <w:rFonts w:hint="eastAsia" w:hAnsi="宋体"/>
                <w:bCs/>
                <w:sz w:val="18"/>
                <w:szCs w:val="18"/>
              </w:rPr>
              <w:t>本产品不设置业绩报酬计提基准。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w:t>
            </w:r>
            <w:r>
              <w:rPr>
                <w:rFonts w:hint="eastAsia" w:ascii="宋体" w:hAnsi="宋体"/>
                <w:b/>
                <w:bCs/>
                <w:color w:val="000000" w:themeColor="text1"/>
                <w:sz w:val="18"/>
                <w:szCs w:val="18"/>
                <w14:textFill>
                  <w14:solidFill>
                    <w14:schemeClr w14:val="tx1"/>
                  </w14:solidFill>
                </w14:textFill>
              </w:rPr>
              <w:t>认购费：</w:t>
            </w:r>
            <w:r>
              <w:rPr>
                <w:rFonts w:hint="eastAsia" w:ascii="宋体" w:hAnsi="宋体"/>
                <w:bCs/>
                <w:color w:val="000000" w:themeColor="text1"/>
                <w:sz w:val="18"/>
                <w:szCs w:val="18"/>
                <w14:textFill>
                  <w14:solidFill>
                    <w14:schemeClr w14:val="tx1"/>
                  </w14:solidFill>
                </w14:textFill>
              </w:rPr>
              <w:t>【/】。</w:t>
            </w:r>
          </w:p>
          <w:p>
            <w:pPr>
              <w:spacing w:line="360" w:lineRule="auto"/>
              <w:rPr>
                <w:rFonts w:hint="eastAsia" w:ascii="宋体" w:hAnsi="宋体"/>
                <w:b/>
                <w:bCs/>
                <w:color w:val="000000" w:themeColor="text1"/>
                <w:sz w:val="18"/>
                <w:szCs w:val="18"/>
                <w14:textFill>
                  <w14:solidFill>
                    <w14:schemeClr w14:val="tx1"/>
                  </w14:solidFill>
                </w14:textFill>
              </w:rPr>
            </w:pPr>
            <w:r>
              <w:rPr>
                <w:rFonts w:asciiTheme="majorEastAsia" w:hAnsiTheme="majorEastAsia" w:eastAsiaTheme="majorEastAsia"/>
                <w:b/>
                <w:bCs/>
                <w:color w:val="000000" w:themeColor="text1"/>
                <w:sz w:val="18"/>
                <w:szCs w:val="18"/>
                <w14:textFill>
                  <w14:solidFill>
                    <w14:schemeClr w14:val="tx1"/>
                  </w14:solidFill>
                </w14:textFill>
              </w:rPr>
              <w:t>2.销售服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int="eastAsia"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hAnsi="宋体"/>
                <w:bCs/>
                <w:sz w:val="18"/>
                <w:szCs w:val="18"/>
              </w:rPr>
              <w:t>适用【A】类份额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hint="eastAsia" w:ascii="宋体" w:hAnsi="宋体"/>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hint="eastAsia" w:hAnsi="宋体"/>
                <w:bCs/>
                <w:sz w:val="18"/>
                <w:szCs w:val="18"/>
              </w:rPr>
              <w:t>适用【</w:t>
            </w:r>
            <w:r>
              <w:rPr>
                <w:rFonts w:hint="eastAsia" w:hAnsi="宋体"/>
                <w:bCs/>
                <w:sz w:val="18"/>
                <w:szCs w:val="18"/>
                <w:lang w:val="en-US" w:eastAsia="zh-CN"/>
              </w:rPr>
              <w:t>B</w:t>
            </w:r>
            <w:r>
              <w:rPr>
                <w:rFonts w:hint="eastAsia" w:hAnsi="宋体"/>
                <w:bCs/>
                <w:sz w:val="18"/>
                <w:szCs w:val="18"/>
              </w:rPr>
              <w:t>】类份额</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w:t>
            </w:r>
            <w:r>
              <w:rPr>
                <w:rFonts w:hint="eastAsia" w:asciiTheme="majorEastAsia" w:hAnsiTheme="majorEastAsia" w:eastAsiaTheme="majorEastAsia"/>
                <w:sz w:val="18"/>
                <w:szCs w:val="18"/>
              </w:rPr>
              <w:t>3</w:t>
            </w:r>
            <w:r>
              <w:rPr>
                <w:rFonts w:asciiTheme="majorEastAsia" w:hAnsiTheme="majorEastAsia" w:eastAsiaTheme="majorEastAsia"/>
                <w:sz w:val="18"/>
                <w:szCs w:val="18"/>
              </w:rPr>
              <w:t>】</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5.</w:t>
            </w:r>
            <w:r>
              <w:rPr>
                <w:rFonts w:hint="eastAsia" w:ascii="宋体" w:hAnsi="宋体"/>
                <w:b/>
                <w:bCs/>
                <w:color w:val="000000" w:themeColor="text1"/>
                <w:sz w:val="18"/>
                <w:szCs w:val="18"/>
                <w14:textFill>
                  <w14:solidFill>
                    <w14:schemeClr w14:val="tx1"/>
                  </w14:solidFill>
                </w14:textFill>
              </w:rPr>
              <w:t>超额业绩报酬：无</w:t>
            </w:r>
          </w:p>
          <w:p>
            <w:pPr>
              <w:spacing w:line="360" w:lineRule="auto"/>
              <w:rPr>
                <w:rFonts w:ascii="黑体" w:hAnsi="黑体" w:eastAsia="黑体"/>
                <w:bCs/>
                <w:sz w:val="18"/>
                <w:szCs w:val="18"/>
              </w:rPr>
            </w:pPr>
            <w:r>
              <w:rPr>
                <w:rFonts w:ascii="宋体" w:hAnsi="宋体"/>
                <w:bCs/>
                <w:sz w:val="18"/>
                <w:szCs w:val="18"/>
              </w:rPr>
              <w:t>6</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816"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828"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816"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2"/>
        <w:spacing w:before="0" w:after="0" w:line="360" w:lineRule="auto"/>
        <w:jc w:val="center"/>
        <w:rPr>
          <w:rFonts w:ascii="Times New Roman"/>
          <w:sz w:val="30"/>
        </w:rPr>
      </w:pPr>
      <w:bookmarkStart w:id="4" w:name="_Toc88747122"/>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outlineLvl w:val="1"/>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w:t>
      </w:r>
      <w:r>
        <w:rPr>
          <w:rFonts w:asciiTheme="minorEastAsia" w:hAnsiTheme="minorEastAsia"/>
          <w:bCs/>
          <w:color w:val="auto"/>
          <w:sz w:val="18"/>
          <w:szCs w:val="18"/>
        </w:rPr>
        <w:t>产品管理人</w:t>
      </w:r>
      <w:r>
        <w:rPr>
          <w:rFonts w:hint="eastAsia" w:asciiTheme="minorEastAsia" w:hAnsiTheme="minorEastAsia"/>
          <w:bCs/>
          <w:color w:val="auto"/>
          <w:sz w:val="18"/>
          <w:szCs w:val="18"/>
        </w:rPr>
        <w:t>可受理投资者提交的认购申请。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outlineLvl w:val="2"/>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outlineLvl w:val="2"/>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.认购的起点和追加金额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outlineLvl w:val="2"/>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outlineLvl w:val="2"/>
        <w:rPr>
          <w:rFonts w:asciiTheme="minorEastAsia" w:hAnsiTheme="minorEastAsia"/>
          <w:b/>
          <w:bCs/>
          <w:sz w:val="18"/>
          <w:szCs w:val="18"/>
        </w:rPr>
      </w:pPr>
      <w:r>
        <w:rPr>
          <w:rFonts w:asciiTheme="minorEastAsia" w:hAnsiTheme="minorEastAsia"/>
          <w:b/>
          <w:bCs/>
          <w:sz w:val="18"/>
          <w:szCs w:val="18"/>
        </w:rPr>
        <w:t>9.募集期认购资金利息的处理</w:t>
      </w:r>
    </w:p>
    <w:p>
      <w:pPr>
        <w:spacing w:line="360" w:lineRule="auto"/>
        <w:ind w:firstLine="360" w:firstLineChars="200"/>
        <w:rPr>
          <w:rFonts w:asciiTheme="minorEastAsia" w:hAnsiTheme="minorEastAsia"/>
          <w:bCs/>
          <w:sz w:val="18"/>
          <w:szCs w:val="18"/>
        </w:rPr>
      </w:pPr>
      <w:r>
        <w:rPr>
          <w:rFonts w:hint="eastAsia" w:asciiTheme="minorEastAsia" w:hAnsiTheme="minorEastAsia"/>
          <w:bCs/>
          <w:sz w:val="18"/>
          <w:szCs w:val="18"/>
        </w:rPr>
        <w:t>投资者认购资金在产品认购期内按照活期存款利率计息，但在产品认购期所产生的利息不作为理财资金进入理财运作，不计算理财利益。</w:t>
      </w:r>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outlineLvl w:val="1"/>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outlineLvl w:val="1"/>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outlineLvl w:val="1"/>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spacing w:line="360" w:lineRule="auto"/>
        <w:ind w:firstLine="360" w:firstLineChars="200"/>
        <w:rPr>
          <w:rFonts w:asciiTheme="minorEastAsia" w:hAnsiTheme="minorEastAsia"/>
          <w:bCs/>
          <w:sz w:val="18"/>
          <w:szCs w:val="18"/>
        </w:rPr>
      </w:pP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88747123"/>
      <w:bookmarkStart w:id="11" w:name="_Toc79154668"/>
      <w:bookmarkStart w:id="12" w:name="_Toc29948"/>
      <w:bookmarkStart w:id="13" w:name="_Toc29784"/>
      <w:bookmarkStart w:id="14" w:name="_Toc22074"/>
      <w:bookmarkStart w:id="15" w:name="_Toc6714"/>
      <w:bookmarkStart w:id="16" w:name="_Toc15203"/>
      <w:bookmarkStart w:id="17" w:name="_Toc27226"/>
      <w:bookmarkStart w:id="18" w:name="_Toc90742321"/>
      <w:bookmarkStart w:id="19" w:name="_Toc27189"/>
      <w:bookmarkStart w:id="20" w:name="_Toc3266"/>
      <w:bookmarkStart w:id="21" w:name="_Toc16265"/>
      <w:bookmarkStart w:id="22" w:name="_Toc7151"/>
      <w:bookmarkStart w:id="23" w:name="_Toc90742688"/>
      <w:bookmarkStart w:id="24" w:name="_Toc90742390"/>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88747124"/>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在严格控制组合风险的前提下，通过不断优化组合，力争实现超越业绩比较基准的收益。</w:t>
      </w:r>
    </w:p>
    <w:p>
      <w:pPr>
        <w:pStyle w:val="34"/>
        <w:spacing w:line="360" w:lineRule="auto"/>
        <w:ind w:firstLine="361" w:firstLineChars="200"/>
        <w:outlineLvl w:val="1"/>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423" w:firstLineChars="235"/>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w:t>
      </w:r>
      <w:r>
        <w:rPr>
          <w:rFonts w:asciiTheme="majorEastAsia" w:hAnsiTheme="majorEastAsia" w:eastAsiaTheme="majorEastAsia"/>
          <w:bCs/>
          <w:sz w:val="18"/>
          <w:szCs w:val="18"/>
        </w:rPr>
        <w:t>主要投资范围包括但不限于</w:t>
      </w:r>
      <w:r>
        <w:rPr>
          <w:rFonts w:hint="eastAsia" w:asciiTheme="majorEastAsia" w:hAnsiTheme="majorEastAsia" w:eastAsiaTheme="majorEastAsia"/>
          <w:bCs/>
          <w:sz w:val="18"/>
          <w:szCs w:val="18"/>
        </w:rPr>
        <w:t>（实际投资范围可根据法律法规及监管规定进行调整）</w:t>
      </w:r>
      <w:r>
        <w:rPr>
          <w:rFonts w:asciiTheme="majorEastAsia" w:hAnsiTheme="majorEastAsia" w:eastAsiaTheme="majorEastAsia"/>
          <w:bCs/>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.投资组合比例：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本产品投资于</w:t>
      </w:r>
      <w:r>
        <w:rPr>
          <w:rFonts w:hint="eastAsia" w:ascii="宋体" w:hAnsi="宋体"/>
          <w:bCs/>
          <w:sz w:val="18"/>
          <w:szCs w:val="18"/>
        </w:rPr>
        <w:t>债权类</w:t>
      </w:r>
      <w:r>
        <w:rPr>
          <w:rFonts w:hint="eastAsia" w:asciiTheme="majorEastAsia" w:hAnsiTheme="majorEastAsia" w:eastAsiaTheme="majorEastAsia"/>
          <w:bCs/>
          <w:sz w:val="18"/>
          <w:szCs w:val="18"/>
        </w:rPr>
        <w:t>资产的比例不低于产品总资产的80%。</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（2）债券借贷等衍生品占产品总资产比例不高于20%。</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.如果法律法规对本协议约定投资组合比例限制进行变更的，以变更后的规定为准。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使产品的投资组合比例符合本协议的有关约定，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应当符合本协议</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w:t>
      </w:r>
      <w:r>
        <w:rPr>
          <w:rFonts w:hint="eastAsia" w:ascii="黑体" w:hAnsi="黑体" w:eastAsia="黑体"/>
          <w:bCs/>
          <w:sz w:val="18"/>
          <w:szCs w:val="18"/>
        </w:rPr>
        <w:t>协议</w:t>
      </w:r>
      <w:r>
        <w:rPr>
          <w:rFonts w:ascii="黑体" w:hAnsi="黑体" w:eastAsia="黑体"/>
          <w:bCs/>
          <w:sz w:val="18"/>
          <w:szCs w:val="18"/>
        </w:rPr>
        <w:t>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outlineLvl w:val="1"/>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w:t>
      </w:r>
      <w:r>
        <w:rPr>
          <w:rFonts w:asciiTheme="majorEastAsia" w:hAnsiTheme="majorEastAsia" w:eastAsiaTheme="majorEastAsia"/>
          <w:bCs/>
          <w:kern w:val="0"/>
          <w:sz w:val="18"/>
          <w:szCs w:val="18"/>
        </w:rPr>
        <w:t>3</w:t>
      </w:r>
      <w:r>
        <w:rPr>
          <w:rFonts w:hint="eastAsia" w:asciiTheme="majorEastAsia" w:hAnsiTheme="majorEastAsia" w:eastAsiaTheme="majorEastAsia"/>
          <w:bCs/>
          <w:kern w:val="0"/>
          <w:sz w:val="18"/>
          <w:szCs w:val="18"/>
        </w:rPr>
        <w:t>）本产品因为流动性需要可开展存单质押、债券正回购等融资业务，本产品总资产不超过净资产的200%。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w:t>
      </w:r>
      <w:r>
        <w:rPr>
          <w:rFonts w:asciiTheme="majorEastAsia" w:hAnsiTheme="majorEastAsia" w:eastAsiaTheme="majorEastAsia"/>
          <w:bCs/>
          <w:sz w:val="18"/>
          <w:szCs w:val="18"/>
        </w:rPr>
        <w:t>10个交易日内调整至符合要求，监管机构规定的特殊情形除外。本</w:t>
      </w:r>
      <w:r>
        <w:rPr>
          <w:rFonts w:hint="eastAsia" w:asciiTheme="majorEastAsia" w:hAnsiTheme="majorEastAsia" w:eastAsiaTheme="majorEastAsia"/>
          <w:bCs/>
          <w:kern w:val="0"/>
          <w:sz w:val="18"/>
          <w:szCs w:val="18"/>
        </w:rPr>
        <w:t>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w:t>
      </w:r>
      <w:r>
        <w:rPr>
          <w:rFonts w:hint="eastAsia" w:asciiTheme="majorEastAsia" w:hAnsiTheme="majorEastAsia" w:eastAsiaTheme="majorEastAsia"/>
          <w:bCs/>
          <w:sz w:val="18"/>
          <w:szCs w:val="18"/>
        </w:rPr>
        <w:t>协议</w:t>
      </w:r>
      <w:r>
        <w:rPr>
          <w:rFonts w:asciiTheme="majorEastAsia" w:hAnsiTheme="majorEastAsia" w:eastAsiaTheme="majorEastAsia"/>
          <w:bCs/>
          <w:sz w:val="18"/>
          <w:szCs w:val="18"/>
        </w:rPr>
        <w:t>约定的投资限制进行变更的，以变更后的规定为准。</w:t>
      </w:r>
    </w:p>
    <w:p>
      <w:pPr>
        <w:spacing w:line="360" w:lineRule="auto"/>
        <w:ind w:firstLine="361" w:firstLineChars="200"/>
        <w:outlineLvl w:val="1"/>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spacing w:line="360" w:lineRule="auto"/>
        <w:ind w:firstLine="360" w:firstLineChars="200"/>
        <w:rPr>
          <w:rFonts w:ascii="宋体" w:hAnsi="宋体"/>
          <w:bCs/>
          <w:sz w:val="18"/>
          <w:szCs w:val="18"/>
        </w:rPr>
      </w:pPr>
      <w:r>
        <w:rPr>
          <w:rFonts w:hint="eastAsia" w:ascii="宋体"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pPr>
        <w:spacing w:line="360" w:lineRule="auto"/>
        <w:ind w:firstLine="361" w:firstLineChars="200"/>
        <w:outlineLvl w:val="1"/>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 xml:space="preserve">（五）业绩比较基准 </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sz w:val="18"/>
          <w:szCs w:val="18"/>
        </w:rPr>
        <w:t xml:space="preserve"> </w:t>
      </w:r>
      <w:r>
        <w:rPr>
          <w:rFonts w:hint="eastAsia" w:asciiTheme="majorEastAsia" w:hAnsiTheme="majorEastAsia" w:eastAsiaTheme="majorEastAsia"/>
          <w:bCs/>
          <w:sz w:val="18"/>
          <w:szCs w:val="18"/>
        </w:rPr>
        <w:t>产品管理人</w:t>
      </w:r>
      <w:r>
        <w:rPr>
          <w:rFonts w:hint="eastAsia" w:asciiTheme="majorEastAsia" w:hAnsiTheme="majorEastAsia" w:eastAsiaTheme="majorEastAsia"/>
          <w:sz w:val="18"/>
          <w:szCs w:val="18"/>
        </w:rPr>
        <w:t>设置</w:t>
      </w:r>
      <w:r>
        <w:rPr>
          <w:rFonts w:asciiTheme="majorEastAsia" w:hAnsiTheme="majorEastAsia" w:eastAsiaTheme="majorEastAsia"/>
          <w:sz w:val="18"/>
          <w:szCs w:val="18"/>
        </w:rPr>
        <w:t>业绩比较基准</w:t>
      </w:r>
      <w:r>
        <w:rPr>
          <w:rFonts w:hint="eastAsia" w:asciiTheme="majorEastAsia" w:hAnsiTheme="majorEastAsia" w:eastAsiaTheme="majorEastAsia"/>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1.产品管理人设置业绩比较基准</w:t>
      </w:r>
      <w:r>
        <w:rPr>
          <w:rFonts w:asciiTheme="majorEastAsia" w:hAnsiTheme="majorEastAsia" w:eastAsiaTheme="majorEastAsia"/>
          <w:sz w:val="18"/>
          <w:szCs w:val="18"/>
        </w:rPr>
        <w:t>并</w:t>
      </w:r>
      <w:r>
        <w:rPr>
          <w:rFonts w:hint="eastAsia" w:asciiTheme="majorEastAsia" w:hAnsiTheme="majorEastAsia" w:eastAsiaTheme="majorEastAsia"/>
          <w:sz w:val="18"/>
          <w:szCs w:val="18"/>
        </w:rPr>
        <w:t>进行</w:t>
      </w:r>
      <w:r>
        <w:rPr>
          <w:rFonts w:asciiTheme="majorEastAsia" w:hAnsiTheme="majorEastAsia" w:eastAsiaTheme="majorEastAsia"/>
          <w:sz w:val="18"/>
          <w:szCs w:val="18"/>
        </w:rPr>
        <w:t>公告，</w:t>
      </w:r>
      <w:r>
        <w:rPr>
          <w:rFonts w:hint="eastAsia" w:asciiTheme="majorEastAsia" w:hAnsiTheme="majorEastAsia" w:eastAsiaTheme="majorEastAsia"/>
          <w:sz w:val="18"/>
          <w:szCs w:val="18"/>
        </w:rPr>
        <w:t>具体以当期《产品说明书》</w:t>
      </w:r>
      <w:r>
        <w:rPr>
          <w:rFonts w:hint="eastAsia" w:asciiTheme="minorEastAsia" w:hAnsiTheme="minorEastAsia" w:eastAsiaTheme="minorEastAsia"/>
          <w:sz w:val="18"/>
          <w:szCs w:val="18"/>
        </w:rPr>
        <w:t xml:space="preserve"> “第二条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w:t>
      </w:r>
      <w:r>
        <w:rPr>
          <w:rFonts w:hint="eastAsia" w:ascii="黑体" w:hAnsi="黑体" w:eastAsia="黑体" w:cs="仿宋_GB2312"/>
          <w:bCs/>
          <w:sz w:val="18"/>
          <w:szCs w:val="18"/>
        </w:rPr>
        <w:t>★</w:t>
      </w:r>
      <w:r>
        <w:rPr>
          <w:rFonts w:hint="eastAsia" w:ascii="黑体" w:hAnsi="黑体" w:eastAsia="黑体"/>
          <w:sz w:val="18"/>
          <w:szCs w:val="18"/>
        </w:rPr>
        <w:t>业绩比较基准</w:t>
      </w:r>
      <w:r>
        <w:rPr>
          <w:rFonts w:hint="eastAsia" w:ascii="黑体" w:hAnsi="黑体" w:eastAsia="黑体"/>
          <w:bCs/>
          <w:sz w:val="18"/>
          <w:szCs w:val="18"/>
        </w:rPr>
        <w:t>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asciiTheme="majorEastAsia" w:hAnsiTheme="majorEastAsia" w:eastAsiaTheme="majorEastAsia"/>
          <w:sz w:val="18"/>
          <w:szCs w:val="18"/>
        </w:rPr>
        <w:t>3.</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产品管理人不设立业绩比较基准。</w:t>
      </w:r>
    </w:p>
    <w:p>
      <w:pPr>
        <w:autoSpaceDE w:val="0"/>
        <w:autoSpaceDN w:val="0"/>
        <w:adjustRightInd w:val="0"/>
        <w:spacing w:line="360" w:lineRule="auto"/>
        <w:ind w:firstLine="361" w:firstLineChars="200"/>
        <w:jc w:val="left"/>
        <w:outlineLvl w:val="1"/>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（六）业绩报酬计提</w:t>
      </w:r>
      <w:r>
        <w:rPr>
          <w:rFonts w:asciiTheme="majorEastAsia" w:hAnsiTheme="majorEastAsia" w:eastAsiaTheme="majorEastAsia"/>
          <w:b/>
          <w:kern w:val="0"/>
          <w:sz w:val="18"/>
          <w:szCs w:val="18"/>
        </w:rPr>
        <w:t>基准</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 产品管理人设置业绩报酬计提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p>
    <w:p>
      <w:pPr>
        <w:pStyle w:val="20"/>
        <w:shd w:val="clear" w:color="auto" w:fill="FFFFFF"/>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1.产品管理人设置业绩报酬计提</w:t>
      </w:r>
      <w:r>
        <w:rPr>
          <w:rFonts w:asciiTheme="majorEastAsia" w:hAnsiTheme="majorEastAsia" w:eastAsiaTheme="majorEastAsia"/>
          <w:sz w:val="18"/>
          <w:szCs w:val="18"/>
        </w:rPr>
        <w:t>基准</w:t>
      </w:r>
      <w:r>
        <w:rPr>
          <w:rFonts w:hint="eastAsia" w:asciiTheme="majorEastAsia" w:hAnsiTheme="majorEastAsia" w:eastAsiaTheme="majorEastAsia"/>
          <w:sz w:val="18"/>
          <w:szCs w:val="18"/>
        </w:rPr>
        <w:t>并进行公告，具体以当期《产品说明书》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pStyle w:val="20"/>
        <w:shd w:val="clear" w:color="auto" w:fill="FFFFFF"/>
        <w:spacing w:line="360" w:lineRule="auto"/>
        <w:ind w:firstLine="360" w:firstLineChars="200"/>
        <w:rPr>
          <w:rFonts w:ascii="黑体" w:hAnsi="黑体" w:eastAsia="黑体"/>
          <w:sz w:val="18"/>
          <w:szCs w:val="18"/>
        </w:rPr>
      </w:pPr>
      <w:r>
        <w:rPr>
          <w:rFonts w:hint="eastAsia" w:ascii="黑体" w:hAnsi="黑体" w:eastAsia="黑体"/>
          <w:sz w:val="18"/>
          <w:szCs w:val="18"/>
        </w:rPr>
        <w:t>2.★业绩报酬计提</w:t>
      </w:r>
      <w:r>
        <w:rPr>
          <w:rFonts w:ascii="黑体" w:hAnsi="黑体" w:eastAsia="黑体"/>
          <w:sz w:val="18"/>
          <w:szCs w:val="18"/>
        </w:rPr>
        <w:t>基准</w:t>
      </w:r>
      <w:r>
        <w:rPr>
          <w:rFonts w:hint="eastAsia" w:ascii="黑体" w:hAnsi="黑体" w:eastAsia="黑体"/>
          <w:sz w:val="18"/>
          <w:szCs w:val="18"/>
        </w:rPr>
        <w:t>仅作为管理人收取超额业绩报酬的参照，不代表理财产品未来表现，不等于理财产品实际收益，不作为产品收益的业绩保证，投资须谨慎。</w:t>
      </w:r>
    </w:p>
    <w:p>
      <w:pPr>
        <w:autoSpaceDE w:val="0"/>
        <w:autoSpaceDN w:val="0"/>
        <w:adjustRightInd w:val="0"/>
        <w:spacing w:line="360" w:lineRule="auto"/>
        <w:ind w:firstLine="360" w:firstLineChars="200"/>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3.如果今后法律法规发生变化，或者有其他代表性更强、更科学客观的业绩报酬计提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适用于本产品时，经产品管理人和产品托管人协商一致后，本产品可以变更业绩报酬计提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并及时公告。</w:t>
      </w:r>
    </w:p>
    <w:p>
      <w:pPr>
        <w:autoSpaceDE w:val="0"/>
        <w:autoSpaceDN w:val="0"/>
        <w:adjustRightInd w:val="0"/>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kern w:val="0"/>
          <w:sz w:val="18"/>
          <w:szCs w:val="18"/>
        </w:rPr>
        <w:t xml:space="preserve"> 产品管理人不设立业绩报酬计提</w:t>
      </w:r>
      <w:r>
        <w:rPr>
          <w:rFonts w:asciiTheme="majorEastAsia" w:hAnsiTheme="majorEastAsia" w:eastAsiaTheme="majorEastAsia"/>
          <w:kern w:val="0"/>
          <w:sz w:val="18"/>
          <w:szCs w:val="18"/>
        </w:rPr>
        <w:t>基准</w:t>
      </w:r>
      <w:r>
        <w:rPr>
          <w:rFonts w:hint="eastAsia" w:asciiTheme="majorEastAsia" w:hAnsiTheme="majorEastAsia" w:eastAsiaTheme="majorEastAsia"/>
          <w:kern w:val="0"/>
          <w:sz w:val="18"/>
          <w:szCs w:val="18"/>
        </w:rPr>
        <w:t>。</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4893"/>
      <w:bookmarkStart w:id="28" w:name="_Toc7848"/>
      <w:bookmarkStart w:id="29" w:name="_Toc18329"/>
      <w:bookmarkStart w:id="30" w:name="_Toc26986"/>
      <w:bookmarkStart w:id="31" w:name="_Toc18797"/>
      <w:bookmarkStart w:id="32" w:name="_Toc18526"/>
      <w:bookmarkStart w:id="33" w:name="_Toc4741"/>
      <w:bookmarkStart w:id="34" w:name="_Toc139991735"/>
      <w:bookmarkStart w:id="35" w:name="_Toc88747125"/>
      <w:bookmarkStart w:id="36" w:name="_Toc141703885"/>
      <w:bookmarkStart w:id="37" w:name="_Toc17912"/>
      <w:bookmarkStart w:id="38" w:name="_Toc1823"/>
      <w:bookmarkStart w:id="39" w:name="_Toc74065742"/>
      <w:bookmarkStart w:id="40" w:name="_Toc79154669"/>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outlineLvl w:val="1"/>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outlineLvl w:val="1"/>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23822"/>
      <w:bookmarkStart w:id="44" w:name="_Toc48649707"/>
      <w:bookmarkStart w:id="45" w:name="_Toc88747126"/>
      <w:bookmarkStart w:id="46" w:name="_Toc79154670"/>
      <w:bookmarkStart w:id="47" w:name="_Toc98560352"/>
      <w:bookmarkStart w:id="48" w:name="_Toc20733"/>
      <w:bookmarkStart w:id="49" w:name="_Toc123102453"/>
      <w:bookmarkStart w:id="50" w:name="_Toc141703886"/>
      <w:bookmarkStart w:id="51" w:name="_Toc17244"/>
      <w:bookmarkStart w:id="52" w:name="_Toc23261"/>
      <w:bookmarkStart w:id="53" w:name="_Toc7920"/>
      <w:bookmarkStart w:id="54" w:name="_Toc139991736"/>
      <w:bookmarkStart w:id="55" w:name="_Toc123112234"/>
      <w:bookmarkStart w:id="56" w:name="_Toc610"/>
      <w:bookmarkStart w:id="57" w:name="_Toc10463"/>
      <w:bookmarkStart w:id="58" w:name="_Toc1270"/>
      <w:bookmarkStart w:id="59" w:name="_Toc79392606"/>
      <w:bookmarkStart w:id="60" w:name="_Toc74065743"/>
      <w:bookmarkStart w:id="61" w:name="_Toc4003"/>
      <w:bookmarkStart w:id="62" w:name="_Toc123051452"/>
      <w:bookmarkStart w:id="63" w:name="_Toc142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0" w:edGrp="everyone"/>
      <w:r>
        <w:rPr>
          <w:rFonts w:hint="eastAsia" w:hAnsi="宋体"/>
          <w:sz w:val="18"/>
          <w:szCs w:val="18"/>
        </w:rPr>
        <w:t>本产品存续期间，每【周】进行一次估值。如遇产品到期日、季度末、半年度末、年度末等时间节点管理人将增加估值日。</w:t>
      </w:r>
    </w:p>
    <w:permEnd w:id="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int="eastAsia" w:hAnsi="宋体"/>
          <w:b/>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int="eastAsia" w:hAnsi="宋体"/>
          <w:b/>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int="eastAsia" w:hAnsi="宋体"/>
          <w:b/>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int="eastAsia" w:hAnsi="宋体"/>
          <w:b/>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int="eastAsia" w:hAnsi="宋体"/>
          <w:b/>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int="eastAsia" w:hAnsi="宋体"/>
          <w:b/>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int="eastAsia" w:hAnsi="宋体"/>
          <w:b/>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int="eastAsia" w:hAnsi="宋体"/>
          <w:b/>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39991737"/>
      <w:bookmarkStart w:id="66" w:name="_Toc3601"/>
      <w:bookmarkStart w:id="67" w:name="_Toc6405"/>
      <w:bookmarkStart w:id="68" w:name="_Toc123051453"/>
      <w:bookmarkStart w:id="69" w:name="_Toc29251"/>
      <w:bookmarkStart w:id="70" w:name="_Toc26207"/>
      <w:bookmarkStart w:id="71" w:name="_Toc123102454"/>
      <w:bookmarkStart w:id="72" w:name="_Toc15143"/>
      <w:bookmarkStart w:id="73" w:name="_Toc79154671"/>
      <w:bookmarkStart w:id="74" w:name="_Toc88747127"/>
      <w:bookmarkStart w:id="75" w:name="_Toc141703887"/>
      <w:bookmarkStart w:id="76" w:name="_Toc12245"/>
      <w:bookmarkStart w:id="77" w:name="_Toc31235"/>
      <w:bookmarkStart w:id="78" w:name="_Toc14835"/>
      <w:bookmarkStart w:id="79" w:name="_Toc123112235"/>
      <w:bookmarkStart w:id="80" w:name="_Toc98560353"/>
      <w:bookmarkStart w:id="81" w:name="_Toc31653"/>
      <w:bookmarkStart w:id="82" w:name="_Toc31644"/>
      <w:bookmarkStart w:id="83" w:name="_Toc740657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15118234"/>
      <w:bookmarkStart w:id="86" w:name="_Toc523711668"/>
      <w:bookmarkStart w:id="87" w:name="_Toc57530239"/>
      <w:bookmarkStart w:id="88" w:name="_Toc79392580"/>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int="eastAsia" w:hAnsi="宋体"/>
          <w:color w:val="auto"/>
          <w:sz w:val="18"/>
          <w:szCs w:val="18"/>
        </w:rPr>
        <w:t>每一产品份额享有同等分配权。</w:t>
      </w:r>
    </w:p>
    <w:p>
      <w:pPr>
        <w:pStyle w:val="34"/>
        <w:spacing w:line="360" w:lineRule="auto"/>
        <w:ind w:firstLine="360" w:firstLineChars="200"/>
        <w:rPr>
          <w:rFonts w:hAnsi="宋体"/>
          <w:color w:val="auto"/>
          <w:sz w:val="18"/>
          <w:szCs w:val="18"/>
        </w:rPr>
      </w:pPr>
      <w:r>
        <w:rPr>
          <w:rFonts w:hint="eastAsia" w:hAnsi="宋体"/>
          <w:color w:val="auto"/>
          <w:sz w:val="18"/>
          <w:szCs w:val="18"/>
        </w:rPr>
        <w:t>2.在不违反法律法规、理财产品销售文件约定以及对份额持有人权益无实质性不利影响的情况下，</w:t>
      </w:r>
      <w:r>
        <w:rPr>
          <w:rFonts w:hint="eastAsia" w:asciiTheme="majorEastAsia" w:hAnsiTheme="majorEastAsia" w:eastAsiaTheme="majorEastAsia"/>
          <w:bCs/>
          <w:color w:val="auto"/>
          <w:sz w:val="18"/>
          <w:szCs w:val="18"/>
        </w:rPr>
        <w:t>产品管理人</w:t>
      </w:r>
      <w:r>
        <w:rPr>
          <w:rFonts w:hint="eastAsia" w:hAnsi="宋体"/>
          <w:color w:val="auto"/>
          <w:sz w:val="18"/>
          <w:szCs w:val="18"/>
        </w:rPr>
        <w:t>可调整本产品利益的分配原则和支付方式。法律法规或监管机构另有规定的从其规定。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1"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int="eastAsia"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3.理财产品存续期间，产品管理人有权视理财产品收益情况进行主动分配，相应分配基准日、分配方案由管理人及时披露。</w:t>
      </w:r>
    </w:p>
    <w:permEnd w:id="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widowControl/>
        <w:spacing w:line="360" w:lineRule="auto"/>
        <w:ind w:firstLine="420" w:firstLineChars="0"/>
        <w:jc w:val="left"/>
        <w:rPr>
          <w:rFonts w:ascii="宋体" w:hAnsi="宋体"/>
          <w:kern w:val="0"/>
          <w:sz w:val="18"/>
          <w:szCs w:val="18"/>
        </w:rPr>
      </w:pPr>
      <w:r>
        <w:rPr>
          <w:rFonts w:hAnsi="宋体"/>
          <w:sz w:val="18"/>
          <w:szCs w:val="18"/>
        </w:rPr>
        <w:t>2.</w:t>
      </w:r>
      <w:r>
        <w:rPr>
          <w:rFonts w:hint="eastAsia" w:hAnsi="宋体"/>
          <w:sz w:val="18"/>
          <w:szCs w:val="18"/>
        </w:rPr>
        <w:t>具体的理财利益分配以管理人实际分配的为准。</w:t>
      </w: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8567"/>
      <w:bookmarkStart w:id="92" w:name="_Toc79154672"/>
      <w:bookmarkStart w:id="93" w:name="_Toc3771"/>
      <w:bookmarkStart w:id="94" w:name="_Toc123102455"/>
      <w:bookmarkStart w:id="95" w:name="_Toc141703888"/>
      <w:bookmarkStart w:id="96" w:name="_Toc123051454"/>
      <w:bookmarkStart w:id="97" w:name="_Toc74065745"/>
      <w:bookmarkStart w:id="98" w:name="_Toc79392583"/>
      <w:bookmarkStart w:id="99" w:name="_Toc6447"/>
      <w:bookmarkStart w:id="100" w:name="_Toc4559"/>
      <w:bookmarkStart w:id="101" w:name="_Toc139991738"/>
      <w:bookmarkStart w:id="102" w:name="_Toc11030"/>
      <w:bookmarkStart w:id="103" w:name="_Toc88747128"/>
      <w:bookmarkStart w:id="104" w:name="_Toc7058"/>
      <w:bookmarkStart w:id="105" w:name="_Toc98560354"/>
      <w:bookmarkStart w:id="106" w:name="_Toc3321"/>
      <w:bookmarkStart w:id="107" w:name="_Toc9706"/>
      <w:bookmarkStart w:id="108" w:name="_Toc10650"/>
      <w:bookmarkStart w:id="109" w:name="_Toc25783"/>
      <w:bookmarkStart w:id="110" w:name="_Toc123112236"/>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bookmarkStart w:id="111" w:name="_Toc1745"/>
      <w:bookmarkStart w:id="112" w:name="_Toc3963"/>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int="eastAsia" w:hAnsi="宋体"/>
          <w:sz w:val="18"/>
          <w:szCs w:val="18"/>
        </w:rPr>
      </w:pPr>
      <w:r>
        <w:rPr>
          <w:rFonts w:hint="eastAsia" w:ascii="宋体" w:hAnsi="宋体"/>
          <w:kern w:val="0"/>
          <w:sz w:val="18"/>
          <w:szCs w:val="18"/>
        </w:rPr>
        <w:t>1.理财产品费用的种类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（1）理财产品的认购费；</w:t>
      </w:r>
    </w:p>
    <w:p>
      <w:pPr>
        <w:widowControl/>
        <w:spacing w:line="360" w:lineRule="auto"/>
        <w:ind w:firstLine="360" w:firstLineChars="200"/>
        <w:jc w:val="left"/>
        <w:rPr>
          <w:rFonts w:hAnsi="宋体"/>
          <w:sz w:val="18"/>
          <w:szCs w:val="18"/>
        </w:rPr>
      </w:pPr>
      <w:r>
        <w:rPr>
          <w:rFonts w:hint="eastAsia" w:ascii="宋体" w:hAnsi="宋体"/>
          <w:kern w:val="0"/>
          <w:sz w:val="18"/>
          <w:szCs w:val="18"/>
        </w:rPr>
        <w:t>（2）理财产品的销售服务费；</w:t>
      </w:r>
    </w:p>
    <w:p>
      <w:pPr>
        <w:widowControl/>
        <w:spacing w:line="360" w:lineRule="auto"/>
        <w:ind w:firstLine="360" w:firstLineChars="200"/>
        <w:jc w:val="left"/>
        <w:rPr>
          <w:rFonts w:hAnsi="宋体"/>
          <w:sz w:val="18"/>
          <w:szCs w:val="18"/>
        </w:rPr>
      </w:pPr>
      <w:r>
        <w:rPr>
          <w:rFonts w:hint="eastAsia"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（4）理财产品的产品托管费；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（5）理财产品的证券交易费用；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（6）理财产品验资费、审计费、律师费、信息披露费、清算费、执行费用等相关费用；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（7）按照国家法律法规规定可以列入的其他费用。</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2.理财产品费用计提方法、计提标准和支付方式</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（1）理财产品的认购费</w:t>
      </w:r>
    </w:p>
    <w:p>
      <w:pPr>
        <w:widowControl/>
        <w:spacing w:line="360" w:lineRule="auto"/>
        <w:ind w:firstLine="360" w:firstLineChars="200"/>
        <w:jc w:val="left"/>
        <w:rPr>
          <w:rFonts w:hint="eastAsia" w:ascii="宋体" w:hAnsi="宋体"/>
          <w:sz w:val="18"/>
          <w:szCs w:val="18"/>
        </w:rPr>
      </w:pPr>
      <w:r>
        <w:rPr>
          <w:rFonts w:hint="eastAsia" w:asciiTheme="majorEastAsia" w:hAnsiTheme="majorEastAsia" w:eastAsiaTheme="majorEastAsia"/>
          <w:bCs/>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hint="eastAsia" w:ascii="宋体" w:hAnsi="宋体"/>
          <w:kern w:val="0"/>
          <w:sz w:val="18"/>
          <w:szCs w:val="18"/>
        </w:rPr>
        <w:t>。</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（2）理财产品的销售服务费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H＝E×销售服务费年费率÷365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H为每日应计提的销售服务费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E为前一日的理财资产净值</w:t>
      </w:r>
    </w:p>
    <w:p>
      <w:pPr>
        <w:pStyle w:val="34"/>
        <w:spacing w:line="360" w:lineRule="auto"/>
        <w:ind w:firstLine="360" w:firstLineChars="200"/>
        <w:rPr>
          <w:rFonts w:hint="eastAsia"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（3）理财产品的投资管理费</w:t>
      </w:r>
    </w:p>
    <w:p>
      <w:pPr>
        <w:widowControl/>
        <w:spacing w:line="360" w:lineRule="auto"/>
        <w:ind w:firstLine="360" w:firstLineChars="200"/>
        <w:jc w:val="left"/>
        <w:rPr>
          <w:rFonts w:hint="eastAsia"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H＝E×投资管理费年费率÷365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H为每日应计提的产品投资管理费</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E为前一日的理财资产净值</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hint="eastAsia" w:ascii="宋体" w:hAnsi="宋体"/>
          <w:kern w:val="0"/>
          <w:sz w:val="18"/>
          <w:szCs w:val="18"/>
        </w:rPr>
      </w:pPr>
      <w:permStart w:id="2" w:edGrp="everyone"/>
      <w:r>
        <w:rPr>
          <w:rFonts w:hint="eastAsia" w:ascii="宋体" w:hAnsi="宋体"/>
          <w:kern w:val="0"/>
          <w:sz w:val="18"/>
          <w:szCs w:val="18"/>
        </w:rPr>
        <w:t>（4）超额业绩报酬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hint="eastAsia"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（5）理财产品的产品托管费</w:t>
      </w:r>
    </w:p>
    <w:p>
      <w:pPr>
        <w:widowControl/>
        <w:spacing w:line="360" w:lineRule="auto"/>
        <w:ind w:firstLine="360" w:firstLineChars="200"/>
        <w:jc w:val="left"/>
        <w:rPr>
          <w:rFonts w:hint="eastAsia" w:ascii="宋体" w:hAnsi="宋体"/>
          <w:sz w:val="18"/>
          <w:szCs w:val="18"/>
        </w:rPr>
      </w:pPr>
      <w:r>
        <w:rPr>
          <w:rFonts w:hint="eastAsia" w:ascii="宋体" w:hAnsi="宋体"/>
          <w:sz w:val="18"/>
          <w:szCs w:val="18"/>
        </w:rPr>
        <w:t>本产品的产品托管费按前一日理财资产净值与产品托管费每日费率每日计提。</w:t>
      </w:r>
      <w:r>
        <w:rPr>
          <w:rFonts w:hint="eastAsia" w:ascii="宋体" w:hAnsi="宋体"/>
          <w:kern w:val="0"/>
          <w:sz w:val="18"/>
          <w:szCs w:val="18"/>
        </w:rPr>
        <w:t>产品托管费的计算方法如下：</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H＝E×产品托管费年费率÷365</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H为每日应计提的产品托管费</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E为前一日的理财资产净值</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（6）上述理财产品的证券交易费用</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hint="eastAsia" w:ascii="宋体" w:hAnsi="宋体"/>
          <w:sz w:val="18"/>
          <w:szCs w:val="18"/>
        </w:rPr>
      </w:pPr>
      <w:r>
        <w:rPr>
          <w:rFonts w:hint="eastAsia" w:ascii="宋体" w:hAnsi="宋体"/>
          <w:kern w:val="0"/>
          <w:sz w:val="18"/>
          <w:szCs w:val="18"/>
        </w:rPr>
        <w:t>（7）上述理财产品验资费、审计费、律师费、信息披露费、清算费、执行费用等相关费用</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按费用实际支出金额列入当期费用，从理财财产中支付。产品管理人因处理上述事务而先行垫付上述费用的，管理人有权从理财产品资产中优先受偿。</w:t>
      </w:r>
    </w:p>
    <w:p>
      <w:pPr>
        <w:pStyle w:val="34"/>
        <w:spacing w:line="360" w:lineRule="auto"/>
        <w:ind w:firstLine="360" w:firstLineChars="200"/>
        <w:rPr>
          <w:rFonts w:hint="eastAsia" w:ascii="黑体" w:hAnsi="黑体" w:eastAsia="黑体"/>
          <w:color w:val="auto"/>
          <w:sz w:val="18"/>
        </w:rPr>
      </w:pPr>
      <w:r>
        <w:rPr>
          <w:rFonts w:hint="eastAsia" w:ascii="黑体" w:hAnsi="黑体" w:eastAsia="黑体"/>
          <w:color w:val="auto"/>
          <w:sz w:val="18"/>
        </w:rPr>
        <w:t>3.</w:t>
      </w:r>
      <w:r>
        <w:rPr>
          <w:rFonts w:hint="eastAsia"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hint="eastAsia"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hint="eastAsia"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hint="eastAsia"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r>
        <w:br w:type="page"/>
      </w:r>
      <w:bookmarkStart w:id="113" w:name="_Toc123051455"/>
      <w:bookmarkStart w:id="114" w:name="_Toc139991739"/>
      <w:bookmarkStart w:id="115" w:name="_Toc141703889"/>
      <w:bookmarkStart w:id="116" w:name="_Toc88747129"/>
      <w:bookmarkStart w:id="117" w:name="_Toc3080"/>
      <w:bookmarkStart w:id="118" w:name="_Toc3572"/>
      <w:bookmarkStart w:id="119" w:name="_Toc21735"/>
      <w:bookmarkStart w:id="120" w:name="_Toc18206"/>
      <w:bookmarkStart w:id="121" w:name="_Toc79154673"/>
      <w:bookmarkStart w:id="122" w:name="_Toc725"/>
      <w:bookmarkStart w:id="123" w:name="_Toc74065746"/>
      <w:bookmarkStart w:id="124" w:name="_Toc10398"/>
      <w:bookmarkStart w:id="125" w:name="_Toc123112237"/>
      <w:bookmarkStart w:id="126" w:name="_Toc16164"/>
      <w:bookmarkStart w:id="127" w:name="_Toc123102456"/>
      <w:bookmarkStart w:id="128" w:name="_Toc31821"/>
      <w:bookmarkStart w:id="129"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因法律法规变化或国家金融政策调整、紧急措施出台影响产品继续正常运作。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法律法规规定或监管部门认定的其他情形。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因不可抗力等原因，导致产品管理人接受赎回申请后无法分配；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部分提前终止的利益分配：产品管理人将依照协议约定公布部分提前终止日并指定利益分配日（一般为部分提前终止日之后的【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39991740"/>
      <w:bookmarkStart w:id="135" w:name="_Toc17920"/>
      <w:bookmarkStart w:id="136" w:name="_Toc21237"/>
      <w:bookmarkStart w:id="137" w:name="_Toc88747130"/>
      <w:bookmarkStart w:id="138" w:name="_Toc3329"/>
      <w:bookmarkStart w:id="139" w:name="_Toc79392622"/>
      <w:bookmarkStart w:id="140" w:name="_Toc29408"/>
      <w:bookmarkStart w:id="141" w:name="_Toc739"/>
      <w:bookmarkStart w:id="142" w:name="_Toc123051456"/>
      <w:bookmarkStart w:id="143" w:name="_Toc48649708"/>
      <w:bookmarkStart w:id="144" w:name="_Toc123112238"/>
      <w:bookmarkStart w:id="145" w:name="_Toc79154674"/>
      <w:bookmarkStart w:id="146" w:name="_Toc32584"/>
      <w:bookmarkStart w:id="147" w:name="_Toc8791"/>
      <w:bookmarkStart w:id="148" w:name="_Toc74065747"/>
      <w:bookmarkStart w:id="149" w:name="_Toc123102457"/>
      <w:bookmarkStart w:id="150" w:name="_Toc32092"/>
      <w:bookmarkStart w:id="151" w:name="_Toc17198"/>
      <w:bookmarkStart w:id="152" w:name="_Toc98560356"/>
      <w:bookmarkStart w:id="153" w:name="_Toc517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（一）信息披露的原则</w:t>
      </w:r>
    </w:p>
    <w:p>
      <w:pPr>
        <w:spacing w:line="360" w:lineRule="auto"/>
        <w:ind w:firstLine="360"/>
        <w:rPr>
          <w:rFonts w:ascii="宋体" w:hAnsi="宋体"/>
          <w:b/>
          <w:bCs/>
          <w:sz w:val="18"/>
          <w:szCs w:val="18"/>
        </w:rPr>
      </w:pPr>
      <w:r>
        <w:rPr>
          <w:rFonts w:hint="eastAsia" w:ascii="宋体" w:hAnsi="宋体"/>
          <w:bCs/>
          <w:sz w:val="18"/>
          <w:szCs w:val="18"/>
        </w:rPr>
        <w:t>产品管理人遵循真实性、准确性、完整性和及时性原则进行信息披露。</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hint="eastAsia" w:ascii="宋体" w:hAnsi="宋体"/>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hint="eastAsia" w:ascii="黑体" w:hAnsi="黑体" w:eastAsia="黑体"/>
          <w:bCs/>
          <w:sz w:val="18"/>
          <w:szCs w:val="18"/>
        </w:rPr>
        <w:t>2.★产品管理人通过产品管理人或销售机构的信息披露渠道发布理财产品有关信息，即视为已适当履行其信息披露义务。如产品管理人认为需要直接联系投资者的，将依据本说明书投资者信息中投资者预留的信息进行通知。因投资者原因而导致该等通知失败的，产品管理人不承担相应责任。</w:t>
      </w:r>
    </w:p>
    <w:p>
      <w:pPr>
        <w:spacing w:line="360" w:lineRule="auto"/>
        <w:ind w:firstLine="360"/>
        <w:rPr>
          <w:rFonts w:ascii="宋体" w:hAnsi="宋体"/>
          <w:bCs/>
          <w:sz w:val="18"/>
          <w:szCs w:val="18"/>
        </w:rPr>
      </w:pPr>
      <w:r>
        <w:rPr>
          <w:rFonts w:hint="eastAsia" w:ascii="宋体" w:hAnsi="宋体"/>
          <w:bCs/>
          <w:sz w:val="18"/>
          <w:szCs w:val="18"/>
        </w:rPr>
        <w:t>3.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hint="eastAsia" w:ascii="宋体" w:hAnsi="宋体"/>
          <w:bCs/>
          <w:sz w:val="18"/>
          <w:szCs w:val="18"/>
        </w:rPr>
        <w:t>4.在保障投资者知情权的前提下，产品管理人保留变更信息披露渠道的权利。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hint="eastAsia"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本产品成立后5个工作日内，产品管理人将发布产品成立公告。</w:t>
      </w:r>
    </w:p>
    <w:p>
      <w:pPr>
        <w:spacing w:line="360" w:lineRule="auto"/>
        <w:ind w:firstLine="360"/>
        <w:rPr>
          <w:rFonts w:ascii="宋体" w:hAnsi="宋体"/>
          <w:bCs/>
          <w:sz w:val="18"/>
          <w:szCs w:val="18"/>
        </w:rPr>
      </w:pPr>
      <w:r>
        <w:rPr>
          <w:rFonts w:hint="eastAsia" w:ascii="宋体" w:hAnsi="宋体"/>
          <w:bCs/>
          <w:sz w:val="18"/>
          <w:szCs w:val="18"/>
        </w:rPr>
        <w:t>2.重大事项公告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在发生可能对理财产品投资者或者理财产品收益产生重大影响的事件后2个工作日内发布重大事项公告。</w:t>
      </w:r>
    </w:p>
    <w:p>
      <w:pPr>
        <w:spacing w:line="360" w:lineRule="auto"/>
        <w:ind w:firstLine="360"/>
        <w:rPr>
          <w:rFonts w:ascii="宋体" w:hAnsi="宋体"/>
          <w:bCs/>
          <w:sz w:val="18"/>
          <w:szCs w:val="18"/>
        </w:rPr>
      </w:pPr>
      <w:r>
        <w:rPr>
          <w:rFonts w:hint="eastAsia"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hint="eastAsia"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如果产品管理人主动提前终止本产品，产品管理人将提前2个工作日进行公告。本产品终止后5个工作日内，产品管理人发布产品到期公告。</w:t>
      </w:r>
    </w:p>
    <w:p>
      <w:pPr>
        <w:spacing w:line="360" w:lineRule="auto"/>
        <w:ind w:firstLine="360"/>
        <w:rPr>
          <w:rFonts w:ascii="宋体" w:hAnsi="宋体"/>
          <w:bCs/>
          <w:sz w:val="18"/>
          <w:szCs w:val="18"/>
        </w:rPr>
      </w:pPr>
      <w:r>
        <w:rPr>
          <w:rFonts w:hint="eastAsia" w:ascii="宋体" w:hAnsi="宋体"/>
          <w:bCs/>
          <w:sz w:val="18"/>
          <w:szCs w:val="18"/>
        </w:rPr>
        <w:t>5.估值日公告</w:t>
      </w:r>
    </w:p>
    <w:p>
      <w:pPr>
        <w:spacing w:line="360" w:lineRule="auto"/>
        <w:ind w:firstLine="360"/>
        <w:rPr>
          <w:rFonts w:ascii="宋体" w:hAnsi="宋体"/>
          <w:bCs/>
          <w:sz w:val="18"/>
          <w:szCs w:val="18"/>
        </w:rPr>
      </w:pPr>
      <w:permStart w:id="3" w:edGrp="everyone"/>
      <w:r>
        <w:rPr>
          <w:rFonts w:hint="eastAsia" w:ascii="宋体" w:hAnsi="宋体"/>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3"/>
    <w:p>
      <w:pPr>
        <w:spacing w:line="360" w:lineRule="auto"/>
        <w:ind w:firstLine="360"/>
        <w:rPr>
          <w:rFonts w:ascii="宋体" w:hAnsi="宋体"/>
          <w:bCs/>
          <w:sz w:val="18"/>
          <w:szCs w:val="18"/>
        </w:rPr>
      </w:pPr>
      <w:r>
        <w:rPr>
          <w:rFonts w:hint="eastAsia"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pPr>
        <w:spacing w:line="360" w:lineRule="auto"/>
        <w:ind w:firstLine="360" w:firstLineChars="200"/>
        <w:rPr>
          <w:rFonts w:ascii="宋体" w:hAnsi="宋体"/>
          <w:bCs/>
          <w:sz w:val="18"/>
          <w:szCs w:val="18"/>
        </w:rPr>
      </w:pPr>
      <w:r>
        <w:rPr>
          <w:rFonts w:hint="eastAsia"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拒绝或暂停接受投资者认购申请、暂停理财产品估值等情形时，</w:t>
      </w:r>
      <w:r>
        <w:rPr>
          <w:rFonts w:hint="eastAsia" w:ascii="宋体" w:hAnsi="宋体"/>
          <w:sz w:val="18"/>
          <w:szCs w:val="18"/>
        </w:rPr>
        <w:t>产品管理人</w:t>
      </w:r>
      <w:r>
        <w:rPr>
          <w:rFonts w:hint="eastAsia" w:ascii="宋体" w:hAnsi="宋体"/>
          <w:bCs/>
          <w:sz w:val="18"/>
          <w:szCs w:val="18"/>
        </w:rPr>
        <w:t>将于3个交易日内告知投资者，并说明运用相关措施的原因和拟采取的应对安排等。在发生涉及产品认购事项调整时，管理人将发布临时公告。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pPr>
        <w:spacing w:line="360" w:lineRule="auto"/>
        <w:ind w:firstLine="360"/>
        <w:rPr>
          <w:rFonts w:ascii="宋体" w:hAnsi="宋体"/>
          <w:bCs/>
          <w:sz w:val="18"/>
          <w:szCs w:val="18"/>
        </w:rPr>
      </w:pPr>
      <w:r>
        <w:rPr>
          <w:rFonts w:hint="eastAsia"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88747131"/>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bCs/>
          <w:sz w:val="18"/>
          <w:szCs w:val="18"/>
        </w:rPr>
      </w:pPr>
      <w:r>
        <w:rPr>
          <w:rFonts w:hint="eastAsia" w:ascii="宋体" w:hAnsi="宋体"/>
          <w:bCs/>
          <w:sz w:val="18"/>
          <w:szCs w:val="18"/>
        </w:rPr>
        <w:t>1.拟投资市场和资产的风险：</w:t>
      </w:r>
    </w:p>
    <w:p>
      <w:pPr>
        <w:spacing w:line="360" w:lineRule="auto"/>
        <w:ind w:firstLine="360" w:firstLineChars="200"/>
        <w:rPr>
          <w:rFonts w:ascii="宋体" w:hAnsi="宋体"/>
          <w:bCs/>
          <w:sz w:val="18"/>
          <w:szCs w:val="18"/>
        </w:rPr>
      </w:pPr>
      <w:r>
        <w:rPr>
          <w:rFonts w:hint="eastAsia" w:ascii="宋体" w:hAnsi="宋体"/>
          <w:bCs/>
          <w:sz w:val="18"/>
          <w:szCs w:val="18"/>
        </w:rPr>
        <w:t>（1）投资债权类资产的风险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1）投资标准化债权类资产的风险</w:t>
      </w:r>
    </w:p>
    <w:p>
      <w:pPr>
        <w:spacing w:line="360" w:lineRule="auto"/>
        <w:ind w:firstLine="360" w:firstLineChars="20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spacing w:line="360" w:lineRule="auto"/>
        <w:ind w:firstLine="361" w:firstLineChars="200"/>
        <w:rPr>
          <w:rFonts w:ascii="宋体" w:hAnsi="宋体"/>
          <w:b/>
          <w:sz w:val="18"/>
          <w:szCs w:val="18"/>
        </w:rPr>
      </w:pPr>
      <w:r>
        <w:rPr>
          <w:rFonts w:hint="eastAsia" w:ascii="宋体" w:hAnsi="宋体"/>
          <w:b/>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ascii="宋体" w:hAnsi="宋体"/>
          <w:sz w:val="18"/>
          <w:szCs w:val="18"/>
        </w:rPr>
        <w:t>3</w:t>
      </w:r>
      <w:r>
        <w:rPr>
          <w:rFonts w:hint="eastAsia" w:ascii="宋体" w:hAnsi="宋体"/>
          <w:sz w:val="18"/>
          <w:szCs w:val="18"/>
        </w:rPr>
        <w:t>.市场</w:t>
      </w:r>
      <w:r>
        <w:rPr>
          <w:rFonts w:ascii="宋体" w:hAnsi="宋体"/>
          <w:sz w:val="18"/>
          <w:szCs w:val="18"/>
        </w:rPr>
        <w:t>风险：</w:t>
      </w: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w:t>
      </w:r>
      <w:r>
        <w:rPr>
          <w:rFonts w:ascii="宋体" w:hAnsi="宋体"/>
          <w:sz w:val="18"/>
          <w:szCs w:val="18"/>
        </w:rPr>
        <w:t>流动性风险：</w:t>
      </w: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 ★信息传递风险：</w:t>
      </w:r>
      <w:r>
        <w:rPr>
          <w:rFonts w:hint="eastAsia" w:ascii="黑体" w:hAnsi="黑体" w:eastAsia="黑体"/>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bCs/>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5.★</w:t>
      </w:r>
      <w:r>
        <w:rPr>
          <w:rFonts w:hint="eastAsia" w:ascii="黑体" w:hAnsi="黑体" w:eastAsia="黑体"/>
          <w:sz w:val="18"/>
          <w:szCs w:val="18"/>
        </w:rPr>
        <w:t>代销风险：本理财产品若通过非产品管理人自有渠道进行销售的属于代理销售，认购</w:t>
      </w:r>
      <w:r>
        <w:rPr>
          <w:rFonts w:ascii="黑体" w:hAnsi="黑体" w:eastAsia="黑体"/>
          <w:sz w:val="18"/>
          <w:szCs w:val="18"/>
        </w:rPr>
        <w:t>/</w:t>
      </w:r>
      <w:r>
        <w:rPr>
          <w:rFonts w:hint="eastAsia" w:ascii="黑体" w:hAnsi="黑体" w:eastAsia="黑体"/>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hAnsi="黑体" w:eastAsia="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hint="eastAsia" w:ascii="黑体" w:hAnsi="黑体" w:eastAsia="黑体"/>
          <w:sz w:val="18"/>
          <w:szCs w:val="18"/>
        </w:rPr>
        <w:t>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ascii="黑体" w:hAnsi="黑体" w:eastAsia="黑体"/>
          <w:sz w:val="18"/>
          <w:szCs w:val="18"/>
        </w:rPr>
      </w:pPr>
      <w:r>
        <w:rPr>
          <w:rFonts w:hint="eastAsia" w:ascii="黑体" w:hAnsi="黑体" w:eastAsia="黑体"/>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spacing w:line="360" w:lineRule="auto"/>
        <w:ind w:firstLine="360" w:firstLineChars="200"/>
        <w:rPr>
          <w:rFonts w:ascii="宋体" w:hAnsi="宋体"/>
          <w:sz w:val="18"/>
          <w:szCs w:val="18"/>
        </w:rPr>
      </w:pPr>
    </w:p>
    <w:p>
      <w:pPr>
        <w:pStyle w:val="34"/>
        <w:spacing w:line="360" w:lineRule="auto"/>
        <w:rPr>
          <w:rFonts w:hAnsi="宋体"/>
          <w:sz w:val="18"/>
          <w:szCs w:val="18"/>
        </w:rPr>
      </w:pPr>
      <w:r>
        <w:rPr>
          <w:rFonts w:hAnsi="宋体"/>
          <w:sz w:val="18"/>
          <w:szCs w:val="18"/>
        </w:rPr>
        <w:br w:type="page"/>
      </w: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2"/>
        <w:gridCol w:w="76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522" w:type="dxa"/>
            <w:gridSpan w:val="2"/>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360" w:lineRule="auto"/>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82" w:type="dxa"/>
          </w:tcPr>
          <w:p>
            <w:pPr>
              <w:spacing w:line="360" w:lineRule="auto"/>
              <w:rPr>
                <w:b/>
                <w:sz w:val="18"/>
                <w:szCs w:val="18"/>
              </w:rPr>
            </w:pPr>
            <w:r>
              <w:rPr>
                <w:rFonts w:hint="eastAsia"/>
                <w:b/>
                <w:sz w:val="18"/>
                <w:szCs w:val="18"/>
              </w:rPr>
              <w:t>个人投资者适用</w:t>
            </w:r>
          </w:p>
        </w:tc>
        <w:tc>
          <w:tcPr>
            <w:tcW w:w="7640" w:type="dxa"/>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82" w:type="dxa"/>
          </w:tcPr>
          <w:p>
            <w:pPr>
              <w:spacing w:line="360" w:lineRule="auto"/>
              <w:rPr>
                <w:b/>
                <w:sz w:val="18"/>
                <w:szCs w:val="18"/>
              </w:rPr>
            </w:pPr>
            <w:r>
              <w:rPr>
                <w:rFonts w:hint="eastAsia"/>
                <w:b/>
                <w:sz w:val="18"/>
                <w:szCs w:val="18"/>
              </w:rPr>
              <w:t>机构投资者适用</w:t>
            </w:r>
          </w:p>
        </w:tc>
        <w:tc>
          <w:tcPr>
            <w:tcW w:w="7640" w:type="dxa"/>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ind w:firstLine="361" w:firstLineChars="200"/>
        <w:rPr>
          <w:rFonts w:ascii="黑体" w:hAnsi="黑体" w:eastAsia="黑体"/>
          <w:sz w:val="18"/>
          <w:szCs w:val="18"/>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pacing w:line="360" w:lineRule="auto"/>
        <w:ind w:firstLine="360" w:firstLineChars="200"/>
        <w:rPr>
          <w:rFonts w:ascii="宋体" w:hAnsi="宋体"/>
          <w:sz w:val="18"/>
          <w:szCs w:val="18"/>
        </w:rPr>
      </w:pPr>
    </w:p>
    <w:p>
      <w:pPr>
        <w:pStyle w:val="34"/>
        <w:spacing w:line="360" w:lineRule="auto"/>
        <w:rPr>
          <w:rFonts w:hAnsi="宋体"/>
          <w:sz w:val="18"/>
          <w:szCs w:val="18"/>
        </w:rPr>
      </w:pPr>
    </w:p>
    <w:sectPr>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2"/>
      </w:pBdr>
      <w:tabs>
        <w:tab w:val="right" w:pos="8280"/>
      </w:tabs>
      <w:wordWrap w:val="0"/>
      <w:adjustRightInd w:val="0"/>
      <w:jc w:val="right"/>
      <w:rPr>
        <w:b/>
      </w:rPr>
    </w:pPr>
    <w:r>
      <w:rPr>
        <w:rFonts w:hint="eastAsia"/>
      </w:rPr>
      <w:t xml:space="preserve"> </w:t>
    </w:r>
    <w:r>
      <w:rPr>
        <w:rFonts w:hint="eastAsia"/>
        <w:b/>
      </w:rPr>
      <w:t>产品说明书</w:t>
    </w:r>
  </w:p>
  <w:p>
    <w:pPr>
      <w:pStyle w:val="15"/>
      <w:pBdr>
        <w:bottom w:val="thickThinLargeGap" w:color="auto" w:sz="24" w:space="12"/>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37846"/>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3847"/>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590"/>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DA21ACB"/>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27E42CD"/>
    <w:rsid w:val="26F50BA9"/>
    <w:rsid w:val="29026D00"/>
    <w:rsid w:val="29E93D2D"/>
    <w:rsid w:val="2E7428A1"/>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62521D4"/>
    <w:rsid w:val="68C7223A"/>
    <w:rsid w:val="68EF6886"/>
    <w:rsid w:val="6AAF5AEF"/>
    <w:rsid w:val="6AB15689"/>
    <w:rsid w:val="6DFD607C"/>
    <w:rsid w:val="6FDD1093"/>
    <w:rsid w:val="709C0126"/>
    <w:rsid w:val="733E098F"/>
    <w:rsid w:val="76022652"/>
    <w:rsid w:val="76110058"/>
    <w:rsid w:val="768501BE"/>
    <w:rsid w:val="76C8601E"/>
    <w:rsid w:val="7D80556D"/>
    <w:rsid w:val="7ECB1052"/>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85">
    <w:name w:val="修订4"/>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06CD169-7F5C-4082-81B2-6ECAA9AF6149}">
  <ds:schemaRefs/>
</ds:datastoreItem>
</file>

<file path=customXml/itemProps11.xml><?xml version="1.0" encoding="utf-8"?>
<ds:datastoreItem xmlns:ds="http://schemas.openxmlformats.org/officeDocument/2006/customXml" ds:itemID="{BEEE0313-55EB-45FA-BBBD-C0232D367255}">
  <ds:schemaRefs/>
</ds:datastoreItem>
</file>

<file path=customXml/itemProps12.xml><?xml version="1.0" encoding="utf-8"?>
<ds:datastoreItem xmlns:ds="http://schemas.openxmlformats.org/officeDocument/2006/customXml" ds:itemID="{E6D3D55C-3DD8-4C31-8069-E5508DD844FB}">
  <ds:schemaRefs/>
</ds:datastoreItem>
</file>

<file path=customXml/itemProps13.xml><?xml version="1.0" encoding="utf-8"?>
<ds:datastoreItem xmlns:ds="http://schemas.openxmlformats.org/officeDocument/2006/customXml" ds:itemID="{509BA638-9D3A-4AA3-A169-FF78BC0E4BE9}">
  <ds:schemaRefs/>
</ds:datastoreItem>
</file>

<file path=customXml/itemProps14.xml><?xml version="1.0" encoding="utf-8"?>
<ds:datastoreItem xmlns:ds="http://schemas.openxmlformats.org/officeDocument/2006/customXml" ds:itemID="{1A3BDF38-4832-4575-A8AB-7A1679738229}">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7E5C9D84-6DB6-48FB-8632-D5279FC233C8}">
  <ds:schemaRefs/>
</ds:datastoreItem>
</file>

<file path=customXml/itemProps17.xml><?xml version="1.0" encoding="utf-8"?>
<ds:datastoreItem xmlns:ds="http://schemas.openxmlformats.org/officeDocument/2006/customXml" ds:itemID="{0A7AA9EF-3B8C-4BAA-9155-A6E3E5337D3C}">
  <ds:schemaRefs/>
</ds:datastoreItem>
</file>

<file path=customXml/itemProps18.xml><?xml version="1.0" encoding="utf-8"?>
<ds:datastoreItem xmlns:ds="http://schemas.openxmlformats.org/officeDocument/2006/customXml" ds:itemID="{EC45DDBE-A426-47CA-BC62-D025DE29F1BC}">
  <ds:schemaRefs/>
</ds:datastoreItem>
</file>

<file path=customXml/itemProps2.xml><?xml version="1.0" encoding="utf-8"?>
<ds:datastoreItem xmlns:ds="http://schemas.openxmlformats.org/officeDocument/2006/customXml" ds:itemID="{2108FF18-8EC8-4170-A536-1AA8E39CC797}">
  <ds:schemaRefs/>
</ds:datastoreItem>
</file>

<file path=customXml/itemProps3.xml><?xml version="1.0" encoding="utf-8"?>
<ds:datastoreItem xmlns:ds="http://schemas.openxmlformats.org/officeDocument/2006/customXml" ds:itemID="{79B37214-9E52-4241-8DD2-9E9CD9442006}">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9114D43D-ED98-4C7B-A3AE-26D78B80CA82}">
  <ds:schemaRefs/>
</ds:datastoreItem>
</file>

<file path=customXml/itemProps6.xml><?xml version="1.0" encoding="utf-8"?>
<ds:datastoreItem xmlns:ds="http://schemas.openxmlformats.org/officeDocument/2006/customXml" ds:itemID="{1990A2D8-324F-45D5-B9CD-07245ED2860B}">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CF487381-D648-48A1-B1E4-A4540B0D3650}">
  <ds:schemaRefs/>
</ds:datastoreItem>
</file>

<file path=customXml/itemProps9.xml><?xml version="1.0" encoding="utf-8"?>
<ds:datastoreItem xmlns:ds="http://schemas.openxmlformats.org/officeDocument/2006/customXml" ds:itemID="{F35D2BA6-062C-4A9D-BA22-F757120DDC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3582</Words>
  <Characters>20423</Characters>
  <Lines>170</Lines>
  <Paragraphs>47</Paragraphs>
  <TotalTime>4</TotalTime>
  <ScaleCrop>false</ScaleCrop>
  <LinksUpToDate>false</LinksUpToDate>
  <CharactersWithSpaces>23958</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2021-09-06T06:01:00Z</dcterms:created>
  <dc:creator>张淼雯</dc:creator>
  <cp:lastModifiedBy>熊征斯</cp:lastModifiedBy>
  <cp:lastPrinted>2020-09-21T06:35:00Z</cp:lastPrinted>
  <dcterms:modified xsi:type="dcterms:W3CDTF">2023-09-12T03:35:38Z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