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left="-821" w:leftChars="-342" w:right="-792" w:rightChars="-330"/>
        <w:jc w:val="center"/>
        <w:rPr>
          <w:rFonts w:ascii="黑体" w:hAnsi="楷体_GB2312" w:eastAsia="黑体" w:cs="黑体"/>
          <w:b/>
          <w:bCs/>
        </w:rPr>
      </w:pPr>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2" w:firstLineChars="200"/>
        <w:jc w:val="both"/>
        <w:rPr>
          <w:b/>
        </w:rPr>
      </w:pPr>
      <w:r>
        <w:rPr>
          <w:rFonts w:hint="eastAsia" w:ascii="楷体_GB2312" w:hAnsi="Arial" w:eastAsia="楷体_GB2312" w:cs="楷体_GB2312"/>
          <w:b/>
        </w:rPr>
        <w:t>理财资金管理运用过程中，可能会面临多种风险因素，包括但不限于信用风险、市场风险、流动性风险、提前终止风险、政策风险、信息传递风险、管理风险、延期清算风险、理财</w:t>
      </w:r>
      <w:r>
        <w:rPr>
          <w:rFonts w:ascii="楷体_GB2312" w:hAnsi="Arial" w:eastAsia="楷体_GB2312" w:cs="楷体_GB2312"/>
          <w:b/>
        </w:rPr>
        <w:t>产品不成立风险、</w:t>
      </w:r>
      <w:r>
        <w:rPr>
          <w:rFonts w:hint="eastAsia" w:ascii="楷体_GB2312" w:hAnsi="Arial" w:eastAsia="楷体_GB2312" w:cs="楷体_GB2312"/>
          <w:b/>
        </w:rPr>
        <w:t>不可抗力及意外</w:t>
      </w:r>
      <w:r>
        <w:rPr>
          <w:rFonts w:ascii="楷体_GB2312" w:hAnsi="Arial" w:eastAsia="楷体_GB2312" w:cs="楷体_GB2312"/>
          <w:b/>
        </w:rPr>
        <w:t>事件</w:t>
      </w:r>
      <w:r>
        <w:rPr>
          <w:rFonts w:hint="eastAsia" w:ascii="楷体_GB2312" w:hAnsi="Arial" w:eastAsia="楷体_GB2312" w:cs="楷体_GB2312"/>
          <w:b/>
        </w:rPr>
        <w:t>风险、</w:t>
      </w:r>
      <w:r>
        <w:rPr>
          <w:rFonts w:ascii="楷体_GB2312" w:hAnsi="Arial" w:eastAsia="楷体_GB2312" w:cs="楷体_GB2312"/>
          <w:b/>
        </w:rPr>
        <w:t>关联交易风险</w:t>
      </w:r>
      <w:r>
        <w:rPr>
          <w:rFonts w:hint="eastAsia" w:ascii="楷体_GB2312" w:hAnsi="Arial" w:eastAsia="楷体_GB2312" w:cs="楷体_GB2312"/>
          <w:b/>
        </w:rPr>
        <w:t>、</w:t>
      </w:r>
      <w:r>
        <w:rPr>
          <w:rFonts w:ascii="楷体_GB2312" w:hAnsi="Arial" w:eastAsia="楷体_GB2312" w:cs="楷体_GB2312"/>
          <w:b/>
        </w:rPr>
        <w:t>合作销售机构风险</w:t>
      </w:r>
      <w:r>
        <w:rPr>
          <w:rFonts w:hint="eastAsia" w:ascii="楷体_GB2312" w:hAnsi="Arial" w:eastAsia="楷体_GB2312" w:cs="楷体_GB2312"/>
          <w:b/>
        </w:rPr>
        <w:t>、</w:t>
      </w:r>
      <w:r>
        <w:rPr>
          <w:rFonts w:ascii="楷体_GB2312" w:hAnsi="Arial" w:eastAsia="楷体_GB2312" w:cs="楷体_GB2312"/>
          <w:b/>
        </w:rPr>
        <w:t>操作风险</w:t>
      </w:r>
      <w:r>
        <w:rPr>
          <w:rFonts w:hint="eastAsia" w:ascii="楷体_GB2312" w:hAnsi="Arial" w:eastAsia="楷体_GB2312" w:cs="楷体_GB2312"/>
          <w:b/>
        </w:rPr>
        <w:t>等风险。具体风险的含义，请您认真阅读本理财产品说明书中相应的风险揭示部分。</w:t>
      </w:r>
    </w:p>
    <w:p>
      <w:pPr>
        <w:spacing w:line="300" w:lineRule="exact"/>
        <w:ind w:firstLine="482" w:firstLineChars="200"/>
        <w:jc w:val="both"/>
      </w:pPr>
      <w:r>
        <w:rPr>
          <w:rFonts w:hint="eastAsia" w:ascii="楷体_GB2312" w:hAnsi="Arial" w:eastAsia="楷体_GB2312" w:cs="楷体_GB2312"/>
          <w:b/>
        </w:rPr>
        <w:t>由于相关风险因素可能导致您的本金及收益全部或部分损失，因此，在您选择购买本理财产品前，请仔细阅读理财产品销售文件，包括理财产品销售总协议、理财</w:t>
      </w:r>
      <w:r>
        <w:rPr>
          <w:rFonts w:ascii="楷体_GB2312" w:hAnsi="Arial" w:eastAsia="楷体_GB2312" w:cs="楷体_GB2312"/>
          <w:b/>
        </w:rPr>
        <w:t>产品</w:t>
      </w:r>
      <w:r>
        <w:rPr>
          <w:rFonts w:hint="eastAsia" w:ascii="楷体_GB2312" w:hAnsi="Arial" w:eastAsia="楷体_GB2312" w:cs="楷体_GB2312"/>
          <w:b/>
        </w:rPr>
        <w:t>投资协议书</w:t>
      </w:r>
      <w:r>
        <w:rPr>
          <w:rFonts w:ascii="楷体_GB2312" w:hAnsi="Arial" w:eastAsia="楷体_GB2312" w:cs="楷体_GB2312"/>
          <w:b/>
        </w:rPr>
        <w:t>、</w:t>
      </w:r>
      <w:r>
        <w:rPr>
          <w:rFonts w:hint="eastAsia" w:ascii="楷体_GB2312" w:hAnsi="Arial" w:eastAsia="楷体_GB2312" w:cs="楷体_GB2312"/>
          <w:b/>
        </w:rPr>
        <w:t>理财产品说明书、风险揭示书及客户权益须知等，了解本理财产品具体情况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【信银理财安盈象固收稳健丰收九个月封闭式3号理财产品</w:t>
      </w:r>
      <w:r>
        <w:rPr>
          <w:rFonts w:ascii="楷体_GB2312" w:hAnsi="楷体_GB2312" w:eastAsia="楷体_GB2312" w:cs="楷体_GB2312"/>
          <w:b/>
          <w:bCs/>
        </w:rPr>
        <w:t>】</w:t>
      </w:r>
      <w:r>
        <w:rPr>
          <w:rFonts w:hint="eastAsia" w:ascii="楷体_GB2312" w:hAnsi="Arial" w:eastAsia="楷体_GB2312" w:cs="楷体_GB2312"/>
        </w:rPr>
        <w:t>，产品代码为【</w:t>
      </w:r>
      <w:r>
        <w:rPr>
          <w:rFonts w:ascii="楷体_GB2312" w:hAnsi="Arial" w:eastAsia="楷体_GB2312" w:cs="楷体_GB2312"/>
        </w:rPr>
        <w:t>AF241605</w:t>
      </w:r>
      <w:r>
        <w:rPr>
          <w:rFonts w:hint="eastAsia" w:ascii="楷体_GB2312" w:hAnsi="Arial" w:eastAsia="楷体_GB2312" w:cs="楷体_GB2312"/>
        </w:rPr>
        <w:t>】，类型为【公募】、【固定收益类</w:t>
      </w:r>
      <w:r>
        <w:rPr>
          <w:rFonts w:ascii="楷体_GB2312" w:hAnsi="Arial" w:eastAsia="楷体_GB2312" w:cs="楷体_GB2312"/>
        </w:rPr>
        <w:t>】</w:t>
      </w:r>
      <w:r>
        <w:rPr>
          <w:rFonts w:hint="eastAsia" w:ascii="楷体_GB2312" w:hAnsi="Arial" w:eastAsia="楷体_GB2312" w:cs="楷体_GB2312"/>
        </w:rPr>
        <w:t>、【封闭式】产品，期限为【</w:t>
      </w:r>
      <w:r>
        <w:rPr>
          <w:rFonts w:ascii="楷体_GB2312" w:hAnsi="Arial" w:eastAsia="楷体_GB2312" w:cs="楷体_GB2312"/>
        </w:rPr>
        <w:t>281</w:t>
      </w:r>
      <w:r>
        <w:rPr>
          <w:rFonts w:hint="eastAsia" w:ascii="楷体_GB2312" w:hAnsi="Arial" w:eastAsia="楷体_GB2312" w:cs="楷体_GB2312"/>
        </w:rPr>
        <w:t>】</w:t>
      </w:r>
      <w:r>
        <w:rPr>
          <w:rFonts w:ascii="楷体_GB2312" w:hAnsi="Arial" w:eastAsia="楷体_GB2312" w:cs="楷体_GB2312"/>
        </w:rPr>
        <w:t>天</w:t>
      </w:r>
      <w:r>
        <w:rPr>
          <w:rFonts w:hint="eastAsia" w:ascii="楷体_GB2312" w:hAnsi="Arial" w:eastAsia="楷体_GB2312" w:cs="楷体_GB2312"/>
        </w:rPr>
        <w:t>，风险评级为【PR2】，适合购买客户为风险承受能力为 【稳健型】</w:t>
      </w:r>
      <w:r>
        <w:rPr>
          <w:rFonts w:ascii="楷体_GB2312" w:hAnsi="Arial" w:eastAsia="楷体_GB2312" w:cs="楷体_GB2312"/>
        </w:rPr>
        <w:t xml:space="preserve"> </w:t>
      </w:r>
      <w:r>
        <w:rPr>
          <w:rFonts w:hint="eastAsia" w:ascii="楷体_GB2312" w:hAnsi="Arial" w:eastAsia="楷体_GB2312" w:cs="楷体_GB2312"/>
        </w:rPr>
        <w:t>及以上的客户。</w:t>
      </w:r>
    </w:p>
    <w:p>
      <w:pPr>
        <w:spacing w:line="300" w:lineRule="exact"/>
        <w:ind w:firstLine="480" w:firstLineChars="200"/>
        <w:jc w:val="both"/>
        <w:rPr>
          <w:rFonts w:ascii="楷体_GB2312" w:hAnsi="Arial" w:eastAsia="楷体_GB2312"/>
        </w:rPr>
      </w:pPr>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ascii="楷体_GB2312" w:hAnsi="Arial" w:eastAsia="楷体_GB2312" w:cs="楷体_GB2312"/>
        </w:rPr>
        <w:t>信银理财</w:t>
      </w:r>
      <w:r>
        <w:rPr>
          <w:rFonts w:hint="eastAsia" w:ascii="楷体_GB2312" w:hAnsi="Arial" w:eastAsia="楷体_GB2312" w:cs="楷体_GB2312"/>
        </w:rPr>
        <w:t>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spacing w:line="300" w:lineRule="exact"/>
        <w:ind w:firstLine="480" w:firstLineChars="200"/>
        <w:jc w:val="both"/>
        <w:rPr>
          <w:rFonts w:ascii="楷体_GB2312" w:hAnsi="Arial" w:eastAsia="楷体_GB2312"/>
        </w:rPr>
      </w:pPr>
    </w:p>
    <w:p>
      <w:pPr>
        <w:spacing w:line="300" w:lineRule="exact"/>
        <w:ind w:firstLine="482" w:firstLineChars="200"/>
        <w:jc w:val="both"/>
        <w:rPr>
          <w:rFonts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jc w:val="both"/>
        <w:rPr>
          <w:rFonts w:ascii="楷体_GB2312" w:hAnsi="楷体_GB2312" w:eastAsia="楷体_GB2312" w:cs="楷体_GB2312"/>
          <w:b/>
          <w:bCs/>
        </w:rPr>
      </w:pPr>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ind w:firstLine="480" w:firstLineChars="200"/>
        <w:jc w:val="both"/>
        <w:rPr>
          <w:rFonts w:ascii="楷体_GB2312" w:eastAsia="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并认为该理财产品完全适合本人/本单位的投资目标、投资预期以及风险承受能力，本人/本单位自愿承担由此带来的一切后果。本人/本单位确认信银理财或</w:t>
      </w:r>
      <w:r>
        <w:rPr>
          <w:rFonts w:ascii="楷体_GB2312" w:hAnsi="Arial" w:eastAsia="楷体_GB2312" w:cs="楷体_GB2312"/>
        </w:rPr>
        <w:t>代销机构</w:t>
      </w:r>
      <w:r>
        <w:rPr>
          <w:rFonts w:hint="eastAsia" w:ascii="楷体_GB2312" w:hAnsi="Arial" w:eastAsia="楷体_GB2312" w:cs="楷体_GB2312"/>
        </w:rPr>
        <w:t>相关业务人员对于理财产品销售文件中限制或排除本人/本单位权利、增加或加重本人/本单位义务以及有关免除或减轻信银理财责任或信银理财单方面拥有某些权利的条款已向本人/本</w:t>
      </w:r>
      <w:r>
        <w:rPr>
          <w:rFonts w:ascii="楷体_GB2312" w:hAnsi="Arial" w:eastAsia="楷体_GB2312" w:cs="楷体_GB2312"/>
        </w:rPr>
        <w:t>单位</w:t>
      </w:r>
      <w:r>
        <w:rPr>
          <w:rFonts w:hint="eastAsia" w:ascii="楷体_GB2312" w:hAnsi="Arial" w:eastAsia="楷体_GB2312" w:cs="楷体_GB2312"/>
        </w:rPr>
        <w:t>予以说明，本人/本单位已完全理解并自愿接受。</w:t>
      </w:r>
      <w:r>
        <w:rPr>
          <w:rFonts w:ascii="楷体_GB2312" w:hAnsi="Arial" w:eastAsia="楷体_GB2312" w:cs="楷体_GB2312"/>
        </w:rPr>
        <w:t xml:space="preserve"> </w:t>
      </w:r>
    </w:p>
    <w:p>
      <w:pPr>
        <w:pStyle w:val="6"/>
        <w:ind w:firstLine="480" w:firstLineChars="0"/>
        <w:jc w:val="both"/>
        <w:rPr>
          <w:rFonts w:ascii="楷体_GB2312" w:eastAsia="楷体_GB2312"/>
        </w:rPr>
      </w:pPr>
    </w:p>
    <w:p>
      <w:pPr>
        <w:pStyle w:val="6"/>
        <w:ind w:firstLine="480" w:firstLineChars="0"/>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确认，将向本理财产品销售机构真实提供信息，自主作出认购等决定，独立对销售文件进行签字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6"/>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w:t>
      </w:r>
      <w:r>
        <w:rPr>
          <w:rFonts w:ascii="楷体_GB2312" w:hAnsi="Arial" w:eastAsia="楷体_GB2312" w:cs="楷体_GB2312"/>
        </w:rPr>
        <w:t>理财及代销机构</w:t>
      </w:r>
      <w:r>
        <w:rPr>
          <w:rFonts w:hint="eastAsia" w:ascii="楷体_GB2312" w:hAnsi="Arial" w:eastAsia="楷体_GB2312" w:cs="楷体_GB2312"/>
        </w:rPr>
        <w:t>的联系方式及投诉程序等内容。</w:t>
      </w:r>
    </w:p>
    <w:p>
      <w:pPr>
        <w:ind w:firstLine="480" w:firstLineChars="200"/>
        <w:jc w:val="both"/>
        <w:rPr>
          <w:rFonts w:ascii="楷体_GB2312" w:hAnsi="Arial" w:eastAsia="楷体_GB2312" w:cs="楷体_GB2312"/>
        </w:rPr>
      </w:pPr>
    </w:p>
    <w:p>
      <w:pPr>
        <w:ind w:firstLine="480" w:firstLineChars="200"/>
        <w:jc w:val="both"/>
      </w:pPr>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rPr>
          <w:rFonts w:ascii="楷体_GB2312" w:eastAsia="楷体_GB2312"/>
        </w:rPr>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本人/本单位风险承受能力评级为（由个人客户本人/机构客户授权经办人填写）：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本人/本单位已经阅读风险揭示，愿意承担投资风险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jc w:val="both"/>
        <w:rPr>
          <w:rFonts w:ascii="楷体_GB2312" w:eastAsia="楷体_GB2312"/>
        </w:rPr>
      </w:pPr>
    </w:p>
    <w:p>
      <w:pPr>
        <w:snapToGrid w:val="0"/>
        <w:rPr>
          <w:rFonts w:ascii="楷体_GB2312" w:eastAsia="楷体_GB2312"/>
        </w:rPr>
      </w:pPr>
      <w:r>
        <w:rPr>
          <w:rFonts w:ascii="楷体_GB2312" w:eastAsia="楷体_GB2312"/>
          <w:u w:val="single"/>
        </w:rPr>
        <w:t>                                 </w:t>
      </w:r>
    </w:p>
    <w:p>
      <w:pPr>
        <w:snapToGrid w:val="0"/>
        <w:ind w:right="440"/>
        <w:rPr>
          <w:rFonts w:ascii="黑体" w:hAnsi="Times New Roman" w:eastAsia="黑体" w:cs="Arial"/>
        </w:rPr>
      </w:pPr>
    </w:p>
    <w:p>
      <w:pPr>
        <w:snapToGrid w:val="0"/>
        <w:ind w:right="440"/>
        <w:rPr>
          <w:rFonts w:ascii="楷体_GB2312" w:eastAsia="楷体_GB2312" w:cs="楷体_GB2312"/>
        </w:rPr>
      </w:pPr>
      <w:r>
        <w:rPr>
          <w:rFonts w:hint="eastAsia" w:ascii="黑体" w:hAnsi="Times New Roman" w:eastAsia="黑体" w:cs="Arial"/>
        </w:rPr>
        <w:t>个人客户（签字）：             机构客户（盖章）：</w:t>
      </w:r>
    </w:p>
    <w:p>
      <w:pPr>
        <w:snapToGrid w:val="0"/>
        <w:ind w:left="-426" w:right="440"/>
        <w:rPr>
          <w:rFonts w:ascii="黑体" w:hAnsi="Times New Roman" w:eastAsia="黑体" w:cs="Arial"/>
        </w:rPr>
      </w:pPr>
      <w:r>
        <w:rPr>
          <w:rFonts w:hint="eastAsia" w:ascii="黑体" w:hAnsi="Times New Roman" w:eastAsia="黑体" w:cs="Arial"/>
        </w:rPr>
        <w:t xml:space="preserve">                               </w:t>
      </w:r>
    </w:p>
    <w:p>
      <w:pPr>
        <w:snapToGrid w:val="0"/>
        <w:ind w:left="-426" w:right="440" w:firstLine="720" w:firstLineChars="300"/>
        <w:rPr>
          <w:rFonts w:ascii="黑体" w:hAnsi="Times New Roman" w:eastAsia="黑体" w:cs="Arial"/>
        </w:rPr>
      </w:pPr>
    </w:p>
    <w:p>
      <w:pPr>
        <w:snapToGrid w:val="0"/>
        <w:ind w:left="-426" w:right="440" w:firstLine="4080" w:firstLineChars="17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rPr>
          <w:rFonts w:ascii="黑体" w:hAnsi="Times New Roman" w:eastAsia="黑体" w:cs="Arial"/>
        </w:rPr>
      </w:pPr>
      <w:r>
        <w:rPr>
          <w:rFonts w:hint="eastAsia" w:ascii="黑体" w:hAnsi="Times New Roman" w:eastAsia="黑体" w:cs="Arial"/>
        </w:rPr>
        <w:t>日期：年 月 日                 日期：年 月 日</w:t>
      </w:r>
    </w:p>
    <w:p>
      <w:pPr>
        <w:snapToGrid w:val="0"/>
        <w:ind w:right="440"/>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UzODBlYzJkY2RmZGI2MTUyODFlMDkwMGY3MmQifQ=="/>
  </w:docVars>
  <w:rsids>
    <w:rsidRoot w:val="1F2014A3"/>
    <w:rsid w:val="1B252DF9"/>
    <w:rsid w:val="1F2014A3"/>
    <w:rsid w:val="404C4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2023-08-14T10:30:00Z</dcterms:created>
  <dc:creator>陈晨</dc:creator>
  <cp:lastModifiedBy>子絮</cp:lastModifiedBy>
  <dcterms:modified xsi:type="dcterms:W3CDTF">2023-08-28T06:31:43Z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33F69C04292B4897B2BBF037F5734F2E_12</vt:lpwstr>
  </property>
</Properties>
</file>