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84" w:rightChars="35"/>
        <w:jc w:val="both"/>
      </w:pPr>
      <w:r>
        <w:rPr>
          <w:rFonts w:hint="eastAsia" w:ascii="黑体" w:eastAsia="黑体" w:cs="黑体"/>
          <w:b/>
          <w:bCs/>
        </w:rPr>
        <w:t>理财产品登记编码:</w:t>
      </w:r>
      <w:r>
        <w:t xml:space="preserve"> </w:t>
      </w:r>
      <w:r>
        <w:rPr>
          <w:rFonts w:hint="eastAsia"/>
        </w:rPr>
        <w:t>【</w:t>
      </w:r>
      <w:r>
        <w:t>Z7002623001451】</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w:t>
      </w:r>
      <w:bookmarkStart w:id="1" w:name="_GoBack"/>
      <w:bookmarkEnd w:id="1"/>
      <w:r>
        <w:rPr>
          <w:rFonts w:ascii="黑体" w:hAnsi="黑体" w:eastAsia="黑体"/>
          <w:sz w:val="21"/>
          <w:szCs w:val="21"/>
        </w:rPr>
        <w:t>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【信银理财安盈象固收稳健丰收九个月封闭式3号理财产品】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：【AF241605】</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0" w:type="auto"/>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80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ascii="Times New Roman" w:hAnsi="Times New Roman" w:eastAsia="楷体_GB2312" w:cs="楷体_GB2312"/>
          <w:sz w:val="20"/>
          <w:szCs w:val="20"/>
        </w:rPr>
        <w:t>本理财产品投资合作机构为</w:t>
      </w:r>
      <w:r>
        <w:rPr>
          <w:rFonts w:hint="eastAsia" w:ascii="Times New Roman" w:hAnsi="Times New Roman" w:eastAsia="楷体_GB2312" w:cs="楷体_GB2312"/>
          <w:sz w:val="20"/>
          <w:szCs w:val="20"/>
        </w:rPr>
        <w:t>【中信证券股份有限公司】，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0" w:type="auto"/>
            <w:vAlign w:val="center"/>
          </w:tcPr>
          <w:p>
            <w:pPr>
              <w:spacing w:line="300" w:lineRule="exact"/>
              <w:ind w:left="-2" w:leftChars="-1" w:right="36" w:rightChars="15"/>
            </w:pPr>
            <w:r>
              <w:rPr>
                <w:rFonts w:hint="eastAsia" w:ascii="楷体_GB2312" w:eastAsia="楷体_GB2312" w:cs="楷体_GB2312"/>
                <w:sz w:val="20"/>
                <w:szCs w:val="20"/>
              </w:rPr>
              <w:t>【信银理财安盈象固收稳健丰收九个月封闭式3号理财产品】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Z7002623001451】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AF241605】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0" w:type="auto"/>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代码【AF241605B】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3号（协作）</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0" w:type="auto"/>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30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5</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【9】</w:t>
            </w:r>
            <w:r>
              <w:rPr>
                <w:rFonts w:hint="eastAsia" w:ascii="楷体_GB2312" w:eastAsia="楷体_GB2312" w:cs="楷体_GB2312"/>
                <w:sz w:val="20"/>
                <w:szCs w:val="20"/>
              </w:rPr>
              <w:t>月</w:t>
            </w:r>
            <w:r>
              <w:rPr>
                <w:rFonts w:ascii="楷体_GB2312" w:eastAsia="楷体_GB2312" w:cs="楷体_GB2312"/>
                <w:sz w:val="20"/>
                <w:szCs w:val="20"/>
              </w:rPr>
              <w:t>【6】</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【12】</w:t>
            </w:r>
            <w:r>
              <w:rPr>
                <w:rFonts w:hint="eastAsia" w:ascii="楷体_GB2312" w:eastAsia="楷体_GB2312" w:cs="楷体_GB2312"/>
                <w:sz w:val="20"/>
                <w:szCs w:val="20"/>
              </w:rPr>
              <w:t>月</w:t>
            </w:r>
            <w:r>
              <w:rPr>
                <w:rFonts w:ascii="楷体_GB2312" w:eastAsia="楷体_GB2312" w:cs="楷体_GB2312"/>
                <w:sz w:val="20"/>
                <w:szCs w:val="20"/>
              </w:rPr>
              <w:t>【5】</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0" w:type="auto"/>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B类份额：【3.00%-4.00%】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业绩比较基准是本机构基于产品性质、投资策略、过往经验等因素对产品设定的投资目标，不是预期收益率，不代表产品的未来表现和实际收益，不构成对产品收益的承诺。</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本产品认购交易时间为【8：30-</w:t>
            </w:r>
            <w:r>
              <w:rPr>
                <w:rFonts w:ascii="楷体_GB2312" w:eastAsia="楷体_GB2312" w:cs="楷体_GB2312"/>
                <w:sz w:val="20"/>
                <w:szCs w:val="20"/>
              </w:rPr>
              <w:t>17</w:t>
            </w:r>
            <w:r>
              <w:rPr>
                <w:rFonts w:hint="eastAsia" w:ascii="楷体_GB2312" w:eastAsia="楷体_GB2312" w:cs="楷体_GB2312"/>
                <w:sz w:val="20"/>
                <w:szCs w:val="20"/>
              </w:rPr>
              <w:t>：0</w:t>
            </w:r>
            <w:r>
              <w:rPr>
                <w:rFonts w:ascii="楷体_GB2312" w:eastAsia="楷体_GB2312" w:cs="楷体_GB2312"/>
                <w:sz w:val="20"/>
                <w:szCs w:val="20"/>
              </w:rPr>
              <w:t>0</w:t>
            </w:r>
            <w:r>
              <w:rPr>
                <w:rFonts w:hint="eastAsia" w:ascii="楷体_GB2312" w:eastAsia="楷体_GB2312" w:cs="楷体_GB2312"/>
                <w:sz w:val="20"/>
                <w:szCs w:val="20"/>
              </w:rPr>
              <w:t>】（信银理财有权变更交易时间，且无需另行通知；如果投资者通过信银</w:t>
            </w:r>
            <w:r>
              <w:rPr>
                <w:rFonts w:ascii="楷体_GB2312" w:eastAsia="楷体_GB2312" w:cs="楷体_GB2312"/>
                <w:sz w:val="20"/>
                <w:szCs w:val="20"/>
              </w:rPr>
              <w:t>理财营业场所</w:t>
            </w:r>
            <w:r>
              <w:rPr>
                <w:rFonts w:hint="eastAsia" w:ascii="楷体_GB2312" w:eastAsia="楷体_GB2312" w:cs="楷体_GB2312"/>
                <w:sz w:val="20"/>
                <w:szCs w:val="20"/>
              </w:rPr>
              <w:t>购买，则交易时间以营业</w:t>
            </w:r>
            <w:r>
              <w:rPr>
                <w:rFonts w:ascii="楷体_GB2312" w:eastAsia="楷体_GB2312" w:cs="楷体_GB2312"/>
                <w:sz w:val="20"/>
                <w:szCs w:val="20"/>
              </w:rPr>
              <w:t>场所</w:t>
            </w:r>
            <w:r>
              <w:rPr>
                <w:rFonts w:hint="eastAsia" w:ascii="楷体_GB2312" w:eastAsia="楷体_GB2312" w:cs="楷体_GB2312"/>
                <w:sz w:val="20"/>
                <w:szCs w:val="20"/>
              </w:rPr>
              <w:t>营业时间和营业</w:t>
            </w:r>
            <w:r>
              <w:rPr>
                <w:rFonts w:ascii="楷体_GB2312" w:eastAsia="楷体_GB2312" w:cs="楷体_GB2312"/>
                <w:sz w:val="20"/>
                <w:szCs w:val="20"/>
              </w:rPr>
              <w:t>场所公布的交易时间</w:t>
            </w:r>
            <w:r>
              <w:rPr>
                <w:rFonts w:hint="eastAsia" w:ascii="楷体_GB2312" w:eastAsia="楷体_GB2312" w:cs="楷体_GB2312"/>
                <w:sz w:val="20"/>
                <w:szCs w:val="20"/>
              </w:rPr>
              <w:t>为准，且必须在【</w:t>
            </w:r>
            <w:r>
              <w:rPr>
                <w:rFonts w:ascii="楷体_GB2312" w:eastAsia="楷体_GB2312" w:cs="楷体_GB2312"/>
                <w:sz w:val="20"/>
                <w:szCs w:val="20"/>
              </w:rPr>
              <w:t>8：30-17：00</w:t>
            </w:r>
            <w:r>
              <w:rPr>
                <w:rFonts w:hint="eastAsia" w:ascii="楷体_GB2312" w:eastAsia="楷体_GB2312" w:cs="楷体_GB2312"/>
                <w:sz w:val="20"/>
                <w:szCs w:val="20"/>
              </w:rPr>
              <w:t>】内）；募集期内，信银理财在交易时间内受理投资者的认购申请。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通过代销机构购买理财产品的，</w:t>
            </w:r>
            <w:r>
              <w:rPr>
                <w:rFonts w:hint="eastAsia" w:ascii="楷体_GB2312" w:eastAsia="楷体_GB2312" w:cs="楷体_GB2312"/>
                <w:sz w:val="20"/>
                <w:szCs w:val="20"/>
              </w:rPr>
              <w:t>还应按照</w:t>
            </w:r>
            <w:r>
              <w:rPr>
                <w:rFonts w:ascii="楷体_GB2312" w:eastAsia="楷体_GB2312" w:cs="楷体_GB2312"/>
                <w:sz w:val="20"/>
                <w:szCs w:val="20"/>
              </w:rPr>
              <w:t>代销机构对于交易时间</w:t>
            </w:r>
            <w:r>
              <w:rPr>
                <w:rFonts w:hint="eastAsia" w:ascii="楷体_GB2312" w:eastAsia="楷体_GB2312" w:cs="楷体_GB2312"/>
                <w:sz w:val="20"/>
                <w:szCs w:val="20"/>
              </w:rPr>
              <w:t>以及</w:t>
            </w:r>
            <w:r>
              <w:rPr>
                <w:rFonts w:ascii="楷体_GB2312" w:eastAsia="楷体_GB2312" w:cs="楷体_GB2312"/>
                <w:sz w:val="20"/>
                <w:szCs w:val="20"/>
              </w:rPr>
              <w:t>交易申请的</w:t>
            </w:r>
            <w:r>
              <w:rPr>
                <w:rFonts w:hint="eastAsia" w:ascii="楷体_GB2312" w:eastAsia="楷体_GB2312" w:cs="楷体_GB2312"/>
                <w:sz w:val="20"/>
                <w:szCs w:val="20"/>
              </w:rPr>
              <w:t>相关</w:t>
            </w:r>
            <w:r>
              <w:rPr>
                <w:rFonts w:ascii="楷体_GB2312" w:eastAsia="楷体_GB2312" w:cs="楷体_GB2312"/>
                <w:sz w:val="20"/>
                <w:szCs w:val="20"/>
              </w:rPr>
              <w:t>规定</w:t>
            </w:r>
            <w:r>
              <w:rPr>
                <w:rFonts w:hint="eastAsia" w:ascii="楷体_GB2312" w:eastAsia="楷体_GB2312" w:cs="楷体_GB2312"/>
                <w:sz w:val="20"/>
                <w:szCs w:val="20"/>
              </w:rPr>
              <w:t>执行，</w:t>
            </w:r>
            <w:r>
              <w:rPr>
                <w:rFonts w:ascii="楷体_GB2312" w:eastAsia="楷体_GB2312" w:cs="楷体_GB2312"/>
                <w:sz w:val="20"/>
                <w:szCs w:val="20"/>
              </w:rPr>
              <w:t>但</w:t>
            </w:r>
            <w:r>
              <w:rPr>
                <w:rFonts w:hint="eastAsia" w:ascii="楷体_GB2312" w:eastAsia="楷体_GB2312" w:cs="楷体_GB2312"/>
                <w:sz w:val="20"/>
                <w:szCs w:val="20"/>
              </w:rPr>
              <w:t>认购</w:t>
            </w:r>
            <w:r>
              <w:rPr>
                <w:rFonts w:ascii="楷体_GB2312" w:eastAsia="楷体_GB2312" w:cs="楷体_GB2312"/>
                <w:sz w:val="20"/>
                <w:szCs w:val="20"/>
              </w:rPr>
              <w:t>交易时间</w:t>
            </w:r>
            <w:r>
              <w:rPr>
                <w:rFonts w:hint="eastAsia" w:ascii="楷体_GB2312" w:eastAsia="楷体_GB2312" w:cs="楷体_GB2312"/>
                <w:sz w:val="20"/>
                <w:szCs w:val="20"/>
              </w:rPr>
              <w:t>必须</w:t>
            </w:r>
            <w:r>
              <w:rPr>
                <w:rFonts w:ascii="楷体_GB2312" w:eastAsia="楷体_GB2312" w:cs="楷体_GB2312"/>
                <w:sz w:val="20"/>
                <w:szCs w:val="20"/>
              </w:rPr>
              <w:t>在</w:t>
            </w:r>
            <w:r>
              <w:rPr>
                <w:rFonts w:hint="eastAsia" w:ascii="楷体_GB2312" w:eastAsia="楷体_GB2312" w:cs="楷体_GB2312"/>
                <w:sz w:val="20"/>
                <w:szCs w:val="20"/>
              </w:rPr>
              <w:t>【</w:t>
            </w:r>
            <w:r>
              <w:rPr>
                <w:rFonts w:ascii="楷体_GB2312" w:eastAsia="楷体_GB2312" w:cs="楷体_GB2312"/>
                <w:sz w:val="20"/>
                <w:szCs w:val="20"/>
              </w:rPr>
              <w:t>8：30-17：00</w:t>
            </w:r>
            <w:r>
              <w:rPr>
                <w:rFonts w:hint="eastAsia" w:ascii="楷体_GB2312" w:eastAsia="楷体_GB2312" w:cs="楷体_GB2312"/>
                <w:sz w:val="20"/>
                <w:szCs w:val="20"/>
              </w:rPr>
              <w:t>】内</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【500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0" w:type="auto"/>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 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0" w:type="auto"/>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0" w:type="auto"/>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hint="eastAsia" w:ascii="楷体_GB2312" w:eastAsia="楷体_GB2312"/>
                <w:b/>
                <w:sz w:val="20"/>
                <w:szCs w:val="20"/>
              </w:rPr>
              <w:t>B类份额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销售服务费：B类份额费率【</w:t>
            </w:r>
            <w:r>
              <w:rPr>
                <w:rFonts w:ascii="楷体_GB2312" w:eastAsia="楷体_GB2312" w:cs="楷体_GB2312"/>
                <w:b/>
                <w:sz w:val="20"/>
                <w:szCs w:val="20"/>
              </w:rPr>
              <w:t>0.25%】/年。</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w:t>
            </w:r>
            <w:r>
              <w:rPr>
                <w:rFonts w:hint="eastAsia" w:ascii="楷体_GB2312" w:eastAsia="楷体_GB2312" w:cs="楷体_GB2312"/>
                <w:b/>
                <w:color w:val="000000" w:themeColor="text1"/>
                <w:sz w:val="20"/>
                <w:szCs w:val="20"/>
                <w14:textFill>
                  <w14:solidFill>
                    <w14:schemeClr w14:val="tx1"/>
                  </w14:solidFill>
                </w14:textFill>
              </w:rPr>
              <w:t>类份额不收取浮动管理费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0" w:type="auto"/>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B类份额（份额代码【AF241605</w:t>
            </w:r>
            <w:r>
              <w:rPr>
                <w:rFonts w:hint="eastAsia" w:ascii="楷体_GB2312" w:eastAsia="楷体_GB2312" w:cs="楷体_GB2312"/>
                <w:sz w:val="20"/>
                <w:szCs w:val="20"/>
              </w:rPr>
              <w:t>B</w:t>
            </w:r>
            <w:r>
              <w:rPr>
                <w:rFonts w:ascii="楷体_GB2312" w:eastAsia="楷体_GB2312" w:cs="楷体_GB2312"/>
                <w:sz w:val="20"/>
                <w:szCs w:val="20"/>
              </w:rPr>
              <w:t>】）</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21.</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w:t>
            </w:r>
            <w:r>
              <w:rPr>
                <w:rFonts w:ascii="楷体_GB2312" w:eastAsia="楷体_GB2312" w:cs="楷体_GB2312"/>
                <w:sz w:val="20"/>
                <w:szCs w:val="20"/>
              </w:rPr>
              <w:t>7088号】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0" w:type="auto"/>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2" w:firstLineChars="200"/>
        <w:jc w:val="both"/>
        <w:outlineLvl w:val="0"/>
        <w:rPr>
          <w:b/>
        </w:rPr>
      </w:pPr>
      <w:r>
        <w:rPr>
          <w:rFonts w:hint="eastAsia" w:ascii="黑体" w:hAnsi="Times New Roman" w:eastAsia="黑体" w:cs="黑体"/>
          <w:b/>
          <w:sz w:val="20"/>
          <w:szCs w:val="20"/>
        </w:rPr>
        <w:t>三、理财</w:t>
      </w:r>
      <w:r>
        <w:rPr>
          <w:rFonts w:ascii="黑体" w:hAnsi="Times New Roman" w:eastAsia="黑体" w:cs="黑体"/>
          <w:b/>
          <w:sz w:val="20"/>
          <w:szCs w:val="20"/>
        </w:rPr>
        <w:t>产品管理人</w:t>
      </w:r>
    </w:p>
    <w:p>
      <w:pPr>
        <w:spacing w:line="300" w:lineRule="exact"/>
        <w:ind w:left="-2" w:leftChars="-1"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sz w:val="20"/>
          <w:szCs w:val="20"/>
        </w:rPr>
        <w:t>在此授权并同意信银理财享有以下权利：</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b/>
          <w:sz w:val="20"/>
          <w:szCs w:val="20"/>
        </w:rPr>
        <w:t>1.</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的约定，管理、运用和处分理财资金；</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代表</w:t>
      </w:r>
      <w:r>
        <w:rPr>
          <w:rFonts w:ascii="Times New Roman" w:hAnsi="Times New Roman" w:eastAsia="楷体_GB2312" w:cs="楷体_GB2312"/>
          <w:b/>
          <w:sz w:val="20"/>
          <w:szCs w:val="20"/>
        </w:rPr>
        <w:t>理财产品</w:t>
      </w:r>
      <w:r>
        <w:rPr>
          <w:rFonts w:hint="eastAsia" w:ascii="Times New Roman" w:hAnsi="Times New Roman" w:eastAsia="楷体_GB2312" w:cs="楷体_GB2312"/>
          <w:b/>
          <w:sz w:val="20"/>
          <w:szCs w:val="20"/>
        </w:rPr>
        <w:t>签订投资和资产管理过程中涉及到的协议、合同等文本；</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3.</w:t>
      </w:r>
      <w:r>
        <w:rPr>
          <w:rFonts w:hint="eastAsia" w:ascii="Times New Roman" w:hAnsi="Times New Roman" w:eastAsia="楷体_GB2312"/>
          <w:b/>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b/>
          <w:sz w:val="20"/>
          <w:szCs w:val="20"/>
        </w:rPr>
        <w:t>/</w:t>
      </w:r>
      <w:r>
        <w:rPr>
          <w:rFonts w:hint="eastAsia" w:ascii="Times New Roman" w:hAnsi="Times New Roman" w:eastAsia="楷体_GB2312"/>
          <w:b/>
          <w:sz w:val="20"/>
          <w:szCs w:val="20"/>
        </w:rPr>
        <w:t>企业等各类投资对象行使出资人</w:t>
      </w:r>
      <w:r>
        <w:rPr>
          <w:rFonts w:ascii="Times New Roman" w:hAnsi="Times New Roman" w:eastAsia="楷体_GB2312"/>
          <w:b/>
          <w:sz w:val="20"/>
          <w:szCs w:val="20"/>
        </w:rPr>
        <w:t>/</w:t>
      </w:r>
      <w:r>
        <w:rPr>
          <w:rFonts w:hint="eastAsia" w:ascii="Times New Roman" w:hAnsi="Times New Roman" w:eastAsia="楷体_GB2312"/>
          <w:b/>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4.</w:t>
      </w:r>
      <w:r>
        <w:rPr>
          <w:rFonts w:hint="eastAsia" w:ascii="Times New Roman" w:hAnsi="Times New Roman" w:eastAsia="楷体_GB2312"/>
          <w:b/>
          <w:sz w:val="20"/>
          <w:szCs w:val="20"/>
        </w:rPr>
        <w:t>以理财产品</w:t>
      </w:r>
      <w:r>
        <w:rPr>
          <w:rFonts w:ascii="Times New Roman" w:hAnsi="Times New Roman" w:eastAsia="楷体_GB2312"/>
          <w:b/>
          <w:sz w:val="20"/>
          <w:szCs w:val="20"/>
        </w:rPr>
        <w:t>投资管理人的名义，依照法律法规相关规定以及代表理财</w:t>
      </w:r>
      <w:r>
        <w:rPr>
          <w:rFonts w:hint="eastAsia" w:ascii="Times New Roman" w:hAnsi="Times New Roman" w:eastAsia="楷体_GB2312"/>
          <w:b/>
          <w:sz w:val="20"/>
          <w:szCs w:val="20"/>
        </w:rPr>
        <w:t>产品投资者</w:t>
      </w:r>
      <w:r>
        <w:rPr>
          <w:rFonts w:ascii="Times New Roman" w:hAnsi="Times New Roman" w:eastAsia="楷体_GB2312"/>
          <w:b/>
          <w:sz w:val="20"/>
          <w:szCs w:val="20"/>
        </w:rPr>
        <w:t>的利益行使代为追索的权利</w:t>
      </w:r>
      <w:r>
        <w:rPr>
          <w:rFonts w:hint="eastAsia" w:ascii="Times New Roman" w:hAnsi="Times New Roman" w:eastAsia="楷体_GB2312"/>
          <w:b/>
          <w:sz w:val="20"/>
          <w:szCs w:val="20"/>
        </w:rPr>
        <w:t>（包括</w:t>
      </w:r>
      <w:r>
        <w:rPr>
          <w:rFonts w:ascii="Times New Roman" w:hAnsi="Times New Roman" w:eastAsia="楷体_GB2312"/>
          <w:b/>
          <w:sz w:val="20"/>
          <w:szCs w:val="20"/>
        </w:rPr>
        <w:t>但不限于提起诉讼</w:t>
      </w:r>
      <w:r>
        <w:rPr>
          <w:rFonts w:hint="eastAsia" w:ascii="Times New Roman" w:hAnsi="Times New Roman" w:eastAsia="楷体_GB2312"/>
          <w:b/>
          <w:sz w:val="20"/>
          <w:szCs w:val="20"/>
        </w:rPr>
        <w:t>/仲裁</w:t>
      </w:r>
      <w:r>
        <w:rPr>
          <w:rFonts w:ascii="Times New Roman" w:hAnsi="Times New Roman" w:eastAsia="楷体_GB2312"/>
          <w:b/>
          <w:sz w:val="20"/>
          <w:szCs w:val="20"/>
        </w:rPr>
        <w:t>、申请保全</w:t>
      </w:r>
      <w:r>
        <w:rPr>
          <w:rFonts w:hint="eastAsia" w:ascii="Times New Roman" w:hAnsi="Times New Roman" w:eastAsia="楷体_GB2312"/>
          <w:b/>
          <w:sz w:val="20"/>
          <w:szCs w:val="20"/>
        </w:rPr>
        <w:t>/执行</w:t>
      </w:r>
      <w:r>
        <w:rPr>
          <w:rFonts w:ascii="Times New Roman" w:hAnsi="Times New Roman" w:eastAsia="楷体_GB2312"/>
          <w:b/>
          <w:sz w:val="20"/>
          <w:szCs w:val="20"/>
        </w:rPr>
        <w:t>的权利）或者实施</w:t>
      </w:r>
      <w:r>
        <w:rPr>
          <w:rFonts w:hint="eastAsia" w:ascii="Times New Roman" w:hAnsi="Times New Roman" w:eastAsia="楷体_GB2312"/>
          <w:b/>
          <w:sz w:val="20"/>
          <w:szCs w:val="20"/>
        </w:rPr>
        <w:t>风险处置，行使、放弃、变更相关权利义务等其他</w:t>
      </w:r>
      <w:r>
        <w:rPr>
          <w:rFonts w:ascii="Times New Roman" w:hAnsi="Times New Roman" w:eastAsia="楷体_GB2312"/>
          <w:b/>
          <w:sz w:val="20"/>
          <w:szCs w:val="20"/>
        </w:rPr>
        <w:t>法律行为</w:t>
      </w:r>
      <w:r>
        <w:rPr>
          <w:rFonts w:hint="eastAsia" w:ascii="Times New Roman" w:hAnsi="Times New Roman" w:eastAsia="楷体_GB2312"/>
          <w:b/>
          <w:sz w:val="20"/>
          <w:szCs w:val="20"/>
        </w:rPr>
        <w:t>，</w:t>
      </w:r>
      <w:r>
        <w:rPr>
          <w:rFonts w:ascii="Times New Roman" w:hAnsi="Times New Roman" w:eastAsia="楷体_GB2312"/>
          <w:b/>
          <w:sz w:val="20"/>
          <w:szCs w:val="20"/>
        </w:rPr>
        <w:t>产生的合理费用由理财产品承担</w:t>
      </w:r>
      <w:r>
        <w:rPr>
          <w:rFonts w:hint="eastAsia" w:ascii="Times New Roman" w:hAnsi="Times New Roman" w:eastAsia="楷体_GB2312"/>
          <w:b/>
          <w:sz w:val="20"/>
          <w:szCs w:val="20"/>
        </w:rPr>
        <w:t>；</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5.</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的约定，及时、足额获得投资管理费和本产品说明书约定的其他费用（如有）；</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6.</w:t>
      </w:r>
      <w:r>
        <w:rPr>
          <w:rFonts w:hint="eastAsia" w:ascii="Times New Roman" w:hAnsi="Times New Roman" w:eastAsia="楷体_GB2312"/>
          <w:b/>
          <w:sz w:val="20"/>
          <w:szCs w:val="20"/>
        </w:rPr>
        <w:t>管理人以其固有财产先行垫付因处理本理财产品相关事务所支出的费用及税费的，对理财产品资金享有优先受偿的权利；</w:t>
      </w:r>
    </w:p>
    <w:p>
      <w:pPr>
        <w:spacing w:line="300" w:lineRule="exact"/>
        <w:ind w:firstLine="402" w:firstLineChars="200"/>
        <w:jc w:val="both"/>
        <w:rPr>
          <w:rFonts w:ascii="Times New Roman" w:hAnsi="Times New Roman" w:eastAsia="楷体_GB2312"/>
          <w:sz w:val="20"/>
          <w:szCs w:val="20"/>
        </w:rPr>
      </w:pPr>
      <w:r>
        <w:rPr>
          <w:rFonts w:ascii="Times New Roman" w:hAnsi="Times New Roman" w:eastAsia="楷体_GB2312"/>
          <w:b/>
          <w:sz w:val="20"/>
          <w:szCs w:val="20"/>
        </w:rPr>
        <w:t>7.</w:t>
      </w:r>
      <w:r>
        <w:rPr>
          <w:rFonts w:hint="eastAsia" w:ascii="Times New Roman" w:hAnsi="Times New Roman" w:eastAsia="楷体_GB2312"/>
          <w:b/>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hint="eastAsia" w:ascii="Times New Roman" w:hAnsi="Times New Roman" w:eastAsia="楷体_GB2312" w:cs="Times New Roman"/>
          <w:sz w:val="20"/>
          <w:szCs w:val="20"/>
        </w:rPr>
        <w:t>日</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hint="eastAsia"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B类份额费率【</w:t>
      </w:r>
      <w:r>
        <w:rPr>
          <w:rFonts w:ascii="楷体_GB2312" w:eastAsia="楷体_GB2312" w:cs="楷体_GB2312"/>
          <w:b/>
          <w:sz w:val="20"/>
          <w:szCs w:val="20"/>
        </w:rPr>
        <w:t>0.25%】/年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2" w:firstLineChars="200"/>
        <w:jc w:val="both"/>
        <w:rPr>
          <w:rFonts w:ascii="黑体" w:eastAsia="黑体" w:cs="黑体"/>
          <w:b/>
          <w:sz w:val="20"/>
          <w:szCs w:val="20"/>
        </w:rPr>
      </w:pPr>
      <w:r>
        <w:rPr>
          <w:rFonts w:hint="eastAsia" w:ascii="黑体" w:eastAsia="黑体" w:cs="黑体"/>
          <w:b/>
          <w:sz w:val="20"/>
          <w:szCs w:val="20"/>
        </w:rPr>
        <w:t>十四、保密</w:t>
      </w:r>
      <w:r>
        <w:rPr>
          <w:rFonts w:ascii="黑体" w:eastAsia="黑体" w:cs="黑体"/>
          <w:b/>
          <w:sz w:val="20"/>
          <w:szCs w:val="20"/>
        </w:rPr>
        <w:t>条款</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b/>
          <w:sz w:val="20"/>
          <w:szCs w:val="20"/>
        </w:rPr>
        <w:t>，或</w:t>
      </w:r>
      <w:r>
        <w:rPr>
          <w:rFonts w:hint="eastAsia" w:ascii="Times New Roman" w:hAnsi="Times New Roman" w:eastAsia="楷体_GB2312" w:cs="楷体_GB2312"/>
          <w:b/>
          <w:sz w:val="20"/>
          <w:szCs w:val="20"/>
        </w:rPr>
        <w:t>应监管机构及其他有权机关的要求，或与投资者另有约定外，不向第三方披露。</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）向与本次投资有关而需要获知以上信息并受保密协议约束的律师、会计师、顾问和咨询人员披露的；（</w:t>
      </w: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）根据适用的法律法规的要求，向有关政府部门、监管机构或者管理机构（包括证券交易所）披露的；（</w:t>
      </w:r>
      <w:r>
        <w:rPr>
          <w:rFonts w:ascii="Times New Roman" w:hAnsi="Times New Roman" w:eastAsia="楷体_GB2312" w:cs="楷体_GB2312"/>
          <w:b/>
          <w:sz w:val="20"/>
          <w:szCs w:val="20"/>
        </w:rPr>
        <w:t>3</w:t>
      </w:r>
      <w:r>
        <w:rPr>
          <w:rFonts w:hint="eastAsia" w:ascii="Times New Roman" w:hAnsi="Times New Roman" w:eastAsia="楷体_GB2312" w:cs="楷体_GB2312"/>
          <w:b/>
          <w:sz w:val="20"/>
          <w:szCs w:val="20"/>
        </w:rPr>
        <w:t>）本产品说明书另有约定的。前述保密义务不因本理财产品销售文件或相关协议的无效、被撤销、终止而受影响。</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2" w:firstLineChars="200"/>
        <w:jc w:val="both"/>
        <w:rPr>
          <w:rFonts w:ascii="楷体_GB2312" w:eastAsia="楷体_GB2312"/>
          <w:b/>
          <w:sz w:val="20"/>
          <w:szCs w:val="20"/>
        </w:rPr>
      </w:pPr>
      <w:r>
        <w:rPr>
          <w:rFonts w:hint="eastAsia" w:ascii="黑体" w:hAnsi="Times New Roman" w:eastAsia="黑体" w:cs="黑体"/>
          <w:b/>
          <w:sz w:val="20"/>
          <w:szCs w:val="20"/>
        </w:rPr>
        <w:t>十五、特别提示</w:t>
      </w:r>
    </w:p>
    <w:p>
      <w:pPr>
        <w:spacing w:line="300" w:lineRule="exact"/>
        <w:ind w:left="-2" w:leftChars="-1" w:firstLine="402" w:firstLineChars="200"/>
        <w:jc w:val="both"/>
        <w:rPr>
          <w:b/>
        </w:rPr>
      </w:pPr>
      <w:r>
        <w:rPr>
          <w:rFonts w:ascii="楷体_GB2312" w:eastAsia="楷体_GB2312" w:cs="楷体_GB2312"/>
          <w:b/>
          <w:sz w:val="20"/>
          <w:szCs w:val="20"/>
        </w:rPr>
        <w:t>1.</w:t>
      </w:r>
      <w:r>
        <w:rPr>
          <w:rFonts w:hint="eastAsia" w:ascii="楷体_GB2312" w:eastAsia="楷体_GB2312" w:cs="楷体_GB2312"/>
          <w:b/>
          <w:sz w:val="20"/>
          <w:szCs w:val="20"/>
        </w:rPr>
        <w:t>本产品面临的风险包括信用风险、市场风险、流动性风险、提前终止风险、政策风险、信息传递风险、管理风险、延期清算风险、产品</w:t>
      </w:r>
      <w:r>
        <w:rPr>
          <w:rFonts w:ascii="楷体_GB2312" w:eastAsia="楷体_GB2312" w:cs="楷体_GB2312"/>
          <w:b/>
          <w:sz w:val="20"/>
          <w:szCs w:val="20"/>
        </w:rPr>
        <w:t>不成立风险、</w:t>
      </w:r>
      <w:r>
        <w:rPr>
          <w:rFonts w:hint="eastAsia" w:ascii="楷体_GB2312" w:eastAsia="楷体_GB2312" w:cs="楷体_GB2312"/>
          <w:b/>
          <w:sz w:val="20"/>
          <w:szCs w:val="20"/>
        </w:rPr>
        <w:t>不可抗力及</w:t>
      </w:r>
      <w:r>
        <w:rPr>
          <w:rFonts w:ascii="楷体_GB2312" w:eastAsia="楷体_GB2312" w:cs="楷体_GB2312"/>
          <w:b/>
          <w:sz w:val="20"/>
          <w:szCs w:val="20"/>
        </w:rPr>
        <w:t>意外事件</w:t>
      </w:r>
      <w:r>
        <w:rPr>
          <w:rFonts w:hint="eastAsia" w:ascii="楷体_GB2312" w:eastAsia="楷体_GB2312" w:cs="楷体_GB2312"/>
          <w:b/>
          <w:sz w:val="20"/>
          <w:szCs w:val="20"/>
        </w:rPr>
        <w:t>风险、</w:t>
      </w:r>
      <w:r>
        <w:rPr>
          <w:rFonts w:ascii="楷体_GB2312" w:eastAsia="楷体_GB2312" w:cs="楷体_GB2312"/>
          <w:b/>
          <w:sz w:val="20"/>
          <w:szCs w:val="20"/>
        </w:rPr>
        <w:t>关联交易风险</w:t>
      </w:r>
      <w:r>
        <w:rPr>
          <w:rFonts w:hint="eastAsia" w:ascii="楷体_GB2312" w:eastAsia="楷体_GB2312" w:cs="楷体_GB2312"/>
          <w:b/>
          <w:sz w:val="20"/>
          <w:szCs w:val="20"/>
        </w:rPr>
        <w:t>、合作销售机构风险、</w:t>
      </w:r>
      <w:r>
        <w:rPr>
          <w:rFonts w:ascii="楷体_GB2312" w:eastAsia="楷体_GB2312" w:cs="楷体_GB2312"/>
          <w:b/>
          <w:sz w:val="20"/>
          <w:szCs w:val="20"/>
        </w:rPr>
        <w:t>操作风险</w:t>
      </w:r>
      <w:r>
        <w:rPr>
          <w:rFonts w:hint="eastAsia" w:ascii="楷体_GB2312" w:eastAsia="楷体_GB2312" w:cs="楷体_GB2312"/>
          <w:b/>
          <w:sz w:val="20"/>
          <w:szCs w:val="20"/>
        </w:rPr>
        <w:t>等风险，将可能导致投资者无法</w:t>
      </w:r>
      <w:r>
        <w:rPr>
          <w:rFonts w:ascii="楷体_GB2312" w:eastAsia="楷体_GB2312" w:cs="楷体_GB2312"/>
          <w:b/>
          <w:sz w:val="20"/>
          <w:szCs w:val="20"/>
        </w:rPr>
        <w:t>取得收益，甚至</w:t>
      </w:r>
      <w:r>
        <w:rPr>
          <w:rFonts w:hint="eastAsia" w:ascii="楷体_GB2312" w:eastAsia="楷体_GB2312" w:cs="楷体_GB2312"/>
          <w:b/>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b/>
          <w:sz w:val="20"/>
          <w:szCs w:val="20"/>
        </w:rPr>
        <w:t xml:space="preserve">  </w:t>
      </w:r>
    </w:p>
    <w:p>
      <w:pPr>
        <w:spacing w:line="300" w:lineRule="exact"/>
        <w:ind w:left="-2" w:leftChars="-1" w:firstLine="402" w:firstLineChars="200"/>
        <w:jc w:val="both"/>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3.</w:t>
      </w:r>
      <w:r>
        <w:rPr>
          <w:rFonts w:hint="eastAsia" w:ascii="楷体_GB2312" w:eastAsia="楷体_GB2312"/>
          <w:b/>
          <w:sz w:val="20"/>
          <w:szCs w:val="20"/>
        </w:rPr>
        <w:t>关于费用</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1）双方确认：本产品说明书约定的收费标准经双方协商确定，双方均认可该收费标准。</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r>
        <w:rPr>
          <w:rFonts w:ascii="楷体_GB2312" w:eastAsia="楷体_GB2312" w:cs="楷体_GB2312"/>
          <w:b/>
          <w:sz w:val="20"/>
          <w:szCs w:val="20"/>
        </w:rPr>
        <w:t>。</w:t>
      </w:r>
    </w:p>
    <w:p>
      <w:pPr>
        <w:spacing w:line="300" w:lineRule="exact"/>
        <w:ind w:left="-2" w:firstLine="402" w:firstLineChars="200"/>
        <w:jc w:val="both"/>
        <w:rPr>
          <w:rFonts w:ascii="楷体_GB2312" w:eastAsia="楷体_GB2312"/>
          <w:b/>
          <w:sz w:val="20"/>
          <w:szCs w:val="20"/>
        </w:rPr>
      </w:pPr>
      <w:r>
        <w:rPr>
          <w:rFonts w:ascii="楷体_GB2312" w:eastAsia="楷体_GB2312"/>
          <w:b/>
          <w:sz w:val="20"/>
          <w:szCs w:val="20"/>
        </w:rPr>
        <w:t>4.</w:t>
      </w:r>
      <w:r>
        <w:rPr>
          <w:rFonts w:hint="eastAsia" w:ascii="楷体_GB2312" w:eastAsia="楷体_GB2312"/>
          <w:b/>
          <w:sz w:val="20"/>
          <w:szCs w:val="20"/>
        </w:rPr>
        <w:t>咨询与投诉</w:t>
      </w:r>
      <w:r>
        <w:rPr>
          <w:rFonts w:ascii="楷体_GB2312" w:eastAsia="楷体_GB2312"/>
          <w:b/>
          <w:sz w:val="20"/>
          <w:szCs w:val="20"/>
        </w:rPr>
        <w:t>：</w:t>
      </w:r>
      <w:r>
        <w:rPr>
          <w:rFonts w:hint="eastAsia" w:ascii="楷体_GB2312" w:eastAsia="楷体_GB2312"/>
          <w:b/>
          <w:sz w:val="20"/>
          <w:szCs w:val="20"/>
        </w:rPr>
        <w:t>投资者对</w:t>
      </w:r>
      <w:r>
        <w:rPr>
          <w:rFonts w:ascii="楷体_GB2312" w:eastAsia="楷体_GB2312"/>
          <w:b/>
          <w:sz w:val="20"/>
          <w:szCs w:val="20"/>
        </w:rPr>
        <w:t>本理财产品</w:t>
      </w:r>
      <w:r>
        <w:rPr>
          <w:rFonts w:hint="eastAsia" w:ascii="楷体_GB2312" w:eastAsia="楷体_GB2312"/>
          <w:b/>
          <w:sz w:val="20"/>
          <w:szCs w:val="20"/>
        </w:rPr>
        <w:t>有</w:t>
      </w:r>
      <w:r>
        <w:rPr>
          <w:rFonts w:ascii="楷体_GB2312" w:eastAsia="楷体_GB2312"/>
          <w:b/>
          <w:sz w:val="20"/>
          <w:szCs w:val="20"/>
        </w:rPr>
        <w:t>任何</w:t>
      </w:r>
      <w:r>
        <w:rPr>
          <w:rFonts w:hint="eastAsia" w:ascii="楷体_GB2312" w:eastAsia="楷体_GB2312"/>
          <w:b/>
          <w:sz w:val="20"/>
          <w:szCs w:val="20"/>
        </w:rPr>
        <w:t>建议</w:t>
      </w:r>
      <w:r>
        <w:rPr>
          <w:rFonts w:ascii="楷体_GB2312" w:eastAsia="楷体_GB2312"/>
          <w:b/>
          <w:sz w:val="20"/>
          <w:szCs w:val="20"/>
        </w:rPr>
        <w:t>、意见或投诉</w:t>
      </w:r>
      <w:r>
        <w:rPr>
          <w:rFonts w:hint="eastAsia" w:ascii="楷体_GB2312" w:eastAsia="楷体_GB2312"/>
          <w:b/>
          <w:sz w:val="20"/>
          <w:szCs w:val="20"/>
        </w:rPr>
        <w:t>，请</w:t>
      </w:r>
      <w:r>
        <w:rPr>
          <w:rFonts w:ascii="楷体_GB2312" w:eastAsia="楷体_GB2312"/>
          <w:b/>
          <w:sz w:val="20"/>
          <w:szCs w:val="20"/>
        </w:rPr>
        <w:t>联系信银理财理财经理</w:t>
      </w:r>
      <w:r>
        <w:rPr>
          <w:rFonts w:hint="eastAsia" w:ascii="楷体_GB2312" w:eastAsia="楷体_GB2312"/>
          <w:b/>
          <w:sz w:val="20"/>
          <w:szCs w:val="20"/>
        </w:rPr>
        <w:t>，或</w:t>
      </w:r>
      <w:r>
        <w:rPr>
          <w:rFonts w:ascii="楷体_GB2312" w:eastAsia="楷体_GB2312"/>
          <w:b/>
          <w:sz w:val="20"/>
          <w:szCs w:val="20"/>
        </w:rPr>
        <w:t>反馈至信银理财营业</w:t>
      </w:r>
      <w:r>
        <w:rPr>
          <w:rFonts w:hint="eastAsia" w:ascii="楷体_GB2312" w:eastAsia="楷体_GB2312"/>
          <w:b/>
          <w:sz w:val="20"/>
          <w:szCs w:val="20"/>
        </w:rPr>
        <w:t>场所，或拨打信银理财客户服务热线【</w:t>
      </w:r>
      <w:r>
        <w:rPr>
          <w:rFonts w:ascii="楷体_GB2312" w:eastAsia="楷体_GB2312"/>
          <w:b/>
          <w:sz w:val="20"/>
          <w:szCs w:val="20"/>
        </w:rPr>
        <w:t xml:space="preserve">950950，工作时间为工作日8：30-20：30】，登录信银理财网站【http://www.citic-wealth.com/】进行查询。 </w:t>
      </w:r>
      <w:r>
        <w:rPr>
          <w:rFonts w:hint="eastAsia" w:ascii="楷体_GB2312" w:eastAsia="楷体_GB2312"/>
          <w:b/>
          <w:sz w:val="20"/>
          <w:szCs w:val="20"/>
        </w:rPr>
        <w:t>信银理财将安排专人及时收集客户投诉，并在收到客户投诉的第一时间内与客户取得联系，及时处理并进行反馈。投资者</w:t>
      </w:r>
      <w:r>
        <w:rPr>
          <w:rFonts w:ascii="楷体_GB2312" w:eastAsia="楷体_GB2312"/>
          <w:b/>
          <w:sz w:val="20"/>
          <w:szCs w:val="20"/>
        </w:rPr>
        <w:t>通过代销机构购买理财产品的，可</w:t>
      </w:r>
      <w:r>
        <w:rPr>
          <w:rFonts w:hint="eastAsia" w:ascii="楷体_GB2312" w:eastAsia="楷体_GB2312"/>
          <w:b/>
          <w:sz w:val="20"/>
          <w:szCs w:val="20"/>
        </w:rPr>
        <w:t>按照</w:t>
      </w:r>
      <w:r>
        <w:rPr>
          <w:rFonts w:ascii="楷体_GB2312" w:eastAsia="楷体_GB2312"/>
          <w:b/>
          <w:sz w:val="20"/>
          <w:szCs w:val="20"/>
        </w:rPr>
        <w:t>代销机构提供的</w:t>
      </w:r>
      <w:r>
        <w:rPr>
          <w:rFonts w:hint="eastAsia" w:ascii="楷体_GB2312" w:eastAsia="楷体_GB2312"/>
          <w:b/>
          <w:sz w:val="20"/>
          <w:szCs w:val="20"/>
        </w:rPr>
        <w:t>联系</w:t>
      </w:r>
      <w:r>
        <w:rPr>
          <w:rFonts w:ascii="楷体_GB2312" w:eastAsia="楷体_GB2312"/>
          <w:b/>
          <w:sz w:val="20"/>
          <w:szCs w:val="20"/>
        </w:rPr>
        <w:t>方式</w:t>
      </w:r>
      <w:r>
        <w:rPr>
          <w:rFonts w:hint="eastAsia" w:ascii="楷体_GB2312" w:eastAsia="楷体_GB2312"/>
          <w:b/>
          <w:sz w:val="20"/>
          <w:szCs w:val="20"/>
        </w:rPr>
        <w:t>反馈</w:t>
      </w:r>
      <w:r>
        <w:rPr>
          <w:rFonts w:ascii="楷体_GB2312" w:eastAsia="楷体_GB2312"/>
          <w:b/>
          <w:sz w:val="20"/>
          <w:szCs w:val="20"/>
        </w:rPr>
        <w:t>信息、咨询和</w:t>
      </w:r>
      <w:r>
        <w:rPr>
          <w:rFonts w:hint="eastAsia" w:ascii="楷体_GB2312" w:eastAsia="楷体_GB2312"/>
          <w:b/>
          <w:sz w:val="20"/>
          <w:szCs w:val="20"/>
        </w:rPr>
        <w:t>投诉。</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5.本产品说明书中</w:t>
      </w:r>
      <w:r>
        <w:rPr>
          <w:rFonts w:hint="eastAsia" w:ascii="楷体_GB2312" w:eastAsia="楷体_GB2312"/>
          <w:b/>
          <w:sz w:val="20"/>
          <w:szCs w:val="20"/>
        </w:rPr>
        <w:t>关于</w:t>
      </w:r>
      <w:r>
        <w:rPr>
          <w:rFonts w:ascii="楷体_GB2312" w:eastAsia="楷体_GB2312"/>
          <w:b/>
          <w:sz w:val="20"/>
          <w:szCs w:val="20"/>
        </w:rPr>
        <w:t>时间</w:t>
      </w:r>
      <w:r>
        <w:rPr>
          <w:rFonts w:hint="eastAsia" w:ascii="楷体_GB2312" w:eastAsia="楷体_GB2312"/>
          <w:b/>
          <w:sz w:val="20"/>
          <w:szCs w:val="20"/>
        </w:rPr>
        <w:t>的</w:t>
      </w:r>
      <w:r>
        <w:rPr>
          <w:rFonts w:ascii="楷体_GB2312" w:eastAsia="楷体_GB2312"/>
          <w:b/>
          <w:sz w:val="20"/>
          <w:szCs w:val="20"/>
        </w:rPr>
        <w:t>标准</w:t>
      </w:r>
      <w:r>
        <w:rPr>
          <w:rFonts w:hint="eastAsia" w:ascii="楷体_GB2312" w:eastAsia="楷体_GB2312"/>
          <w:b/>
          <w:sz w:val="20"/>
          <w:szCs w:val="20"/>
        </w:rPr>
        <w:t>，</w:t>
      </w:r>
      <w:r>
        <w:rPr>
          <w:rFonts w:ascii="楷体_GB2312" w:eastAsia="楷体_GB2312"/>
          <w:b/>
          <w:sz w:val="20"/>
          <w:szCs w:val="20"/>
        </w:rPr>
        <w:t>以信银理财业务处理系统记录的北京时间为准。</w:t>
      </w:r>
    </w:p>
    <w:p>
      <w:pPr>
        <w:spacing w:line="300" w:lineRule="exact"/>
        <w:ind w:firstLine="402" w:firstLineChars="200"/>
        <w:jc w:val="both"/>
        <w:rPr>
          <w:rFonts w:ascii="楷体_GB2312" w:eastAsia="楷体_GB2312"/>
          <w:sz w:val="20"/>
          <w:szCs w:val="20"/>
        </w:rPr>
      </w:pPr>
      <w:r>
        <w:rPr>
          <w:rFonts w:ascii="楷体_GB2312" w:eastAsia="楷体_GB2312"/>
          <w:b/>
          <w:sz w:val="20"/>
          <w:szCs w:val="20"/>
        </w:rPr>
        <w:t>6.信银理财有权依法对本产品说明书进行</w:t>
      </w:r>
      <w:r>
        <w:rPr>
          <w:rFonts w:hint="eastAsia" w:ascii="楷体_GB2312" w:eastAsia="楷体_GB2312"/>
          <w:b/>
          <w:sz w:val="20"/>
          <w:szCs w:val="20"/>
        </w:rPr>
        <w:t>解释</w:t>
      </w:r>
      <w:r>
        <w:rPr>
          <w:rFonts w:ascii="楷体_GB2312" w:eastAsia="楷体_GB2312"/>
          <w:b/>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20</w:t>
    </w:r>
    <w:r>
      <w:rPr>
        <w:caps/>
        <w:color w:val="4F81BD" w:themeColor="accent1"/>
        <w14:textFill>
          <w14:solidFill>
            <w14:schemeClr w14:val="accent1"/>
          </w14:solidFill>
        </w14:textFill>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ZTUzODBlYzJkY2RmZGI2MTUyODFlMDkwMGY3MmQifQ=="/>
  </w:docVars>
  <w:rsids>
    <w:rsidRoot w:val="00172A27"/>
    <w:rsid w:val="00000015"/>
    <w:rsid w:val="000006C6"/>
    <w:rsid w:val="00000D44"/>
    <w:rsid w:val="00001C03"/>
    <w:rsid w:val="00001DC5"/>
    <w:rsid w:val="00003525"/>
    <w:rsid w:val="00004BEE"/>
    <w:rsid w:val="00006491"/>
    <w:rsid w:val="000112B7"/>
    <w:rsid w:val="000126B2"/>
    <w:rsid w:val="00013F7C"/>
    <w:rsid w:val="00014B73"/>
    <w:rsid w:val="000155CB"/>
    <w:rsid w:val="000160B3"/>
    <w:rsid w:val="00016C3A"/>
    <w:rsid w:val="00017139"/>
    <w:rsid w:val="0002679A"/>
    <w:rsid w:val="00027122"/>
    <w:rsid w:val="0003233C"/>
    <w:rsid w:val="00032F3B"/>
    <w:rsid w:val="00033CE5"/>
    <w:rsid w:val="00035980"/>
    <w:rsid w:val="00035D4E"/>
    <w:rsid w:val="000363A0"/>
    <w:rsid w:val="00036A9C"/>
    <w:rsid w:val="00042131"/>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07C"/>
    <w:rsid w:val="000642FF"/>
    <w:rsid w:val="00064EC6"/>
    <w:rsid w:val="000658A0"/>
    <w:rsid w:val="0006668E"/>
    <w:rsid w:val="000728B5"/>
    <w:rsid w:val="000739EF"/>
    <w:rsid w:val="00074951"/>
    <w:rsid w:val="00074C93"/>
    <w:rsid w:val="00077050"/>
    <w:rsid w:val="0008061A"/>
    <w:rsid w:val="00080C43"/>
    <w:rsid w:val="000818FE"/>
    <w:rsid w:val="00083FDD"/>
    <w:rsid w:val="000842BB"/>
    <w:rsid w:val="00084A58"/>
    <w:rsid w:val="00084DE7"/>
    <w:rsid w:val="00085A4A"/>
    <w:rsid w:val="0008615C"/>
    <w:rsid w:val="00086D6D"/>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97534"/>
    <w:rsid w:val="000A044F"/>
    <w:rsid w:val="000A0707"/>
    <w:rsid w:val="000A327A"/>
    <w:rsid w:val="000A3596"/>
    <w:rsid w:val="000A3794"/>
    <w:rsid w:val="000A5B13"/>
    <w:rsid w:val="000A7618"/>
    <w:rsid w:val="000A7C01"/>
    <w:rsid w:val="000B2C5D"/>
    <w:rsid w:val="000B44D5"/>
    <w:rsid w:val="000C04B7"/>
    <w:rsid w:val="000C0E92"/>
    <w:rsid w:val="000C0EBF"/>
    <w:rsid w:val="000C19F3"/>
    <w:rsid w:val="000C2603"/>
    <w:rsid w:val="000C33FA"/>
    <w:rsid w:val="000C3AF8"/>
    <w:rsid w:val="000C4C04"/>
    <w:rsid w:val="000C57C0"/>
    <w:rsid w:val="000C6FFC"/>
    <w:rsid w:val="000C721C"/>
    <w:rsid w:val="000C7C87"/>
    <w:rsid w:val="000D0148"/>
    <w:rsid w:val="000D1511"/>
    <w:rsid w:val="000D2C6E"/>
    <w:rsid w:val="000D540C"/>
    <w:rsid w:val="000D71AC"/>
    <w:rsid w:val="000D7561"/>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535"/>
    <w:rsid w:val="00122C68"/>
    <w:rsid w:val="00123C90"/>
    <w:rsid w:val="00125253"/>
    <w:rsid w:val="001260B9"/>
    <w:rsid w:val="001266EA"/>
    <w:rsid w:val="00126DB3"/>
    <w:rsid w:val="001275AC"/>
    <w:rsid w:val="00130901"/>
    <w:rsid w:val="0013246F"/>
    <w:rsid w:val="00132E82"/>
    <w:rsid w:val="0013309B"/>
    <w:rsid w:val="001339CB"/>
    <w:rsid w:val="0013467D"/>
    <w:rsid w:val="001353DA"/>
    <w:rsid w:val="00136105"/>
    <w:rsid w:val="00136583"/>
    <w:rsid w:val="001373C1"/>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1FB1"/>
    <w:rsid w:val="001B2542"/>
    <w:rsid w:val="001B35C0"/>
    <w:rsid w:val="001B6029"/>
    <w:rsid w:val="001B7D20"/>
    <w:rsid w:val="001C11E4"/>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0E64"/>
    <w:rsid w:val="001F6640"/>
    <w:rsid w:val="001F6AE8"/>
    <w:rsid w:val="001F738E"/>
    <w:rsid w:val="001F7597"/>
    <w:rsid w:val="001F76C8"/>
    <w:rsid w:val="001F77A5"/>
    <w:rsid w:val="0020078B"/>
    <w:rsid w:val="0020185E"/>
    <w:rsid w:val="00202368"/>
    <w:rsid w:val="0020290B"/>
    <w:rsid w:val="00202E2D"/>
    <w:rsid w:val="00203C6A"/>
    <w:rsid w:val="00203EAD"/>
    <w:rsid w:val="0020493D"/>
    <w:rsid w:val="0020571D"/>
    <w:rsid w:val="00206FE3"/>
    <w:rsid w:val="00211658"/>
    <w:rsid w:val="002121B1"/>
    <w:rsid w:val="00212962"/>
    <w:rsid w:val="0021422C"/>
    <w:rsid w:val="00214442"/>
    <w:rsid w:val="002153F5"/>
    <w:rsid w:val="00217805"/>
    <w:rsid w:val="0022225E"/>
    <w:rsid w:val="00224EB9"/>
    <w:rsid w:val="002255EE"/>
    <w:rsid w:val="00226CD2"/>
    <w:rsid w:val="00226ED1"/>
    <w:rsid w:val="00227275"/>
    <w:rsid w:val="00227A37"/>
    <w:rsid w:val="00227E5E"/>
    <w:rsid w:val="00233296"/>
    <w:rsid w:val="0023369F"/>
    <w:rsid w:val="00233AC8"/>
    <w:rsid w:val="002356CD"/>
    <w:rsid w:val="00236C74"/>
    <w:rsid w:val="002370EE"/>
    <w:rsid w:val="002402E8"/>
    <w:rsid w:val="002465F7"/>
    <w:rsid w:val="0025002B"/>
    <w:rsid w:val="002502BE"/>
    <w:rsid w:val="00250C86"/>
    <w:rsid w:val="00253360"/>
    <w:rsid w:val="00253B10"/>
    <w:rsid w:val="00253FDB"/>
    <w:rsid w:val="00254944"/>
    <w:rsid w:val="00254AB2"/>
    <w:rsid w:val="00254D38"/>
    <w:rsid w:val="00255F6F"/>
    <w:rsid w:val="00256C61"/>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2DCC"/>
    <w:rsid w:val="002C348D"/>
    <w:rsid w:val="002C3870"/>
    <w:rsid w:val="002C5D61"/>
    <w:rsid w:val="002C6C6D"/>
    <w:rsid w:val="002C6E82"/>
    <w:rsid w:val="002D0DD6"/>
    <w:rsid w:val="002D223E"/>
    <w:rsid w:val="002D3636"/>
    <w:rsid w:val="002D38B7"/>
    <w:rsid w:val="002D46D0"/>
    <w:rsid w:val="002D5B11"/>
    <w:rsid w:val="002D60A3"/>
    <w:rsid w:val="002D67E8"/>
    <w:rsid w:val="002D6E0E"/>
    <w:rsid w:val="002D7249"/>
    <w:rsid w:val="002D78F9"/>
    <w:rsid w:val="002E1F5F"/>
    <w:rsid w:val="002E22C8"/>
    <w:rsid w:val="002E43BC"/>
    <w:rsid w:val="002E4E91"/>
    <w:rsid w:val="002E5746"/>
    <w:rsid w:val="002E780E"/>
    <w:rsid w:val="002F0F28"/>
    <w:rsid w:val="002F14A9"/>
    <w:rsid w:val="002F1A8B"/>
    <w:rsid w:val="002F265B"/>
    <w:rsid w:val="002F2F68"/>
    <w:rsid w:val="002F320A"/>
    <w:rsid w:val="002F35AE"/>
    <w:rsid w:val="002F6BBC"/>
    <w:rsid w:val="002F7FA0"/>
    <w:rsid w:val="00301333"/>
    <w:rsid w:val="00304587"/>
    <w:rsid w:val="0030521D"/>
    <w:rsid w:val="00305FAB"/>
    <w:rsid w:val="00306D2D"/>
    <w:rsid w:val="003075EA"/>
    <w:rsid w:val="00307DCB"/>
    <w:rsid w:val="00307EE8"/>
    <w:rsid w:val="00310EC2"/>
    <w:rsid w:val="00311614"/>
    <w:rsid w:val="00311784"/>
    <w:rsid w:val="00311FCF"/>
    <w:rsid w:val="0031212B"/>
    <w:rsid w:val="00312A2B"/>
    <w:rsid w:val="003133C9"/>
    <w:rsid w:val="0031533D"/>
    <w:rsid w:val="00316DEC"/>
    <w:rsid w:val="003175C8"/>
    <w:rsid w:val="00321696"/>
    <w:rsid w:val="00321CAD"/>
    <w:rsid w:val="00321ED4"/>
    <w:rsid w:val="0032287B"/>
    <w:rsid w:val="003242D1"/>
    <w:rsid w:val="003259DD"/>
    <w:rsid w:val="00326D9F"/>
    <w:rsid w:val="003313E2"/>
    <w:rsid w:val="00331C42"/>
    <w:rsid w:val="00332CCE"/>
    <w:rsid w:val="00332EB9"/>
    <w:rsid w:val="00335B1F"/>
    <w:rsid w:val="003361BF"/>
    <w:rsid w:val="003413CC"/>
    <w:rsid w:val="00344E13"/>
    <w:rsid w:val="003452C4"/>
    <w:rsid w:val="003455CE"/>
    <w:rsid w:val="00346165"/>
    <w:rsid w:val="00346433"/>
    <w:rsid w:val="00354663"/>
    <w:rsid w:val="00354FAB"/>
    <w:rsid w:val="00356364"/>
    <w:rsid w:val="003563BB"/>
    <w:rsid w:val="003576A4"/>
    <w:rsid w:val="003614D6"/>
    <w:rsid w:val="00362735"/>
    <w:rsid w:val="00363912"/>
    <w:rsid w:val="00363CD4"/>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9FA"/>
    <w:rsid w:val="003A3A91"/>
    <w:rsid w:val="003A3EC5"/>
    <w:rsid w:val="003A7906"/>
    <w:rsid w:val="003B06A2"/>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6A86"/>
    <w:rsid w:val="003E710F"/>
    <w:rsid w:val="003F10DD"/>
    <w:rsid w:val="003F2084"/>
    <w:rsid w:val="003F3C37"/>
    <w:rsid w:val="003F5C60"/>
    <w:rsid w:val="003F5CC9"/>
    <w:rsid w:val="003F7F7C"/>
    <w:rsid w:val="004025B0"/>
    <w:rsid w:val="00403D07"/>
    <w:rsid w:val="00403F2B"/>
    <w:rsid w:val="0040426A"/>
    <w:rsid w:val="004057B9"/>
    <w:rsid w:val="00405B1C"/>
    <w:rsid w:val="004110B6"/>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6BD4"/>
    <w:rsid w:val="004B7645"/>
    <w:rsid w:val="004C0143"/>
    <w:rsid w:val="004C0F2D"/>
    <w:rsid w:val="004C123A"/>
    <w:rsid w:val="004C2BBE"/>
    <w:rsid w:val="004C3274"/>
    <w:rsid w:val="004C3474"/>
    <w:rsid w:val="004C46A4"/>
    <w:rsid w:val="004C49DC"/>
    <w:rsid w:val="004C52DB"/>
    <w:rsid w:val="004D1573"/>
    <w:rsid w:val="004D3028"/>
    <w:rsid w:val="004D306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4F4BD5"/>
    <w:rsid w:val="0050023D"/>
    <w:rsid w:val="00501AD8"/>
    <w:rsid w:val="00502359"/>
    <w:rsid w:val="005029E8"/>
    <w:rsid w:val="00503B4E"/>
    <w:rsid w:val="00505348"/>
    <w:rsid w:val="00505BE4"/>
    <w:rsid w:val="0050603A"/>
    <w:rsid w:val="0050607E"/>
    <w:rsid w:val="00506276"/>
    <w:rsid w:val="00510E0C"/>
    <w:rsid w:val="005127D4"/>
    <w:rsid w:val="00513ED0"/>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3C7C"/>
    <w:rsid w:val="005755E0"/>
    <w:rsid w:val="00575AA3"/>
    <w:rsid w:val="005769C1"/>
    <w:rsid w:val="00577699"/>
    <w:rsid w:val="00580CAC"/>
    <w:rsid w:val="00581BEA"/>
    <w:rsid w:val="005828C6"/>
    <w:rsid w:val="00582D53"/>
    <w:rsid w:val="0058419D"/>
    <w:rsid w:val="00585F79"/>
    <w:rsid w:val="005862B0"/>
    <w:rsid w:val="005865C3"/>
    <w:rsid w:val="00590E47"/>
    <w:rsid w:val="005921BC"/>
    <w:rsid w:val="00595083"/>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DB3"/>
    <w:rsid w:val="005C6EF7"/>
    <w:rsid w:val="005C760F"/>
    <w:rsid w:val="005C7D77"/>
    <w:rsid w:val="005D039E"/>
    <w:rsid w:val="005D2357"/>
    <w:rsid w:val="005D25FF"/>
    <w:rsid w:val="005D45A1"/>
    <w:rsid w:val="005D756C"/>
    <w:rsid w:val="005E0A11"/>
    <w:rsid w:val="005E4210"/>
    <w:rsid w:val="005E7116"/>
    <w:rsid w:val="005E7F10"/>
    <w:rsid w:val="005F076E"/>
    <w:rsid w:val="005F1399"/>
    <w:rsid w:val="005F16A2"/>
    <w:rsid w:val="005F21E9"/>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25C8"/>
    <w:rsid w:val="0062534E"/>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02FA"/>
    <w:rsid w:val="006627C0"/>
    <w:rsid w:val="0066298D"/>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3EAC"/>
    <w:rsid w:val="00687B21"/>
    <w:rsid w:val="0069257C"/>
    <w:rsid w:val="00692C48"/>
    <w:rsid w:val="0069652B"/>
    <w:rsid w:val="006975BC"/>
    <w:rsid w:val="006976C9"/>
    <w:rsid w:val="006A1119"/>
    <w:rsid w:val="006A19F9"/>
    <w:rsid w:val="006A7AC1"/>
    <w:rsid w:val="006A7FB5"/>
    <w:rsid w:val="006B0846"/>
    <w:rsid w:val="006B1077"/>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0A38"/>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4D9"/>
    <w:rsid w:val="006F36FC"/>
    <w:rsid w:val="006F4028"/>
    <w:rsid w:val="006F415D"/>
    <w:rsid w:val="006F692A"/>
    <w:rsid w:val="006F6AF7"/>
    <w:rsid w:val="006F7CA9"/>
    <w:rsid w:val="00701D14"/>
    <w:rsid w:val="00701D1A"/>
    <w:rsid w:val="0070335C"/>
    <w:rsid w:val="00703B64"/>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3AF7"/>
    <w:rsid w:val="007341D7"/>
    <w:rsid w:val="0073572E"/>
    <w:rsid w:val="00736C6D"/>
    <w:rsid w:val="007370B0"/>
    <w:rsid w:val="00742276"/>
    <w:rsid w:val="00742D4B"/>
    <w:rsid w:val="00743465"/>
    <w:rsid w:val="007439E8"/>
    <w:rsid w:val="0074595F"/>
    <w:rsid w:val="00747AD7"/>
    <w:rsid w:val="00747EE7"/>
    <w:rsid w:val="00747F07"/>
    <w:rsid w:val="007535A2"/>
    <w:rsid w:val="00753B40"/>
    <w:rsid w:val="00755E0B"/>
    <w:rsid w:val="00756E6B"/>
    <w:rsid w:val="007574A2"/>
    <w:rsid w:val="00757909"/>
    <w:rsid w:val="007605BD"/>
    <w:rsid w:val="0076099D"/>
    <w:rsid w:val="00762E9A"/>
    <w:rsid w:val="00764467"/>
    <w:rsid w:val="00765762"/>
    <w:rsid w:val="00765D62"/>
    <w:rsid w:val="007709FB"/>
    <w:rsid w:val="0077131D"/>
    <w:rsid w:val="00772DD7"/>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BD3"/>
    <w:rsid w:val="007B7D9D"/>
    <w:rsid w:val="007C1FA5"/>
    <w:rsid w:val="007C2C0B"/>
    <w:rsid w:val="007C2FC3"/>
    <w:rsid w:val="007C3128"/>
    <w:rsid w:val="007C3B98"/>
    <w:rsid w:val="007C5962"/>
    <w:rsid w:val="007D0A11"/>
    <w:rsid w:val="007D1EC7"/>
    <w:rsid w:val="007D22BD"/>
    <w:rsid w:val="007D437A"/>
    <w:rsid w:val="007D7593"/>
    <w:rsid w:val="007E04C1"/>
    <w:rsid w:val="007E1068"/>
    <w:rsid w:val="007E29BB"/>
    <w:rsid w:val="007E3841"/>
    <w:rsid w:val="007E3B91"/>
    <w:rsid w:val="007E4175"/>
    <w:rsid w:val="007E7634"/>
    <w:rsid w:val="007F094F"/>
    <w:rsid w:val="007F0B7D"/>
    <w:rsid w:val="007F287A"/>
    <w:rsid w:val="007F52AA"/>
    <w:rsid w:val="007F779B"/>
    <w:rsid w:val="0080146A"/>
    <w:rsid w:val="00801595"/>
    <w:rsid w:val="00803588"/>
    <w:rsid w:val="00803B53"/>
    <w:rsid w:val="00803C1D"/>
    <w:rsid w:val="00803F0F"/>
    <w:rsid w:val="008048AB"/>
    <w:rsid w:val="00805AE9"/>
    <w:rsid w:val="008069CD"/>
    <w:rsid w:val="0080753F"/>
    <w:rsid w:val="00807588"/>
    <w:rsid w:val="008077EC"/>
    <w:rsid w:val="00807CA4"/>
    <w:rsid w:val="00810BD4"/>
    <w:rsid w:val="00813812"/>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4F7"/>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4285"/>
    <w:rsid w:val="00897F01"/>
    <w:rsid w:val="008A0CA2"/>
    <w:rsid w:val="008A2CDF"/>
    <w:rsid w:val="008A39D6"/>
    <w:rsid w:val="008A411C"/>
    <w:rsid w:val="008A4270"/>
    <w:rsid w:val="008A6EBC"/>
    <w:rsid w:val="008A7134"/>
    <w:rsid w:val="008A783D"/>
    <w:rsid w:val="008B06B0"/>
    <w:rsid w:val="008B1F4C"/>
    <w:rsid w:val="008B2747"/>
    <w:rsid w:val="008B3734"/>
    <w:rsid w:val="008B4408"/>
    <w:rsid w:val="008B4CCC"/>
    <w:rsid w:val="008B52FB"/>
    <w:rsid w:val="008B5573"/>
    <w:rsid w:val="008B5BC5"/>
    <w:rsid w:val="008B7931"/>
    <w:rsid w:val="008C2067"/>
    <w:rsid w:val="008C390D"/>
    <w:rsid w:val="008C5228"/>
    <w:rsid w:val="008C5AA5"/>
    <w:rsid w:val="008C5B3C"/>
    <w:rsid w:val="008C6EB3"/>
    <w:rsid w:val="008D437D"/>
    <w:rsid w:val="008D5643"/>
    <w:rsid w:val="008D6F47"/>
    <w:rsid w:val="008D742F"/>
    <w:rsid w:val="008E2351"/>
    <w:rsid w:val="008E3191"/>
    <w:rsid w:val="008E3AE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2EF"/>
    <w:rsid w:val="00934386"/>
    <w:rsid w:val="00934714"/>
    <w:rsid w:val="00935DD4"/>
    <w:rsid w:val="009375D9"/>
    <w:rsid w:val="00940B4D"/>
    <w:rsid w:val="009421CA"/>
    <w:rsid w:val="009437CB"/>
    <w:rsid w:val="00944077"/>
    <w:rsid w:val="00944564"/>
    <w:rsid w:val="0094593C"/>
    <w:rsid w:val="00951827"/>
    <w:rsid w:val="009525FD"/>
    <w:rsid w:val="00954D4B"/>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6F82"/>
    <w:rsid w:val="00977330"/>
    <w:rsid w:val="00977354"/>
    <w:rsid w:val="0098015C"/>
    <w:rsid w:val="00984988"/>
    <w:rsid w:val="00985402"/>
    <w:rsid w:val="00986603"/>
    <w:rsid w:val="00986EBC"/>
    <w:rsid w:val="00987855"/>
    <w:rsid w:val="00990748"/>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5ED3"/>
    <w:rsid w:val="009E6C2C"/>
    <w:rsid w:val="009E74E9"/>
    <w:rsid w:val="009F2387"/>
    <w:rsid w:val="009F3A6B"/>
    <w:rsid w:val="009F4DDF"/>
    <w:rsid w:val="009F63BA"/>
    <w:rsid w:val="009F7298"/>
    <w:rsid w:val="009F7493"/>
    <w:rsid w:val="009F7E21"/>
    <w:rsid w:val="00A04383"/>
    <w:rsid w:val="00A05548"/>
    <w:rsid w:val="00A07DCC"/>
    <w:rsid w:val="00A11C2A"/>
    <w:rsid w:val="00A123E3"/>
    <w:rsid w:val="00A13F92"/>
    <w:rsid w:val="00A1651C"/>
    <w:rsid w:val="00A167A3"/>
    <w:rsid w:val="00A16B3B"/>
    <w:rsid w:val="00A16D0B"/>
    <w:rsid w:val="00A17DCA"/>
    <w:rsid w:val="00A21691"/>
    <w:rsid w:val="00A22514"/>
    <w:rsid w:val="00A2336E"/>
    <w:rsid w:val="00A2361C"/>
    <w:rsid w:val="00A25672"/>
    <w:rsid w:val="00A271B6"/>
    <w:rsid w:val="00A322DE"/>
    <w:rsid w:val="00A32C19"/>
    <w:rsid w:val="00A33A66"/>
    <w:rsid w:val="00A33A98"/>
    <w:rsid w:val="00A3557B"/>
    <w:rsid w:val="00A35D39"/>
    <w:rsid w:val="00A36D31"/>
    <w:rsid w:val="00A408EB"/>
    <w:rsid w:val="00A40EFC"/>
    <w:rsid w:val="00A40F80"/>
    <w:rsid w:val="00A4272A"/>
    <w:rsid w:val="00A44454"/>
    <w:rsid w:val="00A45DE0"/>
    <w:rsid w:val="00A46540"/>
    <w:rsid w:val="00A502F3"/>
    <w:rsid w:val="00A51891"/>
    <w:rsid w:val="00A52506"/>
    <w:rsid w:val="00A533E8"/>
    <w:rsid w:val="00A53B68"/>
    <w:rsid w:val="00A54BA1"/>
    <w:rsid w:val="00A55D36"/>
    <w:rsid w:val="00A56C74"/>
    <w:rsid w:val="00A61C27"/>
    <w:rsid w:val="00A632C2"/>
    <w:rsid w:val="00A6470A"/>
    <w:rsid w:val="00A663F8"/>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1DE2"/>
    <w:rsid w:val="00AA3BFD"/>
    <w:rsid w:val="00AA5CB2"/>
    <w:rsid w:val="00AA643C"/>
    <w:rsid w:val="00AA7C9F"/>
    <w:rsid w:val="00AB066F"/>
    <w:rsid w:val="00AB29D0"/>
    <w:rsid w:val="00AB35AC"/>
    <w:rsid w:val="00AB3B1E"/>
    <w:rsid w:val="00AB4C0B"/>
    <w:rsid w:val="00AB5DF7"/>
    <w:rsid w:val="00AC2BE4"/>
    <w:rsid w:val="00AC37F5"/>
    <w:rsid w:val="00AC4A02"/>
    <w:rsid w:val="00AC71C0"/>
    <w:rsid w:val="00AD0B1F"/>
    <w:rsid w:val="00AD0D6B"/>
    <w:rsid w:val="00AD1722"/>
    <w:rsid w:val="00AD1FE5"/>
    <w:rsid w:val="00AD206B"/>
    <w:rsid w:val="00AD2A6B"/>
    <w:rsid w:val="00AD3163"/>
    <w:rsid w:val="00AD5938"/>
    <w:rsid w:val="00AD5C44"/>
    <w:rsid w:val="00AD6B2C"/>
    <w:rsid w:val="00AE158D"/>
    <w:rsid w:val="00AE1A21"/>
    <w:rsid w:val="00AE22BA"/>
    <w:rsid w:val="00AE3747"/>
    <w:rsid w:val="00AE5375"/>
    <w:rsid w:val="00AE6247"/>
    <w:rsid w:val="00AE6718"/>
    <w:rsid w:val="00AE6808"/>
    <w:rsid w:val="00AE7012"/>
    <w:rsid w:val="00AF0C5C"/>
    <w:rsid w:val="00AF2C00"/>
    <w:rsid w:val="00AF2D3A"/>
    <w:rsid w:val="00AF3A2F"/>
    <w:rsid w:val="00AF3C89"/>
    <w:rsid w:val="00AF5E6C"/>
    <w:rsid w:val="00AF7308"/>
    <w:rsid w:val="00AF73EA"/>
    <w:rsid w:val="00AF7872"/>
    <w:rsid w:val="00B00A25"/>
    <w:rsid w:val="00B03631"/>
    <w:rsid w:val="00B04414"/>
    <w:rsid w:val="00B04D83"/>
    <w:rsid w:val="00B07607"/>
    <w:rsid w:val="00B10EB7"/>
    <w:rsid w:val="00B1145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D73"/>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05C8"/>
    <w:rsid w:val="00B72B19"/>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2A92"/>
    <w:rsid w:val="00BC4F45"/>
    <w:rsid w:val="00BC641A"/>
    <w:rsid w:val="00BC7731"/>
    <w:rsid w:val="00BC7AB3"/>
    <w:rsid w:val="00BD1B90"/>
    <w:rsid w:val="00BD47B8"/>
    <w:rsid w:val="00BD4F2A"/>
    <w:rsid w:val="00BD6055"/>
    <w:rsid w:val="00BD60FE"/>
    <w:rsid w:val="00BE0C23"/>
    <w:rsid w:val="00BE3245"/>
    <w:rsid w:val="00BE425C"/>
    <w:rsid w:val="00BE4A31"/>
    <w:rsid w:val="00BE5733"/>
    <w:rsid w:val="00BE6AF6"/>
    <w:rsid w:val="00BF06E1"/>
    <w:rsid w:val="00BF1BF1"/>
    <w:rsid w:val="00BF23C0"/>
    <w:rsid w:val="00BF267D"/>
    <w:rsid w:val="00BF272B"/>
    <w:rsid w:val="00BF2FC4"/>
    <w:rsid w:val="00BF352C"/>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038B"/>
    <w:rsid w:val="00C2349F"/>
    <w:rsid w:val="00C2365D"/>
    <w:rsid w:val="00C24BE4"/>
    <w:rsid w:val="00C24C09"/>
    <w:rsid w:val="00C24C46"/>
    <w:rsid w:val="00C24E0C"/>
    <w:rsid w:val="00C250C7"/>
    <w:rsid w:val="00C26961"/>
    <w:rsid w:val="00C26F36"/>
    <w:rsid w:val="00C27CD0"/>
    <w:rsid w:val="00C32F38"/>
    <w:rsid w:val="00C40533"/>
    <w:rsid w:val="00C42069"/>
    <w:rsid w:val="00C43848"/>
    <w:rsid w:val="00C456AC"/>
    <w:rsid w:val="00C46031"/>
    <w:rsid w:val="00C476AD"/>
    <w:rsid w:val="00C47CDE"/>
    <w:rsid w:val="00C50DA6"/>
    <w:rsid w:val="00C53A4A"/>
    <w:rsid w:val="00C54066"/>
    <w:rsid w:val="00C5434D"/>
    <w:rsid w:val="00C5458A"/>
    <w:rsid w:val="00C55661"/>
    <w:rsid w:val="00C61757"/>
    <w:rsid w:val="00C617F7"/>
    <w:rsid w:val="00C62255"/>
    <w:rsid w:val="00C63943"/>
    <w:rsid w:val="00C63FE9"/>
    <w:rsid w:val="00C642FE"/>
    <w:rsid w:val="00C6515B"/>
    <w:rsid w:val="00C65322"/>
    <w:rsid w:val="00C66210"/>
    <w:rsid w:val="00C66250"/>
    <w:rsid w:val="00C67C43"/>
    <w:rsid w:val="00C710C7"/>
    <w:rsid w:val="00C7170F"/>
    <w:rsid w:val="00C75A49"/>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14EE"/>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0B"/>
    <w:rsid w:val="00CD3E47"/>
    <w:rsid w:val="00CD4914"/>
    <w:rsid w:val="00CD7ABC"/>
    <w:rsid w:val="00CD7AF3"/>
    <w:rsid w:val="00CE02E7"/>
    <w:rsid w:val="00CE03F4"/>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104"/>
    <w:rsid w:val="00D12AA9"/>
    <w:rsid w:val="00D15CEF"/>
    <w:rsid w:val="00D1615C"/>
    <w:rsid w:val="00D16BA4"/>
    <w:rsid w:val="00D16F9F"/>
    <w:rsid w:val="00D17923"/>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3426"/>
    <w:rsid w:val="00D4437D"/>
    <w:rsid w:val="00D45014"/>
    <w:rsid w:val="00D45050"/>
    <w:rsid w:val="00D465AF"/>
    <w:rsid w:val="00D466F8"/>
    <w:rsid w:val="00D47819"/>
    <w:rsid w:val="00D505D6"/>
    <w:rsid w:val="00D50A1F"/>
    <w:rsid w:val="00D51402"/>
    <w:rsid w:val="00D5180D"/>
    <w:rsid w:val="00D51BAF"/>
    <w:rsid w:val="00D52357"/>
    <w:rsid w:val="00D52608"/>
    <w:rsid w:val="00D52CAF"/>
    <w:rsid w:val="00D52EDA"/>
    <w:rsid w:val="00D5357C"/>
    <w:rsid w:val="00D540C5"/>
    <w:rsid w:val="00D549C8"/>
    <w:rsid w:val="00D55D57"/>
    <w:rsid w:val="00D5641F"/>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119"/>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0C02"/>
    <w:rsid w:val="00DB2749"/>
    <w:rsid w:val="00DB2C4A"/>
    <w:rsid w:val="00DB2F4A"/>
    <w:rsid w:val="00DB323D"/>
    <w:rsid w:val="00DB55DB"/>
    <w:rsid w:val="00DB5B91"/>
    <w:rsid w:val="00DB6144"/>
    <w:rsid w:val="00DB6288"/>
    <w:rsid w:val="00DB6709"/>
    <w:rsid w:val="00DC022B"/>
    <w:rsid w:val="00DC1C26"/>
    <w:rsid w:val="00DC2073"/>
    <w:rsid w:val="00DC417B"/>
    <w:rsid w:val="00DC61EB"/>
    <w:rsid w:val="00DC6788"/>
    <w:rsid w:val="00DD187E"/>
    <w:rsid w:val="00DD36EA"/>
    <w:rsid w:val="00DD3AE7"/>
    <w:rsid w:val="00DD3B32"/>
    <w:rsid w:val="00DD60EB"/>
    <w:rsid w:val="00DD6DE2"/>
    <w:rsid w:val="00DE0389"/>
    <w:rsid w:val="00DE16EF"/>
    <w:rsid w:val="00DE202A"/>
    <w:rsid w:val="00DE299D"/>
    <w:rsid w:val="00DE30E5"/>
    <w:rsid w:val="00DE327B"/>
    <w:rsid w:val="00DE371F"/>
    <w:rsid w:val="00DE6648"/>
    <w:rsid w:val="00DE70C7"/>
    <w:rsid w:val="00DE72AB"/>
    <w:rsid w:val="00DE72C5"/>
    <w:rsid w:val="00DF19DF"/>
    <w:rsid w:val="00DF4E20"/>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04F2"/>
    <w:rsid w:val="00E13978"/>
    <w:rsid w:val="00E14F11"/>
    <w:rsid w:val="00E1536A"/>
    <w:rsid w:val="00E17CF3"/>
    <w:rsid w:val="00E21EC7"/>
    <w:rsid w:val="00E227B8"/>
    <w:rsid w:val="00E22D36"/>
    <w:rsid w:val="00E2490B"/>
    <w:rsid w:val="00E26776"/>
    <w:rsid w:val="00E27B4E"/>
    <w:rsid w:val="00E30124"/>
    <w:rsid w:val="00E30887"/>
    <w:rsid w:val="00E31126"/>
    <w:rsid w:val="00E32280"/>
    <w:rsid w:val="00E3291D"/>
    <w:rsid w:val="00E33155"/>
    <w:rsid w:val="00E33422"/>
    <w:rsid w:val="00E3618F"/>
    <w:rsid w:val="00E37EC0"/>
    <w:rsid w:val="00E40FB2"/>
    <w:rsid w:val="00E411A1"/>
    <w:rsid w:val="00E417B9"/>
    <w:rsid w:val="00E44162"/>
    <w:rsid w:val="00E45F9C"/>
    <w:rsid w:val="00E46DCE"/>
    <w:rsid w:val="00E50892"/>
    <w:rsid w:val="00E5289E"/>
    <w:rsid w:val="00E54C68"/>
    <w:rsid w:val="00E555BF"/>
    <w:rsid w:val="00E56AA1"/>
    <w:rsid w:val="00E56DD2"/>
    <w:rsid w:val="00E61209"/>
    <w:rsid w:val="00E62BDD"/>
    <w:rsid w:val="00E63685"/>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9667B"/>
    <w:rsid w:val="00EA0924"/>
    <w:rsid w:val="00EA1519"/>
    <w:rsid w:val="00EA29C3"/>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E764D"/>
    <w:rsid w:val="00EE7B90"/>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3E91"/>
    <w:rsid w:val="00F156B8"/>
    <w:rsid w:val="00F17338"/>
    <w:rsid w:val="00F17B5C"/>
    <w:rsid w:val="00F21039"/>
    <w:rsid w:val="00F21885"/>
    <w:rsid w:val="00F2719B"/>
    <w:rsid w:val="00F27373"/>
    <w:rsid w:val="00F31BB4"/>
    <w:rsid w:val="00F330D4"/>
    <w:rsid w:val="00F35484"/>
    <w:rsid w:val="00F41E02"/>
    <w:rsid w:val="00F44271"/>
    <w:rsid w:val="00F4437C"/>
    <w:rsid w:val="00F44E59"/>
    <w:rsid w:val="00F45AEC"/>
    <w:rsid w:val="00F46434"/>
    <w:rsid w:val="00F470E7"/>
    <w:rsid w:val="00F51D57"/>
    <w:rsid w:val="00F52344"/>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3FE9"/>
    <w:rsid w:val="00F756E4"/>
    <w:rsid w:val="00F76429"/>
    <w:rsid w:val="00F80E13"/>
    <w:rsid w:val="00F8147B"/>
    <w:rsid w:val="00F81E91"/>
    <w:rsid w:val="00F81FCF"/>
    <w:rsid w:val="00F84EA5"/>
    <w:rsid w:val="00F85664"/>
    <w:rsid w:val="00F86E25"/>
    <w:rsid w:val="00F87C2B"/>
    <w:rsid w:val="00F87C4D"/>
    <w:rsid w:val="00F87E6E"/>
    <w:rsid w:val="00F903A1"/>
    <w:rsid w:val="00F932A7"/>
    <w:rsid w:val="00F938F9"/>
    <w:rsid w:val="00F93C2D"/>
    <w:rsid w:val="00F93C60"/>
    <w:rsid w:val="00F940EB"/>
    <w:rsid w:val="00F9417B"/>
    <w:rsid w:val="00FA1817"/>
    <w:rsid w:val="00FA2588"/>
    <w:rsid w:val="00FA4047"/>
    <w:rsid w:val="00FA53AA"/>
    <w:rsid w:val="00FA5D90"/>
    <w:rsid w:val="00FA73AB"/>
    <w:rsid w:val="00FB1065"/>
    <w:rsid w:val="00FB1294"/>
    <w:rsid w:val="00FB406D"/>
    <w:rsid w:val="00FB5887"/>
    <w:rsid w:val="00FB73A8"/>
    <w:rsid w:val="00FC173E"/>
    <w:rsid w:val="00FC4EE9"/>
    <w:rsid w:val="00FC5B4F"/>
    <w:rsid w:val="00FC5DE9"/>
    <w:rsid w:val="00FD1869"/>
    <w:rsid w:val="00FD1D8C"/>
    <w:rsid w:val="00FD26E4"/>
    <w:rsid w:val="00FD38AD"/>
    <w:rsid w:val="00FD44F7"/>
    <w:rsid w:val="00FD54AD"/>
    <w:rsid w:val="00FD5789"/>
    <w:rsid w:val="00FD5C0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70E2AA4"/>
    <w:rsid w:val="0EFE233F"/>
    <w:rsid w:val="18047589"/>
    <w:rsid w:val="1C670B57"/>
    <w:rsid w:val="25B6734F"/>
    <w:rsid w:val="268D1EA3"/>
    <w:rsid w:val="28A6399D"/>
    <w:rsid w:val="34DB2740"/>
    <w:rsid w:val="370637B5"/>
    <w:rsid w:val="490C0662"/>
    <w:rsid w:val="520B2179"/>
    <w:rsid w:val="5963260A"/>
    <w:rsid w:val="63C4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7">
    <w:name w:val="annotation subject"/>
    <w:basedOn w:val="2"/>
    <w:next w:val="2"/>
    <w:link w:val="18"/>
    <w:unhideWhenUsed/>
    <w:qFormat/>
    <w:uiPriority w:val="0"/>
    <w:rPr>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94F6-24BD-4EF0-B4DF-C13E5E68CE20}">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4229</Words>
  <Characters>24110</Characters>
  <Lines>200</Lines>
  <Paragraphs>56</Paragraphs>
  <TotalTime>0</TotalTime>
  <ScaleCrop>false</ScaleCrop>
  <LinksUpToDate>false</LinksUpToDate>
  <CharactersWithSpaces>28283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子絮</cp:lastModifiedBy>
  <cp:lastPrinted>2023-04-25T03:17:00Z</cp:lastPrinted>
  <dcterms:modified xsi:type="dcterms:W3CDTF">2023-08-28T06:33:07Z</dcterms:modified>
  <dc:title>产品说明书</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C46AF2E56C7D4AEDAA04E04EAC2725A6_12</vt:lpwstr>
  </property>
</Properties>
</file>