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2723" w14:textId="77777777" w:rsidR="00306D2A"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兴银理财天天万利宝稳利净值型理财产品</w:t>
      </w:r>
    </w:p>
    <w:p w14:paraId="4FED2176" w14:textId="77777777" w:rsidR="00306D2A"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7298B1A" w14:textId="77777777" w:rsidR="00306D2A"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6FCA391D" w14:textId="77777777" w:rsidR="00306D2A"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BFDF11E"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817CED0" w14:textId="77777777" w:rsidR="00306D2A"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465BCE7" w14:textId="77777777" w:rsidR="00306D2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2E0CE4BA"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3FAF823F"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兴业银行天天万利宝稳利6号O款净值型理财产品。</w:t>
      </w:r>
    </w:p>
    <w:p w14:paraId="4B247A16"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宋体" w:hAnsi="宋体" w:cs="仿宋_GB2312" w:hint="eastAsia"/>
          <w:kern w:val="0"/>
          <w:sz w:val="18"/>
          <w:szCs w:val="18"/>
        </w:rPr>
        <w:t>【稳利月月增利A款】（适用【A】类份额）</w:t>
      </w:r>
    </w:p>
    <w:p w14:paraId="516C779B" w14:textId="77777777" w:rsidR="00306D2A" w:rsidRDefault="00000000">
      <w:pPr>
        <w:ind w:firstLineChars="749" w:firstLine="1348"/>
        <w:rPr>
          <w:rFonts w:ascii="宋体" w:hAnsi="宋体" w:cs="仿宋_GB2312"/>
          <w:kern w:val="0"/>
          <w:sz w:val="18"/>
          <w:szCs w:val="18"/>
        </w:rPr>
      </w:pPr>
      <w:r>
        <w:rPr>
          <w:rFonts w:ascii="宋体" w:hAnsi="宋体" w:cs="仿宋_GB2312" w:hint="eastAsia"/>
          <w:kern w:val="0"/>
          <w:sz w:val="18"/>
          <w:szCs w:val="18"/>
        </w:rPr>
        <w:t>【稳利月月增利A款B】（适用【B】类份额）</w:t>
      </w:r>
    </w:p>
    <w:p w14:paraId="49355870" w14:textId="77777777" w:rsidR="00306D2A" w:rsidRDefault="00000000">
      <w:pPr>
        <w:ind w:firstLineChars="749" w:firstLine="1348"/>
        <w:rPr>
          <w:rFonts w:ascii="宋体" w:hAnsi="宋体" w:cs="仿宋_GB2312"/>
          <w:kern w:val="0"/>
          <w:sz w:val="18"/>
          <w:szCs w:val="18"/>
        </w:rPr>
      </w:pPr>
      <w:r>
        <w:rPr>
          <w:rFonts w:ascii="宋体" w:hAnsi="宋体" w:cs="仿宋_GB2312" w:hint="eastAsia"/>
          <w:kern w:val="0"/>
          <w:sz w:val="18"/>
          <w:szCs w:val="18"/>
        </w:rPr>
        <w:t>【稳利月月增利A款C】（适用【C】类份额）</w:t>
      </w:r>
    </w:p>
    <w:p w14:paraId="1E8EA671" w14:textId="77777777" w:rsidR="00306D2A" w:rsidRDefault="00000000">
      <w:pPr>
        <w:ind w:firstLineChars="749" w:firstLine="1348"/>
        <w:rPr>
          <w:rFonts w:ascii="宋体" w:hAnsi="宋体" w:cs="仿宋_GB2312"/>
          <w:kern w:val="0"/>
          <w:sz w:val="18"/>
          <w:szCs w:val="18"/>
        </w:rPr>
      </w:pPr>
      <w:r>
        <w:rPr>
          <w:rFonts w:ascii="宋体" w:hAnsi="宋体" w:cs="仿宋_GB2312" w:hint="eastAsia"/>
          <w:kern w:val="0"/>
          <w:sz w:val="18"/>
          <w:szCs w:val="18"/>
        </w:rPr>
        <w:t>【稳利月月增利A款D】（适用【D】类份额）</w:t>
      </w:r>
    </w:p>
    <w:p w14:paraId="61940A26" w14:textId="77777777" w:rsidR="00306D2A"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宋体" w:hAnsi="宋体" w:cs="仿宋_GB2312"/>
          <w:kern w:val="0"/>
          <w:sz w:val="18"/>
          <w:szCs w:val="18"/>
        </w:rPr>
        <w:t>Z7002021000131</w:t>
      </w:r>
      <w:r>
        <w:rPr>
          <w:rFonts w:ascii="宋体" w:hAnsi="宋体" w:cs="仿宋_GB2312" w:hint="eastAsia"/>
          <w:kern w:val="0"/>
          <w:sz w:val="18"/>
          <w:szCs w:val="18"/>
        </w:rPr>
        <w:t>】。</w:t>
      </w:r>
    </w:p>
    <w:p w14:paraId="0756507D"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55A887B" w14:textId="77777777" w:rsidR="00306D2A" w:rsidRDefault="00000000">
      <w:pPr>
        <w:ind w:firstLineChars="299" w:firstLine="538"/>
        <w:rPr>
          <w:rFonts w:ascii="宋体" w:hAnsi="宋体" w:cs="仿宋_GB2312"/>
          <w:kern w:val="0"/>
          <w:sz w:val="18"/>
          <w:szCs w:val="18"/>
        </w:rPr>
      </w:pPr>
      <w:r>
        <w:rPr>
          <w:rFonts w:ascii="宋体" w:hAnsi="宋体" w:cs="仿宋_GB2312" w:hint="eastAsia"/>
          <w:kern w:val="0"/>
          <w:sz w:val="18"/>
          <w:szCs w:val="18"/>
        </w:rPr>
        <w:t>公募、开放式、【固定收益类】、非保本浮动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4D328B95"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721B61C"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14:paraId="535427FD" w14:textId="77777777" w:rsidR="00306D2A"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E8EEA40" w14:textId="77777777" w:rsidR="00306D2A"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BBD952F" w14:textId="77777777" w:rsidR="00306D2A"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310F030"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BDB192F"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（产品管理人定义的产品风险评级为【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；代理销售机构定义的产品风险评级为【</w:t>
      </w:r>
      <w:r>
        <w:rPr>
          <w:rFonts w:asciiTheme="majorEastAsia" w:eastAsiaTheme="majorEastAsia" w:hAnsiTheme="majorEastAsia"/>
          <w:bCs/>
          <w:color w:val="000000" w:themeColor="text1"/>
          <w:sz w:val="18"/>
          <w:szCs w:val="18"/>
        </w:rPr>
        <w:t>R2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F61FF4E" w14:textId="77777777" w:rsidR="00306D2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D8C4E5E" w14:textId="77777777" w:rsidR="00306D2A"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AA74FE1" w14:textId="77777777" w:rsidR="00306D2A"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 C1、■ C2、■ C3、■ C4、■ C5、■ C6】。</w:t>
      </w:r>
    </w:p>
    <w:p w14:paraId="3FB03B96" w14:textId="77777777" w:rsidR="00306D2A"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66EAC2F4" w14:textId="77777777" w:rsidR="00306D2A"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7460632" w14:textId="77777777" w:rsidR="00306D2A"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4689A29" w14:textId="77777777" w:rsidR="00306D2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BEEE33F" w14:textId="77777777" w:rsidR="00306D2A" w:rsidRDefault="00000000">
      <w:pPr>
        <w:ind w:firstLineChars="200" w:firstLine="360"/>
        <w:rPr>
          <w:rFonts w:ascii="黑体" w:eastAsia="黑体" w:hAnsi="黑体"/>
          <w:sz w:val="18"/>
          <w:szCs w:val="18"/>
        </w:rPr>
      </w:pPr>
      <w:r>
        <w:rPr>
          <w:rFonts w:ascii="黑体" w:eastAsia="黑体" w:hAnsi="黑体" w:hint="eastAsia"/>
          <w:sz w:val="18"/>
          <w:szCs w:val="18"/>
        </w:rPr>
        <w:t>（一）投资者投资本产品可能面临的特定风险主要包括（但不限于）：</w:t>
      </w:r>
    </w:p>
    <w:p w14:paraId="0690C540" w14:textId="77777777" w:rsidR="00306D2A" w:rsidRDefault="00000000">
      <w:pPr>
        <w:pStyle w:val="af"/>
        <w:ind w:firstLineChars="0" w:firstLine="448"/>
        <w:rPr>
          <w:rFonts w:ascii="黑体" w:eastAsia="黑体" w:hAnsi="黑体"/>
          <w:sz w:val="18"/>
          <w:szCs w:val="18"/>
        </w:rPr>
      </w:pPr>
      <w:r>
        <w:rPr>
          <w:rFonts w:ascii="黑体" w:eastAsia="黑体" w:hAnsi="黑体" w:hint="eastAsia"/>
          <w:sz w:val="18"/>
          <w:szCs w:val="18"/>
        </w:rPr>
        <w:lastRenderedPageBreak/>
        <w:t>1.拟投资市场和资产的风险：</w:t>
      </w:r>
    </w:p>
    <w:p w14:paraId="7AEBE829" w14:textId="77777777" w:rsidR="00306D2A" w:rsidRDefault="00000000">
      <w:pPr>
        <w:pStyle w:val="af"/>
        <w:ind w:firstLineChars="0"/>
        <w:rPr>
          <w:rFonts w:ascii="宋体" w:hAnsi="宋体"/>
          <w:sz w:val="18"/>
          <w:szCs w:val="18"/>
        </w:rPr>
      </w:pPr>
      <w:r>
        <w:rPr>
          <w:rFonts w:ascii="宋体" w:hAnsi="宋体" w:hint="eastAsia"/>
          <w:sz w:val="18"/>
          <w:szCs w:val="18"/>
        </w:rPr>
        <w:t>（</w:t>
      </w:r>
      <w:r>
        <w:rPr>
          <w:rFonts w:ascii="宋体" w:hAnsi="宋体"/>
          <w:sz w:val="18"/>
          <w:szCs w:val="18"/>
        </w:rPr>
        <w:t>1）投资固定收益类资产的风险</w:t>
      </w:r>
    </w:p>
    <w:p w14:paraId="47366AC6" w14:textId="77777777" w:rsidR="00306D2A" w:rsidRDefault="00000000">
      <w:pPr>
        <w:pStyle w:val="af"/>
        <w:ind w:firstLineChars="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投资</w:t>
      </w:r>
      <w:r>
        <w:rPr>
          <w:rFonts w:ascii="宋体" w:hAnsi="宋体" w:hint="eastAsia"/>
          <w:sz w:val="18"/>
          <w:szCs w:val="18"/>
        </w:rPr>
        <w:t>标准化</w:t>
      </w:r>
      <w:r>
        <w:rPr>
          <w:rFonts w:ascii="宋体" w:hAnsi="宋体"/>
          <w:sz w:val="18"/>
          <w:szCs w:val="18"/>
        </w:rPr>
        <w:t>债权类资产的风险</w:t>
      </w:r>
    </w:p>
    <w:p w14:paraId="0DAB0DC4" w14:textId="77777777" w:rsidR="00306D2A" w:rsidRDefault="00000000">
      <w:pPr>
        <w:pStyle w:val="af"/>
        <w:ind w:firstLineChars="0"/>
        <w:rPr>
          <w:rFonts w:ascii="宋体" w:hAnsi="宋体"/>
          <w:sz w:val="18"/>
          <w:szCs w:val="18"/>
        </w:rPr>
      </w:pPr>
      <w:r>
        <w:rPr>
          <w:rFonts w:ascii="宋体" w:hAnsi="宋体"/>
          <w:sz w:val="18"/>
          <w:szCs w:val="18"/>
        </w:rPr>
        <w:t>本产品投资债券</w:t>
      </w:r>
      <w:r>
        <w:rPr>
          <w:rFonts w:ascii="宋体" w:hAnsi="宋体" w:hint="eastAsia"/>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14:paraId="763BD7E4" w14:textId="77777777" w:rsidR="00306D2A" w:rsidRDefault="00000000">
      <w:pPr>
        <w:pStyle w:val="af"/>
        <w:ind w:firstLineChars="0"/>
        <w:rPr>
          <w:rFonts w:ascii="宋体" w:hAnsi="宋体"/>
          <w:sz w:val="18"/>
          <w:szCs w:val="18"/>
        </w:rPr>
      </w:pPr>
      <w:r>
        <w:rPr>
          <w:rFonts w:ascii="宋体" w:hAnsi="宋体"/>
          <w:sz w:val="18"/>
          <w:szCs w:val="18"/>
        </w:rPr>
        <w:t>2）投资非标准化债权类资产</w:t>
      </w:r>
      <w:r>
        <w:rPr>
          <w:rFonts w:ascii="宋体" w:hAnsi="宋体" w:hint="eastAsia"/>
          <w:sz w:val="18"/>
          <w:szCs w:val="18"/>
        </w:rPr>
        <w:t>的</w:t>
      </w:r>
      <w:r>
        <w:rPr>
          <w:rFonts w:ascii="宋体" w:hAnsi="宋体"/>
          <w:sz w:val="18"/>
          <w:szCs w:val="18"/>
        </w:rPr>
        <w:t>风险</w:t>
      </w:r>
    </w:p>
    <w:p w14:paraId="70D62ECD" w14:textId="77777777" w:rsidR="00306D2A" w:rsidRDefault="00000000">
      <w:pPr>
        <w:pStyle w:val="af"/>
        <w:ind w:firstLineChars="0"/>
        <w:rPr>
          <w:rFonts w:ascii="宋体" w:hAnsi="宋体"/>
          <w:sz w:val="18"/>
          <w:szCs w:val="18"/>
        </w:rPr>
      </w:pPr>
      <w:r>
        <w:rPr>
          <w:rFonts w:ascii="宋体" w:hAnsi="宋体" w:hint="eastAsia"/>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63CE5ABE" w14:textId="77777777" w:rsidR="00306D2A" w:rsidRDefault="00000000">
      <w:pPr>
        <w:pStyle w:val="af"/>
        <w:ind w:firstLineChars="0"/>
        <w:rPr>
          <w:rFonts w:ascii="宋体" w:hAnsi="宋体"/>
          <w:sz w:val="18"/>
          <w:szCs w:val="18"/>
        </w:rPr>
      </w:pPr>
      <w:r>
        <w:rPr>
          <w:rFonts w:ascii="宋体" w:hAnsi="宋体" w:hint="eastAsia"/>
          <w:sz w:val="18"/>
          <w:szCs w:val="18"/>
        </w:rPr>
        <w:t>（2）投资</w:t>
      </w:r>
      <w:r>
        <w:rPr>
          <w:rFonts w:ascii="宋体" w:hAnsi="宋体"/>
          <w:sz w:val="18"/>
          <w:szCs w:val="18"/>
        </w:rPr>
        <w:t>权益类资产</w:t>
      </w:r>
      <w:r>
        <w:rPr>
          <w:rFonts w:ascii="宋体" w:hAnsi="宋体" w:hint="eastAsia"/>
          <w:sz w:val="18"/>
          <w:szCs w:val="18"/>
        </w:rPr>
        <w:t>的</w:t>
      </w:r>
      <w:r>
        <w:rPr>
          <w:rFonts w:ascii="宋体" w:hAnsi="宋体"/>
          <w:sz w:val="18"/>
          <w:szCs w:val="18"/>
        </w:rPr>
        <w:t>风险</w:t>
      </w:r>
      <w:r>
        <w:rPr>
          <w:rFonts w:ascii="宋体" w:hAnsi="宋体" w:hint="eastAsia"/>
          <w:sz w:val="18"/>
          <w:szCs w:val="18"/>
        </w:rPr>
        <w:t xml:space="preserve"> </w:t>
      </w:r>
    </w:p>
    <w:p w14:paraId="7E7C16FE" w14:textId="77777777" w:rsidR="00306D2A" w:rsidRDefault="00000000">
      <w:pPr>
        <w:pStyle w:val="af"/>
        <w:ind w:firstLineChars="0"/>
        <w:rPr>
          <w:rFonts w:ascii="宋体" w:hAnsi="宋体"/>
          <w:sz w:val="18"/>
          <w:szCs w:val="18"/>
        </w:rPr>
      </w:pPr>
      <w:r>
        <w:rPr>
          <w:rFonts w:ascii="宋体" w:hAnsi="宋体" w:hint="eastAsia"/>
          <w:sz w:val="18"/>
          <w:szCs w:val="18"/>
        </w:rPr>
        <w:t>1）投资股票类资产的风险</w:t>
      </w:r>
    </w:p>
    <w:p w14:paraId="798B04A8" w14:textId="77777777" w:rsidR="00306D2A" w:rsidRDefault="00000000">
      <w:pPr>
        <w:pStyle w:val="af"/>
        <w:ind w:firstLineChars="0"/>
        <w:rPr>
          <w:rFonts w:ascii="宋体" w:hAnsi="宋体"/>
          <w:sz w:val="18"/>
          <w:szCs w:val="18"/>
        </w:rPr>
      </w:pPr>
      <w:r>
        <w:rPr>
          <w:rFonts w:ascii="宋体" w:hAnsi="宋体"/>
          <w:sz w:val="18"/>
          <w:szCs w:val="18"/>
        </w:rPr>
        <w:t>本产品投资股票类资产时可能面临以下风险</w:t>
      </w:r>
      <w:r>
        <w:rPr>
          <w:rFonts w:ascii="宋体" w:hAnsi="宋体" w:hint="eastAsia"/>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653EA0EF" w14:textId="77777777" w:rsidR="00306D2A" w:rsidRDefault="00000000">
      <w:pPr>
        <w:pStyle w:val="af"/>
        <w:ind w:firstLineChars="0"/>
        <w:rPr>
          <w:rFonts w:ascii="宋体" w:hAnsi="宋体"/>
          <w:sz w:val="18"/>
          <w:szCs w:val="18"/>
        </w:rPr>
      </w:pPr>
      <w:r>
        <w:rPr>
          <w:rFonts w:ascii="宋体" w:hAnsi="宋体" w:hint="eastAsia"/>
          <w:sz w:val="18"/>
          <w:szCs w:val="18"/>
        </w:rPr>
        <w:t>2）投资股权类资产的风险</w:t>
      </w:r>
    </w:p>
    <w:p w14:paraId="2EB0CD10" w14:textId="77777777" w:rsidR="00306D2A" w:rsidRDefault="00000000">
      <w:pPr>
        <w:rPr>
          <w:rFonts w:ascii="宋体" w:hAnsi="宋体"/>
          <w:sz w:val="18"/>
          <w:szCs w:val="18"/>
        </w:rPr>
      </w:pPr>
      <w:r>
        <w:rPr>
          <w:rFonts w:ascii="宋体" w:hAnsi="宋体"/>
          <w:sz w:val="18"/>
          <w:szCs w:val="18"/>
        </w:rPr>
        <w:t>本产品投资未上市股权类资产时可能面临以下风险</w:t>
      </w:r>
      <w:r>
        <w:rPr>
          <w:rFonts w:ascii="宋体" w:hAnsi="宋体" w:hint="eastAsia"/>
          <w:sz w:val="18"/>
          <w:szCs w:val="18"/>
        </w:rPr>
        <w:t>：</w:t>
      </w:r>
      <w:r>
        <w:rPr>
          <w:rFonts w:ascii="宋体" w:hAnsi="宋体"/>
          <w:sz w:val="18"/>
          <w:szCs w:val="18"/>
        </w:rPr>
        <w:t>国家政策、经济周期、行业政策</w:t>
      </w:r>
      <w:r>
        <w:rPr>
          <w:rFonts w:ascii="宋体" w:hAnsi="宋体" w:hint="eastAsia"/>
          <w:sz w:val="18"/>
          <w:szCs w:val="18"/>
        </w:rPr>
        <w:t>等因素可能发生变化导致的市场风险；</w:t>
      </w:r>
      <w:r>
        <w:rPr>
          <w:rFonts w:ascii="宋体" w:hAnsi="宋体"/>
          <w:sz w:val="18"/>
          <w:szCs w:val="18"/>
        </w:rPr>
        <w:t>因市场、技术、竞争、管理、财务等导致公司盈利发生变化，其</w:t>
      </w:r>
      <w:r>
        <w:rPr>
          <w:rFonts w:ascii="宋体" w:hAnsi="宋体" w:hint="eastAsia"/>
          <w:sz w:val="18"/>
          <w:szCs w:val="18"/>
        </w:rPr>
        <w:t>股权</w:t>
      </w:r>
      <w:r>
        <w:rPr>
          <w:rFonts w:ascii="宋体" w:hAnsi="宋体"/>
          <w:sz w:val="18"/>
          <w:szCs w:val="18"/>
        </w:rPr>
        <w:t>价值可能下跌，影响投资者收益</w:t>
      </w:r>
      <w:r>
        <w:rPr>
          <w:rFonts w:ascii="宋体" w:hAnsi="宋体" w:hint="eastAsia"/>
          <w:sz w:val="18"/>
          <w:szCs w:val="18"/>
        </w:rPr>
        <w:t>；</w:t>
      </w:r>
      <w:r>
        <w:rPr>
          <w:rFonts w:ascii="宋体" w:hAnsi="宋体"/>
          <w:sz w:val="18"/>
          <w:szCs w:val="18"/>
        </w:rPr>
        <w:t>因股权未上市或存在相关限制股权转让的协议导致的流动性风险等</w:t>
      </w:r>
      <w:r>
        <w:rPr>
          <w:rFonts w:ascii="宋体" w:hAnsi="宋体" w:hint="eastAsia"/>
          <w:sz w:val="18"/>
          <w:szCs w:val="18"/>
        </w:rPr>
        <w:t>。</w:t>
      </w:r>
    </w:p>
    <w:p w14:paraId="4FB7A94A" w14:textId="77777777" w:rsidR="00306D2A" w:rsidRDefault="00000000">
      <w:pPr>
        <w:pStyle w:val="af"/>
        <w:ind w:firstLineChars="0"/>
        <w:rPr>
          <w:rFonts w:ascii="宋体" w:hAnsi="宋体"/>
          <w:sz w:val="18"/>
          <w:szCs w:val="18"/>
        </w:rPr>
      </w:pPr>
      <w:r>
        <w:rPr>
          <w:rFonts w:ascii="宋体" w:hAnsi="宋体" w:hint="eastAsia"/>
          <w:sz w:val="18"/>
          <w:szCs w:val="18"/>
        </w:rPr>
        <w:t>（</w:t>
      </w:r>
      <w:r>
        <w:rPr>
          <w:rFonts w:ascii="宋体" w:hAnsi="宋体"/>
          <w:sz w:val="18"/>
          <w:szCs w:val="18"/>
        </w:rPr>
        <w:t>3）投资商品和金融衍生品类资产</w:t>
      </w:r>
      <w:r>
        <w:rPr>
          <w:rFonts w:ascii="宋体" w:hAnsi="宋体" w:hint="eastAsia"/>
          <w:sz w:val="18"/>
          <w:szCs w:val="18"/>
        </w:rPr>
        <w:t>的</w:t>
      </w:r>
      <w:r>
        <w:rPr>
          <w:rFonts w:ascii="宋体" w:hAnsi="宋体"/>
          <w:sz w:val="18"/>
          <w:szCs w:val="18"/>
        </w:rPr>
        <w:t>风险</w:t>
      </w:r>
      <w:r>
        <w:rPr>
          <w:rFonts w:ascii="宋体" w:hAnsi="宋体" w:hint="eastAsia"/>
          <w:sz w:val="18"/>
          <w:szCs w:val="18"/>
        </w:rPr>
        <w:t xml:space="preserve"> </w:t>
      </w:r>
    </w:p>
    <w:p w14:paraId="53E66ADA" w14:textId="77777777" w:rsidR="00306D2A" w:rsidRDefault="00000000">
      <w:pPr>
        <w:pStyle w:val="af"/>
        <w:ind w:firstLineChars="0"/>
        <w:rPr>
          <w:rFonts w:ascii="宋体" w:hAnsi="宋体"/>
          <w:sz w:val="18"/>
          <w:szCs w:val="18"/>
        </w:rPr>
      </w:pPr>
      <w:r>
        <w:rPr>
          <w:rFonts w:ascii="宋体" w:hAnsi="宋体"/>
          <w:sz w:val="18"/>
          <w:szCs w:val="18"/>
        </w:rPr>
        <w:t>本产品投资商品和金融衍生品类资产时</w:t>
      </w:r>
      <w:r>
        <w:rPr>
          <w:rFonts w:ascii="宋体" w:hAnsi="宋体" w:hint="eastAsia"/>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ascii="宋体" w:hAnsi="宋体" w:hint="eastAsia"/>
          <w:sz w:val="18"/>
          <w:szCs w:val="18"/>
        </w:rPr>
        <w:t>（注：</w:t>
      </w:r>
      <w:r>
        <w:rPr>
          <w:rFonts w:ascii="宋体" w:hAnsi="宋体"/>
          <w:sz w:val="18"/>
          <w:szCs w:val="18"/>
        </w:rPr>
        <w:t>基差是指现货价格与期货价格之间的差额</w:t>
      </w:r>
      <w:r>
        <w:rPr>
          <w:rFonts w:ascii="宋体" w:hAnsi="宋体" w:hint="eastAsia"/>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99E0769" w14:textId="77777777" w:rsidR="00306D2A" w:rsidRDefault="00000000">
      <w:pPr>
        <w:pStyle w:val="af"/>
        <w:ind w:firstLine="361"/>
        <w:rPr>
          <w:rFonts w:ascii="黑体" w:eastAsia="黑体" w:hAnsi="黑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 xml:space="preserve">注：以上特定风险仅为列举性质，未能详尽列明投资本产品可能面临的全部风险和可能导致投资者投资本金及收益损失的所有因素。 </w:t>
      </w:r>
    </w:p>
    <w:p w14:paraId="4E8F154B" w14:textId="77777777" w:rsidR="00306D2A" w:rsidRDefault="00000000">
      <w:pPr>
        <w:pStyle w:val="af"/>
        <w:ind w:firstLineChars="0" w:firstLine="426"/>
        <w:rPr>
          <w:rFonts w:ascii="宋体" w:hAnsi="宋体"/>
          <w:sz w:val="18"/>
          <w:szCs w:val="18"/>
        </w:rPr>
      </w:pPr>
      <w:r>
        <w:rPr>
          <w:rFonts w:ascii="宋体" w:hAnsi="宋体" w:hint="eastAsia"/>
          <w:sz w:val="18"/>
          <w:szCs w:val="18"/>
        </w:rPr>
        <w:t xml:space="preserve">（二）投资者投资本产品可能面临的一般风险主要包括（但不限于）： </w:t>
      </w:r>
    </w:p>
    <w:p w14:paraId="6230C964" w14:textId="77777777" w:rsidR="00306D2A"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4AAF7CB" w14:textId="77777777" w:rsidR="00306D2A"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DF0E0E4" w14:textId="77777777" w:rsidR="00306D2A"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CF062DF" w14:textId="77777777" w:rsidR="00306D2A" w:rsidRDefault="00000000">
      <w:pPr>
        <w:pStyle w:val="af"/>
        <w:ind w:firstLineChars="0" w:firstLine="426"/>
        <w:rPr>
          <w:rFonts w:ascii="宋体" w:hAnsi="宋体" w:cs="仿宋_GB2312"/>
          <w:bCs/>
          <w:kern w:val="0"/>
          <w:sz w:val="18"/>
          <w:szCs w:val="18"/>
        </w:rPr>
      </w:pPr>
      <w:r>
        <w:rPr>
          <w:rFonts w:ascii="宋体" w:hAnsi="宋体" w:cs="仿宋_GB2312" w:hint="eastAsia"/>
          <w:b/>
          <w:kern w:val="0"/>
          <w:sz w:val="18"/>
          <w:szCs w:val="18"/>
        </w:rPr>
        <w:t>4.流动性风险：</w:t>
      </w: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cs="仿宋_GB2312" w:hint="eastAsia"/>
          <w:bCs/>
          <w:kern w:val="0"/>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D0DC8E5" w14:textId="77777777" w:rsidR="00306D2A"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4E0E8C3" w14:textId="77777777" w:rsidR="00306D2A"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34E4627" w14:textId="77777777" w:rsidR="00306D2A"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CE5FA52" w14:textId="77777777" w:rsidR="00306D2A"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5DC0DF73" w14:textId="77777777" w:rsidR="00306D2A"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4B491971" w14:textId="77777777" w:rsidR="00306D2A"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E61D5A6" w14:textId="77777777" w:rsidR="00306D2A"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A4E13BA" w14:textId="77777777" w:rsidR="00306D2A"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05798EB" w14:textId="77777777" w:rsidR="00306D2A"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B923ABF" w14:textId="77777777" w:rsidR="00306D2A"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3E4A740" w14:textId="77777777" w:rsidR="00306D2A"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5F11172" w14:textId="77777777" w:rsidR="00306D2A" w:rsidRDefault="00000000">
      <w:pPr>
        <w:pStyle w:val="af"/>
        <w:ind w:firstLineChars="0"/>
        <w:rPr>
          <w:rFonts w:ascii="黑体" w:eastAsia="黑体" w:hAnsi="黑体" w:cs="仿宋_GB2312"/>
          <w:kern w:val="0"/>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w:t>
      </w:r>
      <w:r>
        <w:rPr>
          <w:rFonts w:ascii="黑体" w:eastAsia="黑体" w:hAnsi="黑体" w:hint="eastAsia"/>
          <w:sz w:val="18"/>
          <w:szCs w:val="18"/>
        </w:rPr>
        <w:t>收费方式、</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w:t>
      </w:r>
      <w:r>
        <w:rPr>
          <w:rFonts w:ascii="黑体" w:eastAsia="黑体" w:hAnsi="黑体" w:cs="仿宋_GB2312" w:hint="eastAsia"/>
          <w:kern w:val="0"/>
          <w:sz w:val="18"/>
          <w:szCs w:val="18"/>
        </w:rPr>
        <w:t>赎回的数量限制、</w:t>
      </w:r>
      <w:r>
        <w:rPr>
          <w:rFonts w:ascii="黑体" w:eastAsia="黑体" w:hAnsi="黑体" w:hint="eastAsia"/>
          <w:sz w:val="18"/>
          <w:szCs w:val="18"/>
        </w:rPr>
        <w:t>投资者持有本产品的最高限额最低限额、</w:t>
      </w:r>
      <w:r>
        <w:rPr>
          <w:rFonts w:ascii="黑体" w:eastAsia="黑体" w:hAnsi="黑体" w:cs="仿宋_GB2312" w:hint="eastAsia"/>
          <w:kern w:val="0"/>
          <w:sz w:val="18"/>
          <w:szCs w:val="18"/>
        </w:rPr>
        <w:t>计算和公告产品份额净值方面存在差异。</w:t>
      </w:r>
    </w:p>
    <w:p w14:paraId="6C374264" w14:textId="77777777" w:rsidR="00306D2A" w:rsidRDefault="00000000">
      <w:pPr>
        <w:pStyle w:val="af"/>
        <w:ind w:firstLineChars="0"/>
        <w:rPr>
          <w:rFonts w:ascii="黑体" w:eastAsia="黑体" w:hAnsi="黑体"/>
          <w:sz w:val="18"/>
          <w:szCs w:val="18"/>
          <w:u w:val="single"/>
        </w:rPr>
      </w:pPr>
      <w:r>
        <w:rPr>
          <w:rFonts w:ascii="黑体" w:eastAsia="黑体" w:hAnsi="黑体"/>
          <w:b/>
          <w:bCs/>
          <w:sz w:val="18"/>
          <w:szCs w:val="18"/>
          <w:u w:val="single"/>
        </w:rPr>
        <w:lastRenderedPageBreak/>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1EFAD976" w14:textId="77777777" w:rsidR="00306D2A" w:rsidRDefault="00000000">
      <w:pPr>
        <w:autoSpaceDE w:val="0"/>
        <w:autoSpaceDN w:val="0"/>
        <w:adjustRightInd w:val="0"/>
        <w:ind w:firstLine="420"/>
        <w:jc w:val="left"/>
        <w:rPr>
          <w:rFonts w:ascii="黑体" w:eastAsia="黑体" w:hAnsi="黑体"/>
          <w:b/>
          <w:sz w:val="18"/>
          <w:szCs w:val="18"/>
        </w:rPr>
      </w:pPr>
      <w:r>
        <w:rPr>
          <w:rFonts w:ascii="黑体" w:eastAsia="黑体" w:hAnsi="黑体" w:cs="仿宋_GB2312" w:hint="eastAsia"/>
          <w:b/>
          <w:kern w:val="0"/>
          <w:sz w:val="18"/>
          <w:szCs w:val="18"/>
        </w:rPr>
        <w:t>（三）</w:t>
      </w:r>
      <w:r>
        <w:rPr>
          <w:rFonts w:hAnsi="宋体" w:hint="eastAsia"/>
          <w:b/>
          <w:sz w:val="18"/>
          <w:szCs w:val="18"/>
        </w:rPr>
        <w:t>★</w:t>
      </w:r>
      <w:r>
        <w:rPr>
          <w:rFonts w:ascii="黑体" w:eastAsia="黑体" w:hAnsi="黑体" w:cs="仿宋_GB2312" w:hint="eastAsia"/>
          <w:b/>
          <w:kern w:val="0"/>
          <w:sz w:val="18"/>
          <w:szCs w:val="18"/>
        </w:rPr>
        <w:t>最不利投资情形下的投资结果示例：</w:t>
      </w:r>
      <w:r>
        <w:rPr>
          <w:rFonts w:ascii="黑体" w:eastAsia="黑体" w:hAnsi="黑体" w:hint="eastAsia"/>
          <w:b/>
          <w:bCs/>
          <w:sz w:val="18"/>
          <w:szCs w:val="18"/>
        </w:rPr>
        <w:t>产品管理人对本产品的理财本金和收益不提供保证承诺，</w:t>
      </w:r>
      <w:r>
        <w:rPr>
          <w:rFonts w:ascii="黑体" w:eastAsia="黑体" w:hAnsi="黑体" w:hint="eastAsia"/>
          <w:b/>
          <w:sz w:val="18"/>
          <w:szCs w:val="18"/>
        </w:rPr>
        <w:t>若理财产品运作期间，该理财产品投资标的出现风险，则投资者可能无法获得理财收益</w:t>
      </w:r>
      <w:r>
        <w:rPr>
          <w:rFonts w:ascii="黑体" w:eastAsia="黑体" w:hAnsi="黑体"/>
          <w:b/>
          <w:sz w:val="18"/>
          <w:szCs w:val="18"/>
        </w:rPr>
        <w:t>，甚至投资者的投资本金将遭受损失，在最不利的极端情况下，投资者可能损失全部本金。</w:t>
      </w:r>
    </w:p>
    <w:p w14:paraId="18754356" w14:textId="77777777" w:rsidR="00306D2A"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65A4E7F2" w14:textId="77777777" w:rsidR="00306D2A" w:rsidRDefault="00306D2A">
      <w:pPr>
        <w:ind w:left="540"/>
        <w:jc w:val="right"/>
        <w:rPr>
          <w:rFonts w:ascii="宋体" w:hAnsi="宋体"/>
          <w:sz w:val="18"/>
          <w:szCs w:val="18"/>
        </w:rPr>
      </w:pPr>
    </w:p>
    <w:p w14:paraId="0263277A" w14:textId="77777777" w:rsidR="00306D2A"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0EE30C3" w14:textId="15A69413" w:rsidR="00306D2A" w:rsidRDefault="00000000">
      <w:pPr>
        <w:wordWrap w:val="0"/>
        <w:ind w:left="540"/>
        <w:jc w:val="right"/>
        <w:rPr>
          <w:rFonts w:ascii="宋体" w:hAnsi="宋体"/>
          <w:sz w:val="18"/>
          <w:szCs w:val="18"/>
        </w:rPr>
      </w:pPr>
      <w:r>
        <w:rPr>
          <w:rFonts w:ascii="宋体" w:hAnsi="宋体" w:hint="eastAsia"/>
          <w:sz w:val="18"/>
          <w:szCs w:val="18"/>
        </w:rPr>
        <w:t>销售机构（【</w:t>
      </w:r>
      <w:r w:rsidR="005E2BFA" w:rsidRPr="005E2BFA">
        <w:rPr>
          <w:rFonts w:asciiTheme="majorEastAsia" w:eastAsiaTheme="majorEastAsia" w:hAnsiTheme="majorEastAsia" w:hint="eastAsia"/>
          <w:bCs/>
          <w:sz w:val="18"/>
          <w:szCs w:val="18"/>
        </w:rPr>
        <w:t>浙江新昌农村商业银行股份有限公司</w:t>
      </w:r>
      <w:r>
        <w:rPr>
          <w:rFonts w:ascii="宋体" w:hAnsi="宋体" w:hint="eastAsia"/>
          <w:sz w:val="18"/>
          <w:szCs w:val="18"/>
        </w:rPr>
        <w:t>】）</w:t>
      </w:r>
    </w:p>
    <w:p w14:paraId="3CD18095" w14:textId="77777777" w:rsidR="00306D2A" w:rsidRDefault="00000000">
      <w:pPr>
        <w:widowControl/>
        <w:jc w:val="left"/>
        <w:rPr>
          <w:rFonts w:ascii="宋体" w:hAnsi="宋体"/>
          <w:sz w:val="18"/>
          <w:szCs w:val="18"/>
        </w:rPr>
      </w:pPr>
      <w:r>
        <w:rPr>
          <w:rFonts w:ascii="宋体" w:hAnsi="宋体"/>
          <w:sz w:val="18"/>
          <w:szCs w:val="18"/>
        </w:rPr>
        <w:br w:type="page"/>
      </w:r>
    </w:p>
    <w:p w14:paraId="4C3EB982" w14:textId="77777777" w:rsidR="00306D2A" w:rsidRDefault="00306D2A">
      <w:pPr>
        <w:ind w:left="540"/>
        <w:jc w:val="right"/>
        <w:rPr>
          <w:rFonts w:ascii="宋体" w:hAnsi="宋体"/>
          <w:sz w:val="18"/>
          <w:szCs w:val="18"/>
        </w:rPr>
      </w:pPr>
    </w:p>
    <w:p w14:paraId="1D5F80DA" w14:textId="77777777" w:rsidR="00306D2A" w:rsidRDefault="00306D2A">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306D2A" w14:paraId="0F40AD25" w14:textId="77777777">
        <w:trPr>
          <w:trHeight w:val="627"/>
        </w:trPr>
        <w:tc>
          <w:tcPr>
            <w:tcW w:w="8371" w:type="dxa"/>
          </w:tcPr>
          <w:p w14:paraId="73DEEFC0" w14:textId="77777777" w:rsidR="00306D2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AA0A0AB" w14:textId="77777777" w:rsidR="00306D2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06D2A" w14:paraId="38EC9193" w14:textId="77777777">
        <w:trPr>
          <w:trHeight w:val="6283"/>
        </w:trPr>
        <w:tc>
          <w:tcPr>
            <w:tcW w:w="8371" w:type="dxa"/>
          </w:tcPr>
          <w:p w14:paraId="3F3F22EF" w14:textId="77777777" w:rsidR="00306D2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42BF107" w14:textId="77777777" w:rsidR="00306D2A" w:rsidRDefault="00306D2A">
            <w:pPr>
              <w:spacing w:line="280" w:lineRule="atLeast"/>
              <w:jc w:val="left"/>
              <w:rPr>
                <w:rFonts w:ascii="宋体" w:hAnsi="宋体" w:cs="Arial"/>
                <w:sz w:val="18"/>
                <w:szCs w:val="18"/>
              </w:rPr>
            </w:pPr>
          </w:p>
          <w:p w14:paraId="54CAA150"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C9B58FE" w14:textId="77777777" w:rsidR="00306D2A" w:rsidRDefault="00306D2A">
            <w:pPr>
              <w:spacing w:line="280" w:lineRule="atLeast"/>
              <w:jc w:val="left"/>
              <w:rPr>
                <w:rFonts w:ascii="宋体" w:hAnsi="宋体" w:cs="Arial"/>
                <w:kern w:val="0"/>
                <w:sz w:val="18"/>
                <w:szCs w:val="18"/>
              </w:rPr>
            </w:pPr>
          </w:p>
          <w:p w14:paraId="6EB20DCB" w14:textId="77777777" w:rsidR="00306D2A"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FC818F6" w14:textId="77777777" w:rsidR="00306D2A" w:rsidRDefault="00306D2A">
            <w:pPr>
              <w:spacing w:line="280" w:lineRule="atLeast"/>
              <w:jc w:val="left"/>
              <w:rPr>
                <w:rFonts w:ascii="宋体" w:hAnsi="宋体" w:cs="Arial"/>
                <w:kern w:val="0"/>
                <w:sz w:val="18"/>
                <w:szCs w:val="18"/>
              </w:rPr>
            </w:pPr>
          </w:p>
          <w:p w14:paraId="7A7264B7" w14:textId="77777777" w:rsidR="00306D2A"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18EA809" w14:textId="77777777" w:rsidR="00306D2A" w:rsidRDefault="00306D2A">
            <w:pPr>
              <w:spacing w:line="280" w:lineRule="atLeast"/>
              <w:jc w:val="left"/>
              <w:rPr>
                <w:kern w:val="0"/>
                <w:sz w:val="18"/>
                <w:szCs w:val="18"/>
                <w:u w:val="single"/>
              </w:rPr>
            </w:pPr>
          </w:p>
          <w:p w14:paraId="28D115F2" w14:textId="77777777" w:rsidR="00306D2A"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843B2FC" w14:textId="77777777" w:rsidR="00306D2A" w:rsidRDefault="00306D2A">
            <w:pPr>
              <w:spacing w:line="280" w:lineRule="atLeast"/>
              <w:ind w:left="4200" w:firstLineChars="600" w:firstLine="1080"/>
              <w:jc w:val="left"/>
              <w:rPr>
                <w:rFonts w:ascii="宋体" w:hAnsi="宋体" w:cs="Arial"/>
                <w:kern w:val="0"/>
                <w:sz w:val="18"/>
                <w:szCs w:val="18"/>
              </w:rPr>
            </w:pPr>
          </w:p>
          <w:p w14:paraId="58367817" w14:textId="77777777" w:rsidR="00306D2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CA9DEA6" w14:textId="77777777" w:rsidR="00306D2A" w:rsidRDefault="00306D2A">
            <w:pPr>
              <w:spacing w:line="280" w:lineRule="atLeast"/>
              <w:ind w:left="4200" w:firstLineChars="600" w:firstLine="1080"/>
              <w:jc w:val="left"/>
              <w:rPr>
                <w:rFonts w:ascii="宋体" w:hAnsi="宋体" w:cs="Arial"/>
                <w:kern w:val="0"/>
                <w:sz w:val="18"/>
                <w:szCs w:val="18"/>
              </w:rPr>
            </w:pPr>
          </w:p>
          <w:p w14:paraId="5BCF6D68" w14:textId="77777777" w:rsidR="00306D2A"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3FA50639" w14:textId="77777777" w:rsidR="00306D2A" w:rsidRDefault="00306D2A">
            <w:pPr>
              <w:spacing w:line="280" w:lineRule="atLeast"/>
              <w:jc w:val="right"/>
              <w:rPr>
                <w:rFonts w:ascii="宋体" w:hAnsi="宋体"/>
                <w:kern w:val="0"/>
                <w:sz w:val="18"/>
                <w:szCs w:val="18"/>
              </w:rPr>
            </w:pPr>
          </w:p>
        </w:tc>
      </w:tr>
    </w:tbl>
    <w:p w14:paraId="66997836" w14:textId="77777777" w:rsidR="00306D2A" w:rsidRDefault="00306D2A">
      <w:pPr>
        <w:autoSpaceDE w:val="0"/>
        <w:autoSpaceDN w:val="0"/>
        <w:adjustRightInd w:val="0"/>
        <w:spacing w:line="360" w:lineRule="auto"/>
        <w:ind w:firstLine="420"/>
        <w:jc w:val="left"/>
        <w:rPr>
          <w:rFonts w:ascii="宋体" w:hAnsi="宋体"/>
          <w:sz w:val="24"/>
        </w:rPr>
      </w:pPr>
    </w:p>
    <w:p w14:paraId="28A59838" w14:textId="77777777" w:rsidR="00306D2A" w:rsidRDefault="00306D2A">
      <w:pPr>
        <w:autoSpaceDE w:val="0"/>
        <w:autoSpaceDN w:val="0"/>
        <w:adjustRightInd w:val="0"/>
        <w:spacing w:line="360" w:lineRule="auto"/>
        <w:ind w:firstLine="420"/>
        <w:jc w:val="left"/>
        <w:rPr>
          <w:rFonts w:ascii="宋体" w:hAnsi="宋体"/>
          <w:sz w:val="24"/>
        </w:rPr>
      </w:pPr>
    </w:p>
    <w:p w14:paraId="73CD65B2" w14:textId="77777777" w:rsidR="00306D2A" w:rsidRDefault="00306D2A">
      <w:pPr>
        <w:autoSpaceDE w:val="0"/>
        <w:autoSpaceDN w:val="0"/>
        <w:adjustRightInd w:val="0"/>
        <w:spacing w:line="360" w:lineRule="auto"/>
        <w:ind w:firstLine="420"/>
        <w:jc w:val="left"/>
        <w:rPr>
          <w:rFonts w:ascii="宋体" w:hAnsi="宋体"/>
          <w:sz w:val="24"/>
        </w:rPr>
      </w:pPr>
    </w:p>
    <w:p w14:paraId="29C35733" w14:textId="77777777" w:rsidR="00306D2A" w:rsidRDefault="00306D2A">
      <w:pPr>
        <w:autoSpaceDE w:val="0"/>
        <w:autoSpaceDN w:val="0"/>
        <w:adjustRightInd w:val="0"/>
        <w:spacing w:line="360" w:lineRule="auto"/>
        <w:ind w:firstLine="420"/>
        <w:jc w:val="left"/>
        <w:rPr>
          <w:rFonts w:ascii="宋体" w:hAnsi="宋体"/>
          <w:sz w:val="24"/>
        </w:rPr>
      </w:pPr>
    </w:p>
    <w:p w14:paraId="45F50AFB" w14:textId="77777777" w:rsidR="00306D2A" w:rsidRDefault="00306D2A">
      <w:pPr>
        <w:rPr>
          <w:rFonts w:ascii="宋体" w:hAnsi="宋体" w:cs="Arial"/>
          <w:sz w:val="24"/>
        </w:rPr>
      </w:pPr>
    </w:p>
    <w:p w14:paraId="64B315A6" w14:textId="77777777" w:rsidR="00306D2A" w:rsidRDefault="00306D2A">
      <w:pPr>
        <w:rPr>
          <w:rFonts w:ascii="宋体" w:hAnsi="宋体" w:cs="Arial"/>
          <w:sz w:val="24"/>
        </w:rPr>
      </w:pPr>
    </w:p>
    <w:p w14:paraId="455272AC" w14:textId="77777777" w:rsidR="00306D2A" w:rsidRDefault="00306D2A">
      <w:pPr>
        <w:rPr>
          <w:rFonts w:ascii="宋体" w:hAnsi="宋体" w:cs="Arial"/>
          <w:sz w:val="24"/>
        </w:rPr>
      </w:pPr>
    </w:p>
    <w:p w14:paraId="07060382" w14:textId="77777777" w:rsidR="00306D2A" w:rsidRDefault="00306D2A">
      <w:pPr>
        <w:rPr>
          <w:rFonts w:ascii="宋体" w:hAnsi="宋体" w:cs="Arial"/>
          <w:sz w:val="24"/>
        </w:rPr>
      </w:pPr>
    </w:p>
    <w:p w14:paraId="0CC14F99" w14:textId="77777777" w:rsidR="00306D2A" w:rsidRDefault="00306D2A">
      <w:pPr>
        <w:rPr>
          <w:rFonts w:ascii="宋体" w:hAnsi="宋体" w:cs="Arial"/>
          <w:sz w:val="24"/>
        </w:rPr>
      </w:pPr>
    </w:p>
    <w:p w14:paraId="6F174AFD" w14:textId="77777777" w:rsidR="00306D2A" w:rsidRDefault="00306D2A">
      <w:pPr>
        <w:rPr>
          <w:rFonts w:ascii="宋体" w:hAnsi="宋体" w:cs="Arial"/>
          <w:sz w:val="24"/>
        </w:rPr>
      </w:pPr>
    </w:p>
    <w:p w14:paraId="6BA4C4C4" w14:textId="77777777" w:rsidR="00306D2A"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306D2A" w14:paraId="72D5760E" w14:textId="77777777">
        <w:trPr>
          <w:trHeight w:val="823"/>
        </w:trPr>
        <w:tc>
          <w:tcPr>
            <w:tcW w:w="8413" w:type="dxa"/>
          </w:tcPr>
          <w:p w14:paraId="2B1D92F5" w14:textId="77777777" w:rsidR="00306D2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89B8F4E" w14:textId="77777777" w:rsidR="00306D2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06D2A" w14:paraId="401F009A" w14:textId="77777777">
        <w:trPr>
          <w:trHeight w:val="7355"/>
        </w:trPr>
        <w:tc>
          <w:tcPr>
            <w:tcW w:w="8413" w:type="dxa"/>
          </w:tcPr>
          <w:p w14:paraId="021EE54F" w14:textId="77777777" w:rsidR="00306D2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64FC2AA" w14:textId="77777777" w:rsidR="00306D2A" w:rsidRDefault="00306D2A">
            <w:pPr>
              <w:spacing w:line="280" w:lineRule="atLeast"/>
              <w:ind w:firstLineChars="200" w:firstLine="360"/>
              <w:jc w:val="left"/>
              <w:rPr>
                <w:rFonts w:ascii="宋体" w:hAnsi="宋体" w:cs="Arial"/>
                <w:kern w:val="0"/>
                <w:sz w:val="18"/>
                <w:szCs w:val="18"/>
              </w:rPr>
            </w:pPr>
          </w:p>
          <w:p w14:paraId="6CEBF216"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2B3305A" w14:textId="77777777" w:rsidR="00306D2A" w:rsidRDefault="00306D2A">
            <w:pPr>
              <w:spacing w:line="280" w:lineRule="atLeast"/>
              <w:ind w:firstLineChars="200" w:firstLine="360"/>
              <w:jc w:val="left"/>
              <w:rPr>
                <w:rFonts w:ascii="宋体" w:hAnsi="宋体" w:cs="Arial"/>
                <w:kern w:val="0"/>
                <w:sz w:val="18"/>
                <w:szCs w:val="18"/>
              </w:rPr>
            </w:pPr>
          </w:p>
          <w:p w14:paraId="1F52B800" w14:textId="77777777" w:rsidR="00306D2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369A088" w14:textId="77777777" w:rsidR="00306D2A" w:rsidRDefault="00306D2A">
            <w:pPr>
              <w:spacing w:line="280" w:lineRule="atLeast"/>
              <w:jc w:val="left"/>
              <w:rPr>
                <w:rFonts w:ascii="宋体" w:hAnsi="宋体" w:cs="Arial"/>
                <w:kern w:val="0"/>
                <w:sz w:val="18"/>
                <w:szCs w:val="18"/>
              </w:rPr>
            </w:pPr>
          </w:p>
          <w:p w14:paraId="464054A7"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CFC5CF1" w14:textId="77777777" w:rsidR="00306D2A" w:rsidRDefault="00306D2A">
            <w:pPr>
              <w:spacing w:line="280" w:lineRule="atLeast"/>
              <w:jc w:val="left"/>
              <w:rPr>
                <w:rFonts w:ascii="宋体" w:hAnsi="宋体" w:cs="Arial"/>
                <w:kern w:val="0"/>
                <w:sz w:val="18"/>
                <w:szCs w:val="18"/>
              </w:rPr>
            </w:pPr>
          </w:p>
          <w:p w14:paraId="68864DF5"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369A9FE" w14:textId="77777777" w:rsidR="00306D2A" w:rsidRDefault="00306D2A">
            <w:pPr>
              <w:spacing w:line="280" w:lineRule="atLeast"/>
              <w:jc w:val="left"/>
              <w:rPr>
                <w:rFonts w:ascii="宋体" w:hAnsi="宋体" w:cs="Arial"/>
                <w:kern w:val="0"/>
                <w:sz w:val="18"/>
                <w:szCs w:val="18"/>
              </w:rPr>
            </w:pPr>
          </w:p>
          <w:p w14:paraId="07AB1DAA"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A9DB290" w14:textId="77777777" w:rsidR="00306D2A" w:rsidRDefault="00306D2A">
            <w:pPr>
              <w:spacing w:line="280" w:lineRule="atLeast"/>
              <w:ind w:left="4200" w:firstLineChars="600" w:firstLine="1080"/>
              <w:jc w:val="left"/>
              <w:rPr>
                <w:rFonts w:ascii="宋体" w:hAnsi="宋体" w:cs="Arial"/>
                <w:kern w:val="0"/>
                <w:sz w:val="18"/>
                <w:szCs w:val="18"/>
              </w:rPr>
            </w:pPr>
          </w:p>
          <w:p w14:paraId="1ED813CF" w14:textId="77777777" w:rsidR="00306D2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27CA957" w14:textId="77777777" w:rsidR="00306D2A" w:rsidRDefault="00306D2A">
            <w:pPr>
              <w:spacing w:line="280" w:lineRule="atLeast"/>
              <w:rPr>
                <w:kern w:val="0"/>
                <w:sz w:val="20"/>
                <w:szCs w:val="20"/>
              </w:rPr>
            </w:pPr>
          </w:p>
          <w:p w14:paraId="637950D6" w14:textId="77777777" w:rsidR="00306D2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066EC24" w14:textId="77777777" w:rsidR="00306D2A"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306D2A" w14:paraId="62111271" w14:textId="77777777">
        <w:trPr>
          <w:trHeight w:val="673"/>
        </w:trPr>
        <w:tc>
          <w:tcPr>
            <w:tcW w:w="8388" w:type="dxa"/>
          </w:tcPr>
          <w:p w14:paraId="077DCC8A" w14:textId="77777777" w:rsidR="00306D2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01C8B1A" w14:textId="77777777" w:rsidR="00306D2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06D2A" w14:paraId="192E60BB" w14:textId="77777777">
        <w:trPr>
          <w:trHeight w:val="6016"/>
        </w:trPr>
        <w:tc>
          <w:tcPr>
            <w:tcW w:w="8388" w:type="dxa"/>
          </w:tcPr>
          <w:p w14:paraId="43FD57DD" w14:textId="77777777" w:rsidR="00306D2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920A04F" w14:textId="77777777" w:rsidR="00306D2A" w:rsidRDefault="00306D2A">
            <w:pPr>
              <w:spacing w:line="280" w:lineRule="atLeast"/>
              <w:ind w:firstLineChars="200" w:firstLine="360"/>
              <w:jc w:val="left"/>
              <w:rPr>
                <w:rFonts w:ascii="宋体" w:hAnsi="宋体" w:cs="Arial"/>
                <w:kern w:val="0"/>
                <w:sz w:val="18"/>
                <w:szCs w:val="18"/>
              </w:rPr>
            </w:pPr>
          </w:p>
          <w:p w14:paraId="23B2ED8A" w14:textId="77777777" w:rsidR="00306D2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24F7DC2" w14:textId="77777777" w:rsidR="00306D2A" w:rsidRDefault="00306D2A">
            <w:pPr>
              <w:spacing w:line="280" w:lineRule="atLeast"/>
              <w:jc w:val="left"/>
              <w:rPr>
                <w:rFonts w:ascii="宋体" w:hAnsi="宋体" w:cs="Arial"/>
                <w:kern w:val="0"/>
                <w:sz w:val="18"/>
                <w:szCs w:val="18"/>
              </w:rPr>
            </w:pPr>
          </w:p>
          <w:p w14:paraId="5E983EE9"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1B25CC5" w14:textId="77777777" w:rsidR="00306D2A" w:rsidRDefault="00306D2A">
            <w:pPr>
              <w:spacing w:line="280" w:lineRule="atLeast"/>
              <w:jc w:val="left"/>
              <w:rPr>
                <w:rFonts w:ascii="宋体" w:hAnsi="宋体" w:cs="Arial"/>
                <w:kern w:val="0"/>
                <w:sz w:val="18"/>
                <w:szCs w:val="18"/>
              </w:rPr>
            </w:pPr>
          </w:p>
          <w:p w14:paraId="029DA92B"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56F818D" w14:textId="77777777" w:rsidR="00306D2A" w:rsidRDefault="00306D2A">
            <w:pPr>
              <w:spacing w:line="280" w:lineRule="atLeast"/>
              <w:jc w:val="left"/>
              <w:rPr>
                <w:rFonts w:ascii="宋体" w:hAnsi="宋体" w:cs="Arial"/>
                <w:kern w:val="0"/>
                <w:sz w:val="18"/>
                <w:szCs w:val="18"/>
              </w:rPr>
            </w:pPr>
          </w:p>
          <w:p w14:paraId="51CA0180" w14:textId="77777777" w:rsidR="00306D2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DA85F0B" w14:textId="77777777" w:rsidR="00306D2A" w:rsidRDefault="00306D2A">
            <w:pPr>
              <w:spacing w:line="280" w:lineRule="atLeast"/>
              <w:ind w:left="4200" w:firstLineChars="600" w:firstLine="1080"/>
              <w:jc w:val="left"/>
              <w:rPr>
                <w:rFonts w:ascii="宋体" w:hAnsi="宋体" w:cs="Arial"/>
                <w:kern w:val="0"/>
                <w:sz w:val="18"/>
                <w:szCs w:val="18"/>
              </w:rPr>
            </w:pPr>
          </w:p>
          <w:p w14:paraId="4F531724" w14:textId="77777777" w:rsidR="00306D2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1AB9A5E" w14:textId="77777777" w:rsidR="00306D2A" w:rsidRDefault="00306D2A">
            <w:pPr>
              <w:spacing w:line="280" w:lineRule="atLeast"/>
              <w:rPr>
                <w:kern w:val="0"/>
                <w:sz w:val="20"/>
                <w:szCs w:val="20"/>
              </w:rPr>
            </w:pPr>
          </w:p>
          <w:p w14:paraId="6F4DDD44" w14:textId="77777777" w:rsidR="00306D2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341B67C" w14:textId="77777777" w:rsidR="00306D2A" w:rsidRDefault="00306D2A"/>
    <w:sectPr w:rsidR="00306D2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7486" w14:textId="77777777" w:rsidR="007825C4" w:rsidRDefault="007825C4">
      <w:r>
        <w:separator/>
      </w:r>
    </w:p>
  </w:endnote>
  <w:endnote w:type="continuationSeparator" w:id="0">
    <w:p w14:paraId="66AB9CC1" w14:textId="77777777" w:rsidR="007825C4" w:rsidRDefault="0078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0213" w14:textId="77777777" w:rsidR="007825C4" w:rsidRDefault="007825C4">
      <w:r>
        <w:separator/>
      </w:r>
    </w:p>
  </w:footnote>
  <w:footnote w:type="continuationSeparator" w:id="0">
    <w:p w14:paraId="2D2F8476" w14:textId="77777777" w:rsidR="007825C4" w:rsidRDefault="0078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C870" w14:textId="77777777" w:rsidR="00306D2A"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1D9A395F" w14:textId="77777777" w:rsidR="00306D2A"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96AC8"/>
    <w:rsid w:val="000A244A"/>
    <w:rsid w:val="000B16F1"/>
    <w:rsid w:val="000B357F"/>
    <w:rsid w:val="000F0566"/>
    <w:rsid w:val="001104E8"/>
    <w:rsid w:val="00152999"/>
    <w:rsid w:val="001C5047"/>
    <w:rsid w:val="002114AF"/>
    <w:rsid w:val="002217A8"/>
    <w:rsid w:val="002354DB"/>
    <w:rsid w:val="0024299F"/>
    <w:rsid w:val="00262560"/>
    <w:rsid w:val="002B4BDD"/>
    <w:rsid w:val="002B63FC"/>
    <w:rsid w:val="002C604E"/>
    <w:rsid w:val="002F07B6"/>
    <w:rsid w:val="002F0B15"/>
    <w:rsid w:val="00306D2A"/>
    <w:rsid w:val="00346ED2"/>
    <w:rsid w:val="00367E68"/>
    <w:rsid w:val="00374070"/>
    <w:rsid w:val="003E1A68"/>
    <w:rsid w:val="003F1C32"/>
    <w:rsid w:val="00420D74"/>
    <w:rsid w:val="0045040F"/>
    <w:rsid w:val="00466605"/>
    <w:rsid w:val="004A236B"/>
    <w:rsid w:val="004B4026"/>
    <w:rsid w:val="004C7F5E"/>
    <w:rsid w:val="00510BA5"/>
    <w:rsid w:val="00527A03"/>
    <w:rsid w:val="00563E8F"/>
    <w:rsid w:val="005804B9"/>
    <w:rsid w:val="005C6FCB"/>
    <w:rsid w:val="005E2BFA"/>
    <w:rsid w:val="005F48BE"/>
    <w:rsid w:val="00640FDE"/>
    <w:rsid w:val="006538E1"/>
    <w:rsid w:val="00692C1E"/>
    <w:rsid w:val="007143CD"/>
    <w:rsid w:val="00721093"/>
    <w:rsid w:val="007303F6"/>
    <w:rsid w:val="00732C8C"/>
    <w:rsid w:val="00747259"/>
    <w:rsid w:val="007825C4"/>
    <w:rsid w:val="007A4C26"/>
    <w:rsid w:val="007B017F"/>
    <w:rsid w:val="007C7189"/>
    <w:rsid w:val="0080662E"/>
    <w:rsid w:val="00836C1F"/>
    <w:rsid w:val="00866E74"/>
    <w:rsid w:val="00894EE6"/>
    <w:rsid w:val="008A707D"/>
    <w:rsid w:val="008D3E86"/>
    <w:rsid w:val="008F2B54"/>
    <w:rsid w:val="00955293"/>
    <w:rsid w:val="00981E5B"/>
    <w:rsid w:val="009B13AF"/>
    <w:rsid w:val="009E585C"/>
    <w:rsid w:val="00A95D0C"/>
    <w:rsid w:val="00AE5AA3"/>
    <w:rsid w:val="00B06267"/>
    <w:rsid w:val="00B07DEF"/>
    <w:rsid w:val="00B35D81"/>
    <w:rsid w:val="00B3723D"/>
    <w:rsid w:val="00BB513F"/>
    <w:rsid w:val="00BC1259"/>
    <w:rsid w:val="00BC2076"/>
    <w:rsid w:val="00BC398E"/>
    <w:rsid w:val="00BE1A3A"/>
    <w:rsid w:val="00C01696"/>
    <w:rsid w:val="00C4233D"/>
    <w:rsid w:val="00D03CCD"/>
    <w:rsid w:val="00D33509"/>
    <w:rsid w:val="00D46533"/>
    <w:rsid w:val="00D91389"/>
    <w:rsid w:val="00DA2C69"/>
    <w:rsid w:val="00DD246D"/>
    <w:rsid w:val="00DD5ABC"/>
    <w:rsid w:val="00DE3630"/>
    <w:rsid w:val="00E27A39"/>
    <w:rsid w:val="00E504DE"/>
    <w:rsid w:val="00E767F1"/>
    <w:rsid w:val="00E80603"/>
    <w:rsid w:val="00EB34F9"/>
    <w:rsid w:val="00F1747E"/>
    <w:rsid w:val="00F34E57"/>
    <w:rsid w:val="00F57B20"/>
    <w:rsid w:val="00F8077D"/>
    <w:rsid w:val="00FA39B2"/>
    <w:rsid w:val="00FD7473"/>
    <w:rsid w:val="01915D0A"/>
    <w:rsid w:val="051D5B6D"/>
    <w:rsid w:val="086B1DD2"/>
    <w:rsid w:val="16E0244F"/>
    <w:rsid w:val="19E10CE2"/>
    <w:rsid w:val="1D9858FD"/>
    <w:rsid w:val="1F590A7D"/>
    <w:rsid w:val="23024B39"/>
    <w:rsid w:val="26F01C45"/>
    <w:rsid w:val="2E0A3B53"/>
    <w:rsid w:val="30D07848"/>
    <w:rsid w:val="435B2EBF"/>
    <w:rsid w:val="582900C0"/>
    <w:rsid w:val="597C361F"/>
    <w:rsid w:val="5A4C764C"/>
    <w:rsid w:val="5FA732FF"/>
    <w:rsid w:val="601969DF"/>
    <w:rsid w:val="617022E7"/>
    <w:rsid w:val="6AAE1918"/>
    <w:rsid w:val="6BC86D79"/>
    <w:rsid w:val="73E91C2D"/>
    <w:rsid w:val="7481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6D06A"/>
  <w15:docId w15:val="{E448C412-5E30-481B-B41D-DB0CEE99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customStyle="1" w:styleId="1">
    <w:name w:val="修订1"/>
    <w:hidden/>
    <w:uiPriority w:val="99"/>
    <w:semiHidden/>
    <w:qFormat/>
    <w:rPr>
      <w:rFonts w:ascii="Calibri" w:eastAsia="宋体" w:hAnsi="Calibri" w:cs="宋体"/>
      <w:kern w:val="2"/>
      <w:sz w:val="21"/>
      <w:szCs w:val="22"/>
    </w:rPr>
  </w:style>
  <w:style w:type="paragraph" w:styleId="af0">
    <w:name w:val="Revision"/>
    <w:hidden/>
    <w:uiPriority w:val="99"/>
    <w:unhideWhenUsed/>
    <w:rsid w:val="005E2BFA"/>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886</Words>
  <Characters>5053</Characters>
  <Application>Microsoft Office Word</Application>
  <DocSecurity>0</DocSecurity>
  <Lines>42</Lines>
  <Paragraphs>11</Paragraphs>
  <ScaleCrop>false</ScaleCrop>
  <Company>神州网信技术有限公司</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54</cp:revision>
  <dcterms:created xsi:type="dcterms:W3CDTF">2021-06-16T13:02:00Z</dcterms:created>
  <dcterms:modified xsi:type="dcterms:W3CDTF">2023-08-22T07:16:00Z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8C3451F4A9D547188BD69B541900499D</vt:lpwstr>
  </property>
</Properties>
</file>