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20"/>
        </w:rPr>
      </w:pPr>
    </w:p>
    <w:p>
      <w:pPr>
        <w:adjustRightInd w:val="0"/>
        <w:snapToGrid w:val="0"/>
        <w:spacing w:line="460" w:lineRule="exact"/>
        <w:jc w:val="center"/>
        <w:rPr>
          <w:rFonts w:ascii="Times New Roman" w:hAnsi="Times New Roman" w:eastAsia="方正楷体简体"/>
          <w:sz w:val="24"/>
        </w:rPr>
      </w:pPr>
    </w:p>
    <w:p/>
    <w:p>
      <w:pPr>
        <w:autoSpaceDE w:val="0"/>
        <w:autoSpaceDN w:val="0"/>
        <w:spacing w:before="220"/>
        <w:jc w:val="center"/>
        <w:rPr>
          <w:rFonts w:ascii="仿宋_GB2312" w:hAnsi="仿宋_GB2312" w:eastAsia="仿宋_GB2312" w:cs="仿宋_GB2312"/>
          <w:b/>
          <w:kern w:val="0"/>
          <w:sz w:val="52"/>
          <w:szCs w:val="52"/>
          <w:lang w:bidi="zh-CN"/>
        </w:rPr>
      </w:pPr>
      <w:r>
        <w:rPr>
          <w:rFonts w:hint="eastAsia" w:ascii="仿宋_GB2312" w:hAnsi="仿宋_GB2312" w:eastAsia="仿宋_GB2312" w:cs="仿宋_GB2312"/>
          <w:b/>
          <w:kern w:val="0"/>
          <w:sz w:val="52"/>
          <w:szCs w:val="52"/>
          <w:lang w:bidi="zh-CN"/>
        </w:rPr>
        <w:t>幸福99零钱包开放式理财计划</w:t>
      </w:r>
    </w:p>
    <w:p>
      <w:pPr>
        <w:autoSpaceDE w:val="0"/>
        <w:autoSpaceDN w:val="0"/>
        <w:spacing w:line="360" w:lineRule="auto"/>
        <w:jc w:val="center"/>
        <w:rPr>
          <w:rFonts w:ascii="仿宋_GB2312" w:hAnsi="仿宋_GB2312" w:eastAsia="仿宋_GB2312" w:cs="仿宋_GB2312"/>
          <w:b/>
          <w:bCs/>
          <w:kern w:val="0"/>
          <w:sz w:val="44"/>
          <w:szCs w:val="44"/>
          <w:lang w:bidi="zh-CN"/>
        </w:rPr>
      </w:pPr>
      <w:r>
        <w:rPr>
          <w:rFonts w:hint="eastAsia" w:ascii="仿宋_GB2312" w:hAnsi="仿宋_GB2312" w:eastAsia="仿宋_GB2312" w:cs="仿宋_GB2312"/>
          <w:b/>
          <w:bCs/>
          <w:kern w:val="0"/>
          <w:sz w:val="44"/>
          <w:szCs w:val="44"/>
          <w:lang w:bidi="zh-CN"/>
        </w:rPr>
        <w:t>2023</w:t>
      </w:r>
      <w:r>
        <w:rPr>
          <w:rFonts w:ascii="仿宋_GB2312" w:hAnsi="仿宋_GB2312" w:eastAsia="仿宋_GB2312" w:cs="仿宋_GB2312"/>
          <w:b/>
          <w:sz w:val="44"/>
        </w:rPr>
        <w:t>年第2季度报告</w:t>
      </w:r>
    </w:p>
    <w:p>
      <w:pPr>
        <w:jc w:val="center"/>
        <w:rPr>
          <w:rFonts w:ascii="宋体" w:hAnsi="宋体" w:eastAsia="宋体" w:cs="Times New Roman"/>
          <w:color w:val="0000FF"/>
          <w:kern w:val="0"/>
          <w:sz w:val="18"/>
          <w:szCs w:val="20"/>
        </w:rPr>
      </w:pPr>
    </w:p>
    <w:p>
      <w:pPr>
        <w:jc w:val="center"/>
        <w:rPr>
          <w:rFonts w:ascii="Times New Roman" w:hAnsi="Times New Roman" w:eastAsia="宋体"/>
          <w:sz w:val="24"/>
        </w:rPr>
      </w:pPr>
    </w:p>
    <w:p>
      <w:pPr>
        <w:jc w:val="center"/>
        <w:rPr>
          <w:rFonts w:eastAsia="宋体"/>
          <w:sz w:val="24"/>
        </w:rPr>
      </w:pPr>
    </w:p>
    <w:p>
      <w:pPr>
        <w:jc w:val="center"/>
        <w:rPr>
          <w:rFonts w:eastAsia="宋体"/>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产品管理人：</w:t>
      </w:r>
      <w:r>
        <w:rPr>
          <w:rFonts w:ascii="仿宋" w:hAnsi="仿宋" w:eastAsia="仿宋"/>
          <w:sz w:val="24"/>
        </w:rPr>
        <w:t>杭银理财有限责任公司</w:t>
      </w:r>
    </w:p>
    <w:p>
      <w:pPr>
        <w:jc w:val="center"/>
        <w:rPr>
          <w:rFonts w:ascii="仿宋" w:hAnsi="仿宋" w:eastAsia="仿宋"/>
          <w:sz w:val="24"/>
        </w:rPr>
      </w:pPr>
      <w:r>
        <w:rPr>
          <w:rFonts w:hint="eastAsia" w:ascii="仿宋" w:hAnsi="仿宋" w:eastAsia="仿宋"/>
          <w:sz w:val="24"/>
        </w:rPr>
        <w:t>产品托管人：</w:t>
      </w:r>
      <w:r>
        <w:rPr>
          <w:rFonts w:ascii="仿宋" w:hAnsi="仿宋" w:eastAsia="仿宋"/>
          <w:sz w:val="24"/>
        </w:rPr>
        <w:t>杭州银行股份有限公司</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ascii="仿宋" w:hAnsi="仿宋" w:eastAsia="仿宋"/>
          <w:sz w:val="24"/>
        </w:rPr>
        <w:t>2023年7月14日</w:t>
      </w:r>
    </w:p>
    <w:p>
      <w:pPr>
        <w:jc w:val="center"/>
        <w:rPr>
          <w:rFonts w:ascii="仿宋" w:hAnsi="仿宋" w:eastAsia="仿宋"/>
          <w:sz w:val="24"/>
        </w:rPr>
      </w:pPr>
    </w:p>
    <w:p>
      <w:pPr>
        <w:jc w:val="center"/>
        <w:rPr>
          <w:rFonts w:ascii="仿宋" w:hAnsi="仿宋" w:eastAsia="仿宋"/>
          <w:sz w:val="24"/>
        </w:rPr>
      </w:pPr>
    </w:p>
    <w:p>
      <w:pPr>
        <w:jc w:val="center"/>
        <w:rPr>
          <w:rFonts w:ascii="宋体" w:hAnsi="宋体" w:eastAsia="宋体"/>
        </w:rPr>
      </w:pPr>
    </w:p>
    <w:p>
      <w:pPr>
        <w:jc w:val="center"/>
        <w:rPr>
          <w:rFonts w:ascii="宋体" w:hAnsi="宋体" w:eastAsia="宋体"/>
        </w:rPr>
      </w:pPr>
    </w:p>
    <w:p>
      <w:pPr>
        <w:pStyle w:val="2"/>
        <w:adjustRightInd w:val="0"/>
        <w:snapToGrid w:val="0"/>
        <w:spacing w:line="560" w:lineRule="exact"/>
        <w:jc w:val="center"/>
        <w:rPr>
          <w:rFonts w:ascii="仿宋" w:hAnsi="仿宋" w:eastAsia="仿宋"/>
          <w:sz w:val="24"/>
        </w:rPr>
      </w:pPr>
      <w:bookmarkStart w:id="0" w:name="_Toc1614822195"/>
      <w:r>
        <w:rPr>
          <w:rFonts w:hint="eastAsia" w:ascii="仿宋" w:hAnsi="仿宋" w:eastAsia="仿宋"/>
          <w:sz w:val="24"/>
        </w:rPr>
        <w:t>§1  重要提示</w:t>
      </w:r>
      <w:bookmarkEnd w:id="0"/>
    </w:p>
    <w:tbl>
      <w:tblPr>
        <w:tblStyle w:val="10"/>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1" w:hRule="atLeast"/>
        </w:trPr>
        <w:tc>
          <w:tcPr>
            <w:tcW w:w="912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20" w:lineRule="exact"/>
              <w:ind w:firstLine="480" w:firstLineChars="200"/>
              <w:jc w:val="left"/>
              <w:rPr>
                <w:rFonts w:ascii="仿宋" w:hAnsi="仿宋" w:eastAsia="仿宋"/>
                <w:color w:val="404040"/>
                <w:kern w:val="0"/>
                <w:sz w:val="24"/>
              </w:rPr>
            </w:pPr>
            <w:r>
              <w:rPr>
                <w:rFonts w:hint="eastAsia" w:ascii="仿宋" w:hAnsi="仿宋" w:eastAsia="仿宋"/>
                <w:color w:val="404040"/>
                <w:kern w:val="0"/>
                <w:sz w:val="24"/>
              </w:rPr>
              <w:t>产品管理人承诺以诚实信用、勤勉尽责的原则管理和运用产品资产，并如实反映产品财务指标及投资组合情况，但不保证产品一定盈利。</w:t>
            </w:r>
          </w:p>
          <w:p>
            <w:pPr>
              <w:widowControl/>
              <w:adjustRightInd w:val="0"/>
              <w:snapToGrid w:val="0"/>
              <w:spacing w:line="420" w:lineRule="exact"/>
              <w:ind w:firstLine="480" w:firstLineChars="200"/>
              <w:jc w:val="left"/>
              <w:rPr>
                <w:rFonts w:ascii="仿宋" w:hAnsi="仿宋" w:eastAsia="仿宋"/>
                <w:color w:val="404040"/>
                <w:kern w:val="0"/>
                <w:sz w:val="24"/>
              </w:rPr>
            </w:pPr>
            <w:r>
              <w:rPr>
                <w:rFonts w:hint="eastAsia" w:ascii="仿宋" w:hAnsi="仿宋" w:eastAsia="仿宋"/>
                <w:color w:val="404040"/>
                <w:kern w:val="0"/>
                <w:sz w:val="24"/>
              </w:rPr>
              <w:t>产品托管人根据本产品合同规定，于</w:t>
            </w:r>
            <w:r>
              <w:rPr>
                <w:rFonts w:ascii="仿宋" w:hAnsi="仿宋" w:eastAsia="仿宋" w:cs="仿宋"/>
                <w:color w:val="404040"/>
                <w:sz w:val="24"/>
              </w:rPr>
              <w:t>2023年6月30日复核了本报告中的财务指标、净值表现和投资组合报告等内容，保证复核内容不存在虚假记载、误导性陈述或者重大遗漏。</w:t>
            </w:r>
          </w:p>
          <w:p>
            <w:pPr>
              <w:widowControl/>
              <w:adjustRightInd w:val="0"/>
              <w:snapToGrid w:val="0"/>
              <w:spacing w:line="420" w:lineRule="exact"/>
              <w:ind w:firstLine="480" w:firstLineChars="200"/>
              <w:jc w:val="left"/>
              <w:rPr>
                <w:rFonts w:ascii="仿宋" w:hAnsi="仿宋" w:eastAsia="仿宋"/>
                <w:color w:val="404040"/>
                <w:kern w:val="0"/>
                <w:sz w:val="24"/>
              </w:rPr>
            </w:pPr>
            <w:r>
              <w:rPr>
                <w:rFonts w:hint="eastAsia" w:ascii="仿宋" w:hAnsi="仿宋" w:eastAsia="仿宋"/>
                <w:color w:val="404040"/>
                <w:kern w:val="0"/>
                <w:sz w:val="24"/>
              </w:rPr>
              <w:t>产品的过往业绩并不代表其未来表现。投资有风险，投资者在作出投资决策前应仔细阅读本产品的产品说明书。</w:t>
            </w:r>
          </w:p>
          <w:p>
            <w:pPr>
              <w:widowControl/>
              <w:adjustRightInd w:val="0"/>
              <w:snapToGrid w:val="0"/>
              <w:spacing w:line="420" w:lineRule="exact"/>
              <w:ind w:firstLine="480" w:firstLineChars="200"/>
              <w:jc w:val="left"/>
              <w:rPr>
                <w:rFonts w:ascii="仿宋" w:hAnsi="仿宋" w:eastAsia="仿宋"/>
                <w:color w:val="404040"/>
                <w:kern w:val="0"/>
                <w:sz w:val="24"/>
              </w:rPr>
            </w:pPr>
            <w:r>
              <w:rPr>
                <w:rFonts w:hint="eastAsia" w:ascii="仿宋" w:hAnsi="仿宋" w:eastAsia="仿宋"/>
                <w:color w:val="404040"/>
                <w:kern w:val="0"/>
                <w:sz w:val="24"/>
              </w:rPr>
              <w:t>本报告中财务资料未经审计。</w:t>
            </w:r>
          </w:p>
          <w:p>
            <w:pPr>
              <w:widowControl/>
              <w:adjustRightInd w:val="0"/>
              <w:snapToGrid w:val="0"/>
              <w:spacing w:line="420" w:lineRule="exact"/>
              <w:ind w:firstLine="480" w:firstLineChars="200"/>
              <w:jc w:val="left"/>
              <w:rPr>
                <w:rFonts w:ascii="仿宋" w:hAnsi="仿宋" w:eastAsia="仿宋"/>
                <w:sz w:val="24"/>
              </w:rPr>
            </w:pPr>
            <w:r>
              <w:rPr>
                <w:rFonts w:hint="eastAsia" w:ascii="仿宋" w:hAnsi="仿宋" w:eastAsia="仿宋"/>
                <w:color w:val="404040"/>
                <w:kern w:val="0"/>
                <w:sz w:val="24"/>
              </w:rPr>
              <w:t>本报告期自</w:t>
            </w:r>
            <w:r>
              <w:rPr>
                <w:rFonts w:ascii="仿宋" w:hAnsi="仿宋" w:eastAsia="仿宋" w:cs="仿宋"/>
                <w:color w:val="404040"/>
                <w:sz w:val="24"/>
              </w:rPr>
              <w:t>2023年4月1日起至2023年6月30日止。</w:t>
            </w:r>
          </w:p>
        </w:tc>
      </w:tr>
    </w:tbl>
    <w:p>
      <w:pPr>
        <w:rPr>
          <w:rStyle w:val="14"/>
          <w:rFonts w:ascii="仿宋" w:hAnsi="仿宋" w:eastAsia="仿宋"/>
          <w:color w:val="0000FF"/>
          <w:sz w:val="24"/>
          <w:szCs w:val="24"/>
        </w:rPr>
      </w:pPr>
      <w:r>
        <w:rPr>
          <w:rStyle w:val="14"/>
          <w:rFonts w:ascii="仿宋" w:hAnsi="仿宋" w:eastAsia="仿宋"/>
          <w:color w:val="0000FF"/>
          <w:sz w:val="24"/>
          <w:szCs w:val="24"/>
        </w:rPr>
        <w:t xml:space="preserve"> </w:t>
      </w:r>
    </w:p>
    <w:p>
      <w:pPr>
        <w:pStyle w:val="2"/>
        <w:adjustRightInd w:val="0"/>
        <w:snapToGrid w:val="0"/>
        <w:spacing w:line="560" w:lineRule="exact"/>
        <w:jc w:val="center"/>
        <w:rPr>
          <w:rFonts w:ascii="仿宋" w:hAnsi="仿宋" w:eastAsia="仿宋"/>
          <w:sz w:val="24"/>
        </w:rPr>
      </w:pPr>
      <w:bookmarkStart w:id="1" w:name="_Toc418300579"/>
      <w:r>
        <w:rPr>
          <w:rFonts w:hint="eastAsia" w:ascii="仿宋" w:hAnsi="仿宋" w:eastAsia="仿宋"/>
          <w:sz w:val="24"/>
        </w:rPr>
        <w:t>§2  产品概况</w:t>
      </w:r>
      <w:bookmarkEnd w:id="1"/>
    </w:p>
    <w:p>
      <w:pPr>
        <w:adjustRightInd w:val="0"/>
        <w:snapToGrid w:val="0"/>
        <w:spacing w:line="440" w:lineRule="exact"/>
        <w:outlineLvl w:val="2"/>
        <w:rPr>
          <w:rFonts w:ascii="仿宋" w:hAnsi="仿宋" w:eastAsia="仿宋"/>
          <w:b/>
          <w:sz w:val="24"/>
        </w:rPr>
      </w:pPr>
      <w:bookmarkStart w:id="2" w:name="_Toc1663854622"/>
      <w:bookmarkStart w:id="3" w:name="_Toc354129567"/>
      <w:r>
        <w:rPr>
          <w:rFonts w:hint="eastAsia" w:ascii="仿宋" w:hAnsi="仿宋" w:eastAsia="仿宋"/>
          <w:b/>
          <w:sz w:val="24"/>
        </w:rPr>
        <w:t>2.1 产品基本情况</w:t>
      </w:r>
      <w:bookmarkEnd w:id="2"/>
      <w:bookmarkEnd w:id="3"/>
    </w:p>
    <w:tbl>
      <w:tblPr>
        <w:tblStyle w:val="10"/>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 w:val="24"/>
              </w:rPr>
            </w:pPr>
            <w:r>
              <w:rPr>
                <w:rFonts w:hint="eastAsia" w:ascii="仿宋" w:hAnsi="仿宋" w:eastAsia="仿宋"/>
                <w:kern w:val="0"/>
                <w:sz w:val="24"/>
              </w:rPr>
              <w:t>产品名称</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幸福99零钱包开放式理财计划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 w:val="24"/>
              </w:rPr>
            </w:pPr>
            <w:r>
              <w:rPr>
                <w:rFonts w:hint="eastAsia" w:ascii="仿宋" w:hAnsi="仿宋" w:eastAsia="仿宋"/>
                <w:kern w:val="0"/>
                <w:sz w:val="24"/>
              </w:rPr>
              <w:t>产品代码</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LQB2001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 w:val="24"/>
              </w:rPr>
            </w:pPr>
            <w:r>
              <w:rPr>
                <w:rFonts w:hint="eastAsia" w:ascii="仿宋" w:hAnsi="仿宋" w:eastAsia="仿宋"/>
                <w:kern w:val="0"/>
                <w:sz w:val="24"/>
              </w:rPr>
              <w:t>理财信息登记系统登记编码</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Z7002220000004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kern w:val="0"/>
                <w:sz w:val="24"/>
              </w:rPr>
              <w:t>产品成立日</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2020年6月23日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 w:val="24"/>
              </w:rPr>
            </w:pPr>
            <w:r>
              <w:rPr>
                <w:rFonts w:hint="eastAsia" w:ascii="仿宋" w:hAnsi="仿宋" w:eastAsia="仿宋"/>
                <w:kern w:val="0"/>
                <w:sz w:val="24"/>
              </w:rPr>
              <w:t>产品到期日</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 w:val="24"/>
              </w:rPr>
            </w:pPr>
            <w:r>
              <w:rPr>
                <w:rFonts w:hint="eastAsia" w:ascii="仿宋" w:hAnsi="仿宋" w:eastAsia="仿宋"/>
                <w:kern w:val="0"/>
                <w:sz w:val="24"/>
              </w:rPr>
              <w:t>产品募集方式</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 w:val="24"/>
              </w:rPr>
            </w:pPr>
            <w:r>
              <w:rPr>
                <w:rFonts w:hint="eastAsia" w:ascii="仿宋" w:hAnsi="仿宋" w:eastAsia="仿宋"/>
                <w:kern w:val="0"/>
                <w:sz w:val="24"/>
              </w:rPr>
              <w:t>产品运作模式</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 w:val="24"/>
              </w:rPr>
            </w:pPr>
            <w:r>
              <w:rPr>
                <w:rFonts w:hint="eastAsia" w:ascii="仿宋" w:hAnsi="仿宋" w:eastAsia="仿宋"/>
                <w:kern w:val="0"/>
                <w:sz w:val="24"/>
              </w:rPr>
              <w:t>产品投资性质</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 w:val="24"/>
              </w:rPr>
            </w:pPr>
            <w:r>
              <w:rPr>
                <w:rFonts w:hint="eastAsia" w:ascii="仿宋" w:hAnsi="仿宋" w:eastAsia="仿宋"/>
                <w:kern w:val="0"/>
                <w:sz w:val="24"/>
              </w:rPr>
              <w:t>业绩比较基准（%）</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olor w:val="0000FF"/>
                <w:sz w:val="24"/>
                <w:szCs w:val="24"/>
              </w:rPr>
            </w:pPr>
            <w:r>
              <w:rPr>
                <w:rStyle w:val="14"/>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kern w:val="0"/>
                <w:sz w:val="24"/>
              </w:rPr>
              <w:t>报告期末产品规模（元）</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12,592,405,169.22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kern w:val="0"/>
                <w:sz w:val="24"/>
              </w:rPr>
              <w:t>杠杆水平（%）</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113.43%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 w:val="24"/>
              </w:rPr>
            </w:pPr>
            <w:r>
              <w:rPr>
                <w:rFonts w:hint="eastAsia" w:ascii="仿宋" w:hAnsi="仿宋" w:eastAsia="仿宋"/>
                <w:kern w:val="0"/>
                <w:sz w:val="24"/>
              </w:rPr>
              <w:t>风险等级</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kern w:val="0"/>
                <w:sz w:val="24"/>
              </w:rPr>
              <w:t>产品管理人</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杭银理财有限责任公司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32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kern w:val="0"/>
                <w:sz w:val="24"/>
              </w:rPr>
              <w:t>产品托管人</w:t>
            </w:r>
          </w:p>
        </w:tc>
        <w:tc>
          <w:tcPr>
            <w:tcW w:w="58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Style w:val="14"/>
                <w:rFonts w:ascii="仿宋" w:hAnsi="仿宋" w:eastAsia="仿宋" w:cstheme="minorEastAsia"/>
                <w:color w:val="0000FF"/>
                <w:sz w:val="24"/>
                <w:szCs w:val="24"/>
              </w:rPr>
            </w:pPr>
            <w:r>
              <w:rPr>
                <w:rFonts w:hint="eastAsia" w:ascii="仿宋" w:hAnsi="仿宋" w:eastAsia="仿宋" w:cstheme="minorEastAsia"/>
                <w:kern w:val="0"/>
                <w:sz w:val="24"/>
              </w:rPr>
              <w:t>杭州银行股份有限公司</w:t>
            </w:r>
          </w:p>
        </w:tc>
      </w:tr>
    </w:tbl>
    <w:p>
      <w:pPr>
        <w:adjustRightInd w:val="0"/>
        <w:snapToGrid w:val="0"/>
        <w:spacing w:line="360" w:lineRule="exact"/>
        <w:rPr>
          <w:rFonts w:ascii="仿宋" w:hAnsi="仿宋" w:eastAsia="仿宋"/>
          <w:color w:val="000000"/>
          <w:sz w:val="24"/>
        </w:rPr>
      </w:pPr>
      <w:r>
        <w:rPr>
          <w:rFonts w:hint="eastAsia" w:ascii="仿宋" w:hAnsi="仿宋" w:eastAsia="仿宋"/>
          <w:sz w:val="24"/>
        </w:rPr>
        <w:t>*杠杆水平=总资产/理财产品净资产，理财产品净资产=总资产-总负债</w:t>
      </w:r>
    </w:p>
    <w:p>
      <w:pPr>
        <w:adjustRightInd w:val="0"/>
        <w:snapToGrid w:val="0"/>
        <w:spacing w:line="360" w:lineRule="exact"/>
        <w:rPr>
          <w:rFonts w:ascii="仿宋" w:hAnsi="仿宋" w:eastAsia="仿宋"/>
          <w:color w:val="000000"/>
          <w:sz w:val="24"/>
        </w:rPr>
      </w:pPr>
    </w:p>
    <w:p>
      <w:pPr>
        <w:pStyle w:val="2"/>
        <w:adjustRightInd w:val="0"/>
        <w:snapToGrid w:val="0"/>
        <w:spacing w:line="560" w:lineRule="exact"/>
        <w:jc w:val="center"/>
        <w:rPr>
          <w:rFonts w:ascii="仿宋" w:hAnsi="仿宋" w:eastAsia="仿宋"/>
          <w:sz w:val="24"/>
        </w:rPr>
      </w:pPr>
      <w:bookmarkStart w:id="4" w:name="_Toc2020064367"/>
      <w:r>
        <w:rPr>
          <w:rFonts w:hint="eastAsia" w:ascii="仿宋" w:hAnsi="仿宋" w:eastAsia="仿宋"/>
          <w:sz w:val="24"/>
        </w:rPr>
        <w:t>§3  主要财务指标和产品净值表现</w:t>
      </w:r>
      <w:bookmarkEnd w:id="4"/>
    </w:p>
    <w:p>
      <w:pPr>
        <w:adjustRightInd w:val="0"/>
        <w:snapToGrid w:val="0"/>
        <w:spacing w:line="440" w:lineRule="exact"/>
        <w:outlineLvl w:val="2"/>
        <w:rPr>
          <w:rFonts w:ascii="仿宋" w:hAnsi="仿宋" w:eastAsia="仿宋"/>
          <w:b/>
          <w:sz w:val="24"/>
        </w:rPr>
      </w:pPr>
      <w:bookmarkStart w:id="5" w:name="_Toc1652840746"/>
      <w:r>
        <w:rPr>
          <w:rFonts w:hint="eastAsia" w:ascii="仿宋" w:hAnsi="仿宋" w:eastAsia="仿宋"/>
          <w:b/>
          <w:sz w:val="24"/>
        </w:rPr>
        <w:t>3.1 主要财务指标和产品净值表现</w:t>
      </w:r>
      <w:bookmarkEnd w:id="5"/>
    </w:p>
    <w:p>
      <w:pPr>
        <w:adjustRightInd w:val="0"/>
        <w:snapToGrid w:val="0"/>
        <w:spacing w:line="440" w:lineRule="exact"/>
        <w:jc w:val="right"/>
        <w:rPr>
          <w:rFonts w:ascii="仿宋" w:hAnsi="仿宋" w:eastAsia="仿宋" w:cs="仿宋"/>
          <w:sz w:val="24"/>
        </w:rPr>
      </w:pPr>
      <w:r>
        <w:rPr>
          <w:rFonts w:hint="eastAsia" w:ascii="仿宋" w:hAnsi="仿宋" w:eastAsia="仿宋" w:cs="仿宋"/>
          <w:sz w:val="24"/>
        </w:rPr>
        <w:t>单位：元、份、元/份</w:t>
      </w:r>
    </w:p>
    <w:tbl>
      <w:tblPr>
        <w:tblStyle w:val="10"/>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1579"/>
        <w:gridCol w:w="1064"/>
        <w:gridCol w:w="3281"/>
      </w:tblGrid>
      <w:tr>
        <w:tblPrEx>
          <w:tblLayout w:type="fixed"/>
          <w:tblCellMar>
            <w:top w:w="0" w:type="dxa"/>
            <w:left w:w="108" w:type="dxa"/>
            <w:bottom w:w="0" w:type="dxa"/>
            <w:right w:w="108" w:type="dxa"/>
          </w:tblCellMar>
        </w:tblPrEx>
        <w:tc>
          <w:tcPr>
            <w:tcW w:w="45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kern w:val="0"/>
                <w:sz w:val="24"/>
              </w:rPr>
            </w:pPr>
            <w:r>
              <w:rPr>
                <w:rFonts w:hint="eastAsia" w:ascii="仿宋" w:hAnsi="仿宋" w:eastAsia="仿宋"/>
                <w:sz w:val="24"/>
              </w:rPr>
              <w:t>主要财务指标</w:t>
            </w:r>
          </w:p>
        </w:tc>
        <w:tc>
          <w:tcPr>
            <w:tcW w:w="43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报告期</w:t>
            </w:r>
          </w:p>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w:t>
            </w:r>
            <w:r>
              <w:rPr>
                <w:rFonts w:ascii="仿宋" w:hAnsi="仿宋" w:eastAsia="仿宋" w:cs="仿宋"/>
                <w:color w:val="000000"/>
                <w:sz w:val="24"/>
              </w:rPr>
              <w:t>2023年4月1日-2023年6月30日）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Style w:val="14"/>
                <w:rFonts w:ascii="仿宋" w:hAnsi="仿宋" w:eastAsia="仿宋"/>
                <w:sz w:val="24"/>
                <w:szCs w:val="24"/>
              </w:rPr>
            </w:pPr>
            <w:r>
              <w:rPr>
                <w:rFonts w:hint="eastAsia" w:ascii="仿宋" w:hAnsi="仿宋" w:eastAsia="仿宋"/>
                <w:sz w:val="24"/>
              </w:rPr>
              <w:t>1.期末产品资产净值</w:t>
            </w:r>
          </w:p>
        </w:tc>
        <w:tc>
          <w:tcPr>
            <w:tcW w:w="43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仿宋" w:hAnsi="仿宋" w:eastAsia="仿宋"/>
                <w:sz w:val="24"/>
              </w:rPr>
            </w:pPr>
            <w:r>
              <w:rPr>
                <w:rFonts w:hint="eastAsia" w:ascii="仿宋" w:hAnsi="仿宋" w:eastAsia="仿宋"/>
                <w:kern w:val="0"/>
                <w:sz w:val="24"/>
              </w:rPr>
              <w:t>12,592,405,169.22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 w:val="24"/>
              </w:rPr>
            </w:pPr>
            <w:r>
              <w:rPr>
                <w:rFonts w:hint="eastAsia" w:ascii="仿宋" w:hAnsi="仿宋" w:eastAsia="仿宋"/>
                <w:sz w:val="24"/>
              </w:rPr>
              <w:t>2.期末产品总份额</w:t>
            </w:r>
          </w:p>
        </w:tc>
        <w:tc>
          <w:tcPr>
            <w:tcW w:w="43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仿宋" w:hAnsi="仿宋" w:eastAsia="仿宋"/>
                <w:kern w:val="0"/>
                <w:sz w:val="24"/>
              </w:rPr>
            </w:pPr>
            <w:r>
              <w:rPr>
                <w:rFonts w:hint="eastAsia" w:ascii="仿宋" w:hAnsi="仿宋" w:eastAsia="仿宋"/>
                <w:kern w:val="0"/>
                <w:sz w:val="24"/>
              </w:rPr>
              <w:t>12,592,405,169.22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58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Style w:val="14"/>
                <w:rFonts w:ascii="仿宋" w:hAnsi="仿宋" w:eastAsia="仿宋"/>
                <w:sz w:val="24"/>
                <w:szCs w:val="24"/>
              </w:rPr>
            </w:pPr>
            <w:r>
              <w:rPr>
                <w:rFonts w:hint="eastAsia" w:ascii="仿宋" w:hAnsi="仿宋" w:eastAsia="仿宋"/>
                <w:sz w:val="24"/>
              </w:rPr>
              <w:t>3.期末产品份额单位净值</w:t>
            </w:r>
          </w:p>
        </w:tc>
        <w:tc>
          <w:tcPr>
            <w:tcW w:w="43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仿宋" w:hAnsi="仿宋" w:eastAsia="仿宋"/>
                <w:sz w:val="24"/>
              </w:rPr>
            </w:pPr>
            <w:r>
              <w:rPr>
                <w:rFonts w:hint="eastAsia" w:ascii="仿宋" w:hAnsi="仿宋" w:eastAsia="仿宋"/>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8926" w:type="dxa"/>
            <w:gridSpan w:val="4"/>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olor w:val="0000FF"/>
                <w:sz w:val="24"/>
              </w:rPr>
            </w:pPr>
            <w:r>
              <w:rPr>
                <w:rFonts w:hint="eastAsia" w:ascii="仿宋" w:hAnsi="仿宋" w:eastAsia="仿宋"/>
                <w:kern w:val="0"/>
                <w:sz w:val="24"/>
              </w:rPr>
              <w:t>报告期末下属子产品相关信息披露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3002"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stheme="minorEastAsia"/>
                <w:color w:val="000000" w:themeColor="text1"/>
                <w:szCs w:val="24"/>
                <w14:textFill>
                  <w14:solidFill>
                    <w14:schemeClr w14:val="tx1"/>
                  </w14:solidFill>
                </w14:textFill>
              </w:rPr>
            </w:pPr>
            <w:r>
              <w:rPr>
                <w:rFonts w:ascii="仿宋" w:hAnsi="仿宋" w:eastAsia="仿宋" w:cs="仿宋"/>
                <w:color w:val="000000"/>
              </w:rPr>
              <w:t>子产品名称</w:t>
            </w:r>
          </w:p>
        </w:tc>
        <w:tc>
          <w:tcPr>
            <w:tcW w:w="15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rPr>
            </w:pPr>
            <w:r>
              <w:rPr>
                <w:rFonts w:hint="eastAsia" w:ascii="仿宋" w:hAnsi="仿宋" w:eastAsia="仿宋"/>
                <w:kern w:val="0"/>
                <w:sz w:val="24"/>
              </w:rPr>
              <w:t>子产品代码</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rPr>
            </w:pPr>
            <w:r>
              <w:rPr>
                <w:rFonts w:hint="eastAsia" w:ascii="仿宋" w:hAnsi="仿宋" w:eastAsia="仿宋"/>
                <w:kern w:val="0"/>
                <w:sz w:val="24"/>
              </w:rPr>
              <w:t>份额</w:t>
            </w:r>
          </w:p>
          <w:p>
            <w:pPr>
              <w:adjustRightInd w:val="0"/>
              <w:snapToGrid w:val="0"/>
              <w:jc w:val="center"/>
              <w:rPr>
                <w:rFonts w:ascii="仿宋" w:hAnsi="仿宋" w:eastAsia="仿宋"/>
                <w:kern w:val="0"/>
                <w:sz w:val="24"/>
              </w:rPr>
            </w:pPr>
            <w:r>
              <w:rPr>
                <w:rFonts w:hint="eastAsia" w:ascii="仿宋" w:hAnsi="仿宋" w:eastAsia="仿宋"/>
                <w:kern w:val="0"/>
                <w:sz w:val="24"/>
              </w:rPr>
              <w:t>净值</w:t>
            </w:r>
          </w:p>
        </w:tc>
        <w:tc>
          <w:tcPr>
            <w:tcW w:w="32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rPr>
            </w:pPr>
            <w:bookmarkStart w:id="21" w:name="_GoBack"/>
            <w:bookmarkEnd w:id="21"/>
            <w:r>
              <w:rPr>
                <w:rFonts w:hint="eastAsia" w:ascii="仿宋" w:hAnsi="仿宋" w:eastAsia="仿宋"/>
                <w:kern w:val="0"/>
                <w:sz w:val="24"/>
              </w:rPr>
              <w:t>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3002"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jc w:val="center"/>
              <w:rPr>
                <w:rFonts w:ascii="仿宋" w:hAnsi="仿宋" w:eastAsia="仿宋" w:cstheme="minorEastAsia"/>
                <w:color w:val="000000" w:themeColor="text1"/>
                <w:szCs w:val="24"/>
                <w14:textFill>
                  <w14:solidFill>
                    <w14:schemeClr w14:val="tx1"/>
                  </w14:solidFill>
                </w14:textFill>
              </w:rPr>
            </w:pPr>
            <w:r>
              <w:rPr>
                <w:rFonts w:hint="eastAsia" w:ascii="仿宋" w:hAnsi="仿宋" w:eastAsia="仿宋" w:cstheme="minorEastAsia"/>
                <w:color w:val="000000" w:themeColor="text1"/>
                <w:szCs w:val="24"/>
                <w14:textFill>
                  <w14:solidFill>
                    <w14:schemeClr w14:val="tx1"/>
                  </w14:solidFill>
                </w14:textFill>
              </w:rPr>
              <w:t>幸福99零钱包开放式理财计划</w:t>
            </w:r>
          </w:p>
        </w:tc>
        <w:tc>
          <w:tcPr>
            <w:tcW w:w="157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LQB2001</w:t>
            </w:r>
          </w:p>
        </w:tc>
        <w:tc>
          <w:tcPr>
            <w:tcW w:w="1064"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1.0000</w:t>
            </w:r>
          </w:p>
        </w:tc>
        <w:tc>
          <w:tcPr>
            <w:tcW w:w="3281"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1,799,014,217.65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3002"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jc w:val="center"/>
              <w:rPr>
                <w:rFonts w:ascii="仿宋" w:hAnsi="仿宋" w:eastAsia="仿宋" w:cstheme="minorEastAsia"/>
                <w:color w:val="000000" w:themeColor="text1"/>
                <w:szCs w:val="24"/>
                <w14:textFill>
                  <w14:solidFill>
                    <w14:schemeClr w14:val="tx1"/>
                  </w14:solidFill>
                </w14:textFill>
              </w:rPr>
            </w:pPr>
            <w:r>
              <w:rPr>
                <w:rFonts w:hint="eastAsia" w:ascii="仿宋" w:hAnsi="仿宋" w:eastAsia="仿宋" w:cstheme="minorEastAsia"/>
                <w:color w:val="000000" w:themeColor="text1"/>
                <w:szCs w:val="24"/>
                <w14:textFill>
                  <w14:solidFill>
                    <w14:schemeClr w14:val="tx1"/>
                  </w14:solidFill>
                </w14:textFill>
              </w:rPr>
              <w:t>零钱包开放式B款</w:t>
            </w:r>
          </w:p>
        </w:tc>
        <w:tc>
          <w:tcPr>
            <w:tcW w:w="157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LQB2001B</w:t>
            </w:r>
          </w:p>
        </w:tc>
        <w:tc>
          <w:tcPr>
            <w:tcW w:w="1064"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1.0000</w:t>
            </w:r>
          </w:p>
        </w:tc>
        <w:tc>
          <w:tcPr>
            <w:tcW w:w="3281"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1,819,827,761.43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3002"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jc w:val="center"/>
              <w:rPr>
                <w:rFonts w:ascii="仿宋" w:hAnsi="仿宋" w:eastAsia="仿宋" w:cstheme="minorEastAsia"/>
                <w:color w:val="000000" w:themeColor="text1"/>
                <w:szCs w:val="24"/>
                <w14:textFill>
                  <w14:solidFill>
                    <w14:schemeClr w14:val="tx1"/>
                  </w14:solidFill>
                </w14:textFill>
              </w:rPr>
            </w:pPr>
            <w:r>
              <w:rPr>
                <w:rFonts w:hint="eastAsia" w:ascii="仿宋" w:hAnsi="仿宋" w:eastAsia="仿宋" w:cstheme="minorEastAsia"/>
                <w:color w:val="000000" w:themeColor="text1"/>
                <w:szCs w:val="24"/>
                <w14:textFill>
                  <w14:solidFill>
                    <w14:schemeClr w14:val="tx1"/>
                  </w14:solidFill>
                </w14:textFill>
              </w:rPr>
              <w:t>零钱包开放式C款</w:t>
            </w:r>
          </w:p>
        </w:tc>
        <w:tc>
          <w:tcPr>
            <w:tcW w:w="157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LQB2001C</w:t>
            </w:r>
          </w:p>
        </w:tc>
        <w:tc>
          <w:tcPr>
            <w:tcW w:w="1064"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1.0000</w:t>
            </w:r>
          </w:p>
        </w:tc>
        <w:tc>
          <w:tcPr>
            <w:tcW w:w="3281"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4,537,823.73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3002"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jc w:val="center"/>
              <w:rPr>
                <w:rFonts w:ascii="仿宋" w:hAnsi="仿宋" w:eastAsia="仿宋" w:cstheme="minorEastAsia"/>
                <w:color w:val="000000" w:themeColor="text1"/>
                <w:szCs w:val="24"/>
                <w14:textFill>
                  <w14:solidFill>
                    <w14:schemeClr w14:val="tx1"/>
                  </w14:solidFill>
                </w14:textFill>
              </w:rPr>
            </w:pPr>
            <w:r>
              <w:rPr>
                <w:rFonts w:hint="eastAsia" w:ascii="仿宋" w:hAnsi="仿宋" w:eastAsia="仿宋" w:cstheme="minorEastAsia"/>
                <w:color w:val="000000" w:themeColor="text1"/>
                <w:szCs w:val="24"/>
                <w14:textFill>
                  <w14:solidFill>
                    <w14:schemeClr w14:val="tx1"/>
                  </w14:solidFill>
                </w14:textFill>
              </w:rPr>
              <w:t>零钱包开放式D款</w:t>
            </w:r>
          </w:p>
        </w:tc>
        <w:tc>
          <w:tcPr>
            <w:tcW w:w="157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LQB2001D</w:t>
            </w:r>
          </w:p>
        </w:tc>
        <w:tc>
          <w:tcPr>
            <w:tcW w:w="1064"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1.0000</w:t>
            </w:r>
          </w:p>
        </w:tc>
        <w:tc>
          <w:tcPr>
            <w:tcW w:w="3281"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1,638,742,519.68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3002"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jc w:val="center"/>
              <w:rPr>
                <w:rFonts w:ascii="仿宋" w:hAnsi="仿宋" w:eastAsia="仿宋" w:cstheme="minorEastAsia"/>
                <w:color w:val="000000" w:themeColor="text1"/>
                <w:szCs w:val="24"/>
                <w14:textFill>
                  <w14:solidFill>
                    <w14:schemeClr w14:val="tx1"/>
                  </w14:solidFill>
                </w14:textFill>
              </w:rPr>
            </w:pPr>
            <w:r>
              <w:rPr>
                <w:rFonts w:hint="eastAsia" w:ascii="仿宋" w:hAnsi="仿宋" w:eastAsia="仿宋" w:cstheme="minorEastAsia"/>
                <w:color w:val="000000" w:themeColor="text1"/>
                <w:szCs w:val="24"/>
                <w14:textFill>
                  <w14:solidFill>
                    <w14:schemeClr w14:val="tx1"/>
                  </w14:solidFill>
                </w14:textFill>
              </w:rPr>
              <w:t>零钱包开放式E款</w:t>
            </w:r>
          </w:p>
        </w:tc>
        <w:tc>
          <w:tcPr>
            <w:tcW w:w="157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LQB2001E</w:t>
            </w:r>
          </w:p>
        </w:tc>
        <w:tc>
          <w:tcPr>
            <w:tcW w:w="1064"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1.0000</w:t>
            </w:r>
          </w:p>
        </w:tc>
        <w:tc>
          <w:tcPr>
            <w:tcW w:w="3281"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3,036,831,901.95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3002"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jc w:val="center"/>
              <w:rPr>
                <w:rFonts w:ascii="仿宋" w:hAnsi="仿宋" w:eastAsia="仿宋" w:cstheme="minorEastAsia"/>
                <w:color w:val="000000" w:themeColor="text1"/>
                <w:szCs w:val="24"/>
                <w14:textFill>
                  <w14:solidFill>
                    <w14:schemeClr w14:val="tx1"/>
                  </w14:solidFill>
                </w14:textFill>
              </w:rPr>
            </w:pPr>
            <w:r>
              <w:rPr>
                <w:rFonts w:hint="eastAsia" w:ascii="仿宋" w:hAnsi="仿宋" w:eastAsia="仿宋" w:cstheme="minorEastAsia"/>
                <w:color w:val="000000" w:themeColor="text1"/>
                <w:szCs w:val="24"/>
                <w14:textFill>
                  <w14:solidFill>
                    <w14:schemeClr w14:val="tx1"/>
                  </w14:solidFill>
                </w14:textFill>
              </w:rPr>
              <w:t>零钱包开放式F款</w:t>
            </w:r>
          </w:p>
        </w:tc>
        <w:tc>
          <w:tcPr>
            <w:tcW w:w="157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LQB2001F</w:t>
            </w:r>
          </w:p>
        </w:tc>
        <w:tc>
          <w:tcPr>
            <w:tcW w:w="1064"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1.0000</w:t>
            </w:r>
          </w:p>
        </w:tc>
        <w:tc>
          <w:tcPr>
            <w:tcW w:w="3281"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926,691,335.40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3002"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jc w:val="center"/>
              <w:rPr>
                <w:rFonts w:ascii="仿宋" w:hAnsi="仿宋" w:eastAsia="仿宋" w:cstheme="minorEastAsia"/>
                <w:color w:val="000000" w:themeColor="text1"/>
                <w:szCs w:val="24"/>
                <w14:textFill>
                  <w14:solidFill>
                    <w14:schemeClr w14:val="tx1"/>
                  </w14:solidFill>
                </w14:textFill>
              </w:rPr>
            </w:pPr>
            <w:r>
              <w:rPr>
                <w:rFonts w:hint="eastAsia" w:ascii="仿宋" w:hAnsi="仿宋" w:eastAsia="仿宋" w:cstheme="minorEastAsia"/>
                <w:color w:val="000000" w:themeColor="text1"/>
                <w:szCs w:val="24"/>
                <w14:textFill>
                  <w14:solidFill>
                    <w14:schemeClr w14:val="tx1"/>
                  </w14:solidFill>
                </w14:textFill>
              </w:rPr>
              <w:t>零钱包G款</w:t>
            </w:r>
          </w:p>
        </w:tc>
        <w:tc>
          <w:tcPr>
            <w:tcW w:w="157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LQB2001G</w:t>
            </w:r>
          </w:p>
        </w:tc>
        <w:tc>
          <w:tcPr>
            <w:tcW w:w="1064"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1.0000</w:t>
            </w:r>
          </w:p>
        </w:tc>
        <w:tc>
          <w:tcPr>
            <w:tcW w:w="3281"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20,704,170.49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3002"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jc w:val="center"/>
              <w:rPr>
                <w:rFonts w:ascii="仿宋" w:hAnsi="仿宋" w:eastAsia="仿宋" w:cstheme="minorEastAsia"/>
                <w:color w:val="000000" w:themeColor="text1"/>
                <w:szCs w:val="24"/>
                <w14:textFill>
                  <w14:solidFill>
                    <w14:schemeClr w14:val="tx1"/>
                  </w14:solidFill>
                </w14:textFill>
              </w:rPr>
            </w:pPr>
            <w:r>
              <w:rPr>
                <w:rFonts w:hint="eastAsia" w:ascii="仿宋" w:hAnsi="仿宋" w:eastAsia="仿宋" w:cstheme="minorEastAsia"/>
                <w:color w:val="000000" w:themeColor="text1"/>
                <w:szCs w:val="24"/>
                <w14:textFill>
                  <w14:solidFill>
                    <w14:schemeClr w14:val="tx1"/>
                  </w14:solidFill>
                </w14:textFill>
              </w:rPr>
              <w:t>零钱包H款</w:t>
            </w:r>
          </w:p>
        </w:tc>
        <w:tc>
          <w:tcPr>
            <w:tcW w:w="157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LQB2001H</w:t>
            </w:r>
          </w:p>
        </w:tc>
        <w:tc>
          <w:tcPr>
            <w:tcW w:w="1064"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1.0000</w:t>
            </w:r>
          </w:p>
        </w:tc>
        <w:tc>
          <w:tcPr>
            <w:tcW w:w="3281"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3,290,346,489.80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3002" w:type="dxa"/>
            <w:tcBorders>
              <w:top w:val="single" w:color="auto" w:sz="4" w:space="0"/>
              <w:left w:val="single" w:color="auto" w:sz="4" w:space="0"/>
              <w:bottom w:val="single" w:color="auto" w:sz="4" w:space="0"/>
              <w:right w:val="single" w:color="auto" w:sz="4" w:space="0"/>
            </w:tcBorders>
          </w:tcPr>
          <w:p>
            <w:pPr>
              <w:pStyle w:val="9"/>
              <w:adjustRightInd w:val="0"/>
              <w:snapToGrid w:val="0"/>
              <w:spacing w:before="0" w:beforeAutospacing="0" w:after="0" w:afterAutospacing="0"/>
              <w:jc w:val="center"/>
              <w:rPr>
                <w:rFonts w:ascii="仿宋" w:hAnsi="仿宋" w:eastAsia="仿宋" w:cstheme="minorEastAsia"/>
                <w:color w:val="000000" w:themeColor="text1"/>
                <w:szCs w:val="24"/>
                <w14:textFill>
                  <w14:solidFill>
                    <w14:schemeClr w14:val="tx1"/>
                  </w14:solidFill>
                </w14:textFill>
              </w:rPr>
            </w:pPr>
            <w:r>
              <w:rPr>
                <w:rFonts w:hint="eastAsia" w:ascii="仿宋" w:hAnsi="仿宋" w:eastAsia="仿宋" w:cstheme="minorEastAsia"/>
                <w:color w:val="000000" w:themeColor="text1"/>
                <w:szCs w:val="24"/>
                <w14:textFill>
                  <w14:solidFill>
                    <w14:schemeClr w14:val="tx1"/>
                  </w14:solidFill>
                </w14:textFill>
              </w:rPr>
              <w:t>零钱包I款</w:t>
            </w:r>
          </w:p>
        </w:tc>
        <w:tc>
          <w:tcPr>
            <w:tcW w:w="157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LQB2001I</w:t>
            </w:r>
          </w:p>
        </w:tc>
        <w:tc>
          <w:tcPr>
            <w:tcW w:w="1064"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1.0000</w:t>
            </w:r>
          </w:p>
        </w:tc>
        <w:tc>
          <w:tcPr>
            <w:tcW w:w="3281"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0" w:beforeAutospacing="0" w:after="0" w:afterAutospacing="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55,708,949.09</w:t>
            </w:r>
          </w:p>
        </w:tc>
      </w:tr>
    </w:tbl>
    <w:p>
      <w:pPr>
        <w:adjustRightInd w:val="0"/>
        <w:snapToGrid w:val="0"/>
        <w:spacing w:line="440" w:lineRule="exact"/>
        <w:outlineLvl w:val="2"/>
        <w:rPr>
          <w:rFonts w:ascii="仿宋" w:hAnsi="仿宋" w:eastAsia="仿宋"/>
          <w:b/>
          <w:sz w:val="24"/>
        </w:rPr>
      </w:pPr>
      <w:bookmarkStart w:id="6" w:name="_Toc1593444077"/>
      <w:r>
        <w:rPr>
          <w:rFonts w:hint="eastAsia" w:ascii="仿宋" w:hAnsi="仿宋" w:eastAsia="仿宋"/>
          <w:b/>
          <w:sz w:val="24"/>
        </w:rPr>
        <w:t>3.</w:t>
      </w:r>
      <w:r>
        <w:rPr>
          <w:rFonts w:ascii="仿宋" w:hAnsi="仿宋" w:eastAsia="仿宋"/>
          <w:b/>
          <w:sz w:val="24"/>
        </w:rPr>
        <w:t>2</w:t>
      </w:r>
      <w:r>
        <w:rPr>
          <w:rFonts w:hint="eastAsia" w:ascii="仿宋" w:hAnsi="仿宋" w:eastAsia="仿宋"/>
          <w:b/>
          <w:sz w:val="24"/>
        </w:rPr>
        <w:t xml:space="preserve"> 产品收益表现</w:t>
      </w:r>
      <w:bookmarkEnd w:id="6"/>
    </w:p>
    <w:tbl>
      <w:tblPr>
        <w:tblStyle w:val="10"/>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产品名称</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近七日年化收益率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adjustRightInd w:val="0"/>
              <w:snapToGrid w:val="0"/>
              <w:jc w:val="center"/>
              <w:rPr>
                <w:rStyle w:val="14"/>
                <w:rFonts w:ascii="仿宋" w:hAnsi="仿宋" w:eastAsia="仿宋"/>
                <w:sz w:val="24"/>
                <w:szCs w:val="24"/>
              </w:rPr>
            </w:pPr>
            <w:r>
              <w:rPr>
                <w:rStyle w:val="14"/>
                <w:rFonts w:hint="eastAsia" w:ascii="仿宋" w:hAnsi="仿宋" w:eastAsia="仿宋"/>
                <w:sz w:val="24"/>
                <w:szCs w:val="24"/>
              </w:rPr>
              <w:t>幸福99零钱包开放式理财计划</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adjustRightInd w:val="0"/>
              <w:snapToGrid w:val="0"/>
              <w:jc w:val="center"/>
              <w:rPr>
                <w:rStyle w:val="14"/>
                <w:rFonts w:ascii="仿宋" w:hAnsi="仿宋" w:eastAsia="仿宋"/>
                <w:sz w:val="24"/>
                <w:szCs w:val="24"/>
              </w:rPr>
            </w:pPr>
            <w:r>
              <w:rPr>
                <w:rStyle w:val="14"/>
                <w:rFonts w:hint="eastAsia" w:ascii="仿宋" w:hAnsi="仿宋" w:eastAsia="仿宋"/>
                <w:sz w:val="24"/>
                <w:szCs w:val="24"/>
              </w:rPr>
              <w:t>零钱包开放式B款</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adjustRightInd w:val="0"/>
              <w:snapToGrid w:val="0"/>
              <w:jc w:val="center"/>
              <w:rPr>
                <w:rStyle w:val="14"/>
                <w:rFonts w:ascii="仿宋" w:hAnsi="仿宋" w:eastAsia="仿宋"/>
                <w:sz w:val="24"/>
                <w:szCs w:val="24"/>
              </w:rPr>
            </w:pPr>
            <w:r>
              <w:rPr>
                <w:rStyle w:val="14"/>
                <w:rFonts w:hint="eastAsia" w:ascii="仿宋" w:hAnsi="仿宋" w:eastAsia="仿宋"/>
                <w:sz w:val="24"/>
                <w:szCs w:val="24"/>
              </w:rPr>
              <w:t>零钱包开放式C款</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adjustRightInd w:val="0"/>
              <w:snapToGrid w:val="0"/>
              <w:jc w:val="center"/>
              <w:rPr>
                <w:rStyle w:val="14"/>
                <w:rFonts w:ascii="仿宋" w:hAnsi="仿宋" w:eastAsia="仿宋"/>
                <w:sz w:val="24"/>
                <w:szCs w:val="24"/>
              </w:rPr>
            </w:pPr>
            <w:r>
              <w:rPr>
                <w:rStyle w:val="14"/>
                <w:rFonts w:hint="eastAsia" w:ascii="仿宋" w:hAnsi="仿宋" w:eastAsia="仿宋"/>
                <w:sz w:val="24"/>
                <w:szCs w:val="24"/>
              </w:rPr>
              <w:t>零钱包开放式D款</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adjustRightInd w:val="0"/>
              <w:snapToGrid w:val="0"/>
              <w:jc w:val="center"/>
              <w:rPr>
                <w:rStyle w:val="14"/>
                <w:rFonts w:ascii="仿宋" w:hAnsi="仿宋" w:eastAsia="仿宋"/>
                <w:sz w:val="24"/>
                <w:szCs w:val="24"/>
              </w:rPr>
            </w:pPr>
            <w:r>
              <w:rPr>
                <w:rStyle w:val="14"/>
                <w:rFonts w:hint="eastAsia" w:ascii="仿宋" w:hAnsi="仿宋" w:eastAsia="仿宋"/>
                <w:sz w:val="24"/>
                <w:szCs w:val="24"/>
              </w:rPr>
              <w:t>零钱包开放式E款</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adjustRightInd w:val="0"/>
              <w:snapToGrid w:val="0"/>
              <w:jc w:val="center"/>
              <w:rPr>
                <w:rStyle w:val="14"/>
                <w:rFonts w:ascii="仿宋" w:hAnsi="仿宋" w:eastAsia="仿宋"/>
                <w:sz w:val="24"/>
                <w:szCs w:val="24"/>
              </w:rPr>
            </w:pPr>
            <w:r>
              <w:rPr>
                <w:rStyle w:val="14"/>
                <w:rFonts w:hint="eastAsia" w:ascii="仿宋" w:hAnsi="仿宋" w:eastAsia="仿宋"/>
                <w:sz w:val="24"/>
                <w:szCs w:val="24"/>
              </w:rPr>
              <w:t>零钱包开放式F款</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adjustRightInd w:val="0"/>
              <w:snapToGrid w:val="0"/>
              <w:jc w:val="center"/>
              <w:rPr>
                <w:rStyle w:val="14"/>
                <w:rFonts w:ascii="仿宋" w:hAnsi="仿宋" w:eastAsia="仿宋"/>
                <w:sz w:val="24"/>
                <w:szCs w:val="24"/>
              </w:rPr>
            </w:pPr>
            <w:r>
              <w:rPr>
                <w:rStyle w:val="14"/>
                <w:rFonts w:hint="eastAsia" w:ascii="仿宋" w:hAnsi="仿宋" w:eastAsia="仿宋"/>
                <w:sz w:val="24"/>
                <w:szCs w:val="24"/>
              </w:rPr>
              <w:t>零钱包G款</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adjustRightInd w:val="0"/>
              <w:snapToGrid w:val="0"/>
              <w:jc w:val="center"/>
              <w:rPr>
                <w:rStyle w:val="14"/>
                <w:rFonts w:ascii="仿宋" w:hAnsi="仿宋" w:eastAsia="仿宋"/>
                <w:sz w:val="24"/>
                <w:szCs w:val="24"/>
              </w:rPr>
            </w:pPr>
            <w:r>
              <w:rPr>
                <w:rStyle w:val="14"/>
                <w:rFonts w:hint="eastAsia" w:ascii="仿宋" w:hAnsi="仿宋" w:eastAsia="仿宋"/>
                <w:sz w:val="24"/>
                <w:szCs w:val="24"/>
              </w:rPr>
              <w:t>零钱包H款</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adjustRightInd w:val="0"/>
              <w:snapToGrid w:val="0"/>
              <w:jc w:val="center"/>
              <w:rPr>
                <w:rStyle w:val="14"/>
                <w:rFonts w:ascii="仿宋" w:hAnsi="仿宋" w:eastAsia="仿宋"/>
                <w:sz w:val="24"/>
                <w:szCs w:val="24"/>
              </w:rPr>
            </w:pPr>
            <w:r>
              <w:rPr>
                <w:rStyle w:val="14"/>
                <w:rFonts w:hint="eastAsia" w:ascii="仿宋" w:hAnsi="仿宋" w:eastAsia="仿宋"/>
                <w:sz w:val="24"/>
                <w:szCs w:val="24"/>
              </w:rPr>
              <w:t>零钱包I款</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2.49%</w:t>
            </w:r>
          </w:p>
        </w:tc>
      </w:tr>
    </w:tbl>
    <w:p>
      <w:pPr>
        <w:adjustRightInd w:val="0"/>
        <w:snapToGrid w:val="0"/>
        <w:rPr>
          <w:rFonts w:ascii="仿宋" w:hAnsi="仿宋" w:eastAsia="仿宋"/>
          <w:color w:val="404040"/>
          <w:kern w:val="0"/>
          <w:sz w:val="24"/>
        </w:rPr>
      </w:pPr>
    </w:p>
    <w:p>
      <w:pPr>
        <w:adjustRightInd w:val="0"/>
        <w:snapToGrid w:val="0"/>
        <w:rPr>
          <w:rFonts w:ascii="仿宋" w:hAnsi="仿宋" w:eastAsia="仿宋"/>
          <w:color w:val="404040"/>
          <w:kern w:val="0"/>
          <w:sz w:val="24"/>
        </w:rPr>
      </w:pPr>
    </w:p>
    <w:p>
      <w:pPr>
        <w:pStyle w:val="2"/>
        <w:adjustRightInd w:val="0"/>
        <w:snapToGrid w:val="0"/>
        <w:spacing w:line="560" w:lineRule="exact"/>
        <w:jc w:val="center"/>
        <w:rPr>
          <w:rFonts w:ascii="仿宋" w:hAnsi="仿宋" w:eastAsia="仿宋"/>
          <w:sz w:val="24"/>
        </w:rPr>
      </w:pPr>
      <w:bookmarkStart w:id="7" w:name="_Toc1893524049"/>
      <w:r>
        <w:rPr>
          <w:rFonts w:hint="eastAsia" w:ascii="仿宋" w:hAnsi="仿宋" w:eastAsia="仿宋"/>
          <w:sz w:val="24"/>
        </w:rPr>
        <w:t>§4  投资组合报告</w:t>
      </w:r>
      <w:bookmarkEnd w:id="7"/>
    </w:p>
    <w:p>
      <w:pPr>
        <w:adjustRightInd w:val="0"/>
        <w:snapToGrid w:val="0"/>
        <w:spacing w:line="440" w:lineRule="exact"/>
        <w:outlineLvl w:val="2"/>
        <w:rPr>
          <w:rFonts w:ascii="仿宋" w:hAnsi="仿宋" w:eastAsia="仿宋"/>
          <w:b/>
          <w:sz w:val="24"/>
        </w:rPr>
      </w:pPr>
      <w:bookmarkStart w:id="8" w:name="_Toc898526650"/>
      <w:r>
        <w:rPr>
          <w:rFonts w:hint="eastAsia" w:ascii="仿宋" w:hAnsi="仿宋" w:eastAsia="仿宋"/>
          <w:b/>
          <w:sz w:val="24"/>
        </w:rPr>
        <w:t>4.1</w:t>
      </w:r>
      <w:r>
        <w:rPr>
          <w:rFonts w:ascii="仿宋" w:hAnsi="仿宋" w:eastAsia="仿宋"/>
          <w:b/>
          <w:sz w:val="24"/>
        </w:rPr>
        <w:t xml:space="preserve"> </w:t>
      </w:r>
      <w:r>
        <w:rPr>
          <w:rFonts w:hint="eastAsia" w:ascii="仿宋" w:hAnsi="仿宋" w:eastAsia="仿宋"/>
          <w:b/>
          <w:sz w:val="24"/>
        </w:rPr>
        <w:t>报告期内产品投资策略回顾</w:t>
      </w:r>
      <w:bookmarkEnd w:id="8"/>
    </w:p>
    <w:p>
      <w:pPr>
        <w:adjustRightInd w:val="0"/>
        <w:snapToGrid w:val="0"/>
        <w:spacing w:line="420" w:lineRule="exact"/>
        <w:ind w:firstLine="480" w:firstLineChars="200"/>
        <w:rPr>
          <w:rFonts w:ascii="仿宋" w:hAnsi="仿宋" w:eastAsia="仿宋"/>
          <w:sz w:val="24"/>
        </w:rPr>
      </w:pPr>
      <w:r>
        <w:rPr>
          <w:rFonts w:hint="eastAsia" w:ascii="仿宋" w:hAnsi="仿宋" w:eastAsia="仿宋"/>
          <w:sz w:val="24"/>
        </w:rPr>
        <w:t>2023年2季度以来，债券收益率整体震荡下行，宏观经济在经历1季度需求回暖后，2季度经济修复面临考验，社会总需求逐月走低，地产销售疲弱，出口增速下移，消费增速未有起色，通胀数据疲软，市场预期偏弱，货币、财政、房地产等政策相继出台，但经济刺激政策整体温和，投资者信心和社会总需求仍有待提振。在此背景下，2季度货币政策保持相对宽松，银行间回购利率长期低于政策利率，6月央行超预期降息显示货币政策对实体经济的支持。理财赎回风波基本结束，伴随着银行相继调降存款利率，存款向理财搬家的现象重现，理财规模重回扩张，一定程度上仍存在资产荒。</w:t>
      </w:r>
      <w:r>
        <w:rPr>
          <w:rFonts w:hint="eastAsia" w:ascii="仿宋" w:hAnsi="仿宋" w:eastAsia="仿宋"/>
          <w:sz w:val="24"/>
        </w:rPr>
        <w:cr/>
      </w:r>
      <w:r>
        <w:rPr>
          <w:rFonts w:hint="eastAsia" w:ascii="仿宋" w:hAnsi="仿宋" w:eastAsia="仿宋"/>
          <w:sz w:val="24"/>
        </w:rPr>
        <w:t>债券市场方面；10年国债收益率2.66%，较2季度初下行19bp，当前3年期AA+城投债收益率3.06%，较2季度初下行18bp，当前3年期AAA二级资本债收益率3.02%，较2季度初下行24bp，高等级信用债和利率债收益率下行幅度更大，市场更加偏好高流动性债券。</w:t>
      </w:r>
      <w:r>
        <w:rPr>
          <w:rFonts w:hint="eastAsia" w:ascii="仿宋" w:hAnsi="仿宋" w:eastAsia="仿宋"/>
          <w:sz w:val="24"/>
        </w:rPr>
        <w:cr/>
      </w:r>
      <w:r>
        <w:rPr>
          <w:rFonts w:hint="eastAsia" w:ascii="仿宋" w:hAnsi="仿宋" w:eastAsia="仿宋"/>
          <w:sz w:val="24"/>
        </w:rPr>
        <w:t xml:space="preserve">    资金方面：二季度央行公开市场无净投放，但6月13日，中国人民银行将公开市场7日逆回购利率由2%下降至1.9%，这是自去年9月份以来首次下降。银行间资金价格较去年四季度相比整体下行，R007均值2.16%，较上年四季度季度均值下行19bp。</w:t>
      </w:r>
    </w:p>
    <w:p>
      <w:pPr>
        <w:adjustRightInd w:val="0"/>
        <w:snapToGrid w:val="0"/>
        <w:spacing w:line="440" w:lineRule="exact"/>
        <w:outlineLvl w:val="2"/>
        <w:rPr>
          <w:rFonts w:ascii="仿宋" w:hAnsi="仿宋" w:eastAsia="仿宋"/>
          <w:b/>
          <w:sz w:val="24"/>
        </w:rPr>
      </w:pPr>
      <w:bookmarkStart w:id="9" w:name="_Toc432400846"/>
      <w:r>
        <w:rPr>
          <w:rFonts w:hint="eastAsia" w:ascii="仿宋" w:hAnsi="仿宋" w:eastAsia="仿宋"/>
          <w:b/>
          <w:sz w:val="24"/>
        </w:rPr>
        <w:t>4.2产品未来展望</w:t>
      </w:r>
      <w:bookmarkEnd w:id="9"/>
    </w:p>
    <w:p>
      <w:pPr>
        <w:adjustRightInd w:val="0"/>
        <w:snapToGrid w:val="0"/>
        <w:spacing w:line="420" w:lineRule="exact"/>
        <w:ind w:firstLine="480" w:firstLineChars="200"/>
        <w:rPr>
          <w:rFonts w:ascii="仿宋" w:hAnsi="仿宋" w:eastAsia="仿宋"/>
          <w:sz w:val="24"/>
        </w:rPr>
      </w:pPr>
      <w:r>
        <w:rPr>
          <w:rFonts w:hint="eastAsia" w:ascii="仿宋" w:hAnsi="仿宋" w:eastAsia="仿宋"/>
          <w:sz w:val="24"/>
        </w:rPr>
        <w:t>展望2023年3季度，从基本面来看，无论从经济高频数据还是前瞻性数据来看，经济仍处于弱复苏态势，从票据利率看银行信贷投放相对偏弱，从30城地产销售面积看地产销售处于偏低水平，消费仍处于修复过程中，在没有经济强刺激政策出台前，基本面环境对债市仍偏暖；从政策面来看，6月央行超预期降准显示对银行间资金面市场的呵护，后续市场利率大概率围绕或低于政策利率波动，3季度降准降息的可能性仍存，短端债券收益率仍有下行空间。整体来说，经济弱复苏，货币政策保持相对宽松，债市流动性环境相对友好，理财规模重回扩张，债券收益率易下难上。我们预期3季度债券收益率整体小幅下行，策略上，保持一定杠杆比例，适时把握利率债的阶段性交易机会。</w:t>
      </w:r>
    </w:p>
    <w:p>
      <w:pPr>
        <w:adjustRightInd w:val="0"/>
        <w:snapToGrid w:val="0"/>
        <w:spacing w:line="440" w:lineRule="exact"/>
        <w:outlineLvl w:val="2"/>
        <w:rPr>
          <w:rFonts w:ascii="仿宋" w:hAnsi="仿宋" w:eastAsia="仿宋"/>
          <w:b/>
          <w:sz w:val="24"/>
        </w:rPr>
      </w:pPr>
      <w:bookmarkStart w:id="10" w:name="_Toc276357274"/>
      <w:r>
        <w:rPr>
          <w:rFonts w:hint="eastAsia" w:ascii="仿宋" w:hAnsi="仿宋" w:eastAsia="仿宋"/>
          <w:b/>
          <w:sz w:val="24"/>
        </w:rPr>
        <w:t>4.3投资组合的流动性风险分析</w:t>
      </w:r>
      <w:bookmarkEnd w:id="10"/>
    </w:p>
    <w:p>
      <w:pPr>
        <w:adjustRightInd w:val="0"/>
        <w:snapToGrid w:val="0"/>
        <w:spacing w:line="420" w:lineRule="exact"/>
        <w:ind w:firstLine="480" w:firstLineChars="200"/>
        <w:rPr>
          <w:rFonts w:ascii="仿宋" w:hAnsi="仿宋" w:eastAsia="仿宋"/>
          <w:sz w:val="24"/>
        </w:rPr>
      </w:pPr>
      <w:r>
        <w:rPr>
          <w:rFonts w:hint="eastAsia" w:ascii="仿宋" w:hAnsi="仿宋" w:eastAsia="仿宋"/>
          <w:sz w:val="24"/>
        </w:rPr>
        <w:t>本产品属于现金管理类产品，坚持流动性管理工具的定位，保持投资组合较高的流动性，主要投资于流动性较好的利率债，同业存单、逆回购等资产。本产品管理人遵循《关于规范现金管理类理财产品管理有关事项的通知》《理财公司理财产品流动性风险管理办法》等相关法规的要求，对本产品组合资产的流动性风险进行管理，并通过独立的风险管理部门对本产品组合的流动性指标进行持续监测，产品整体流动性风险可控。报告期内，本产品组合资产的流动性与产品的申赎安排相匹配，未发生重大流动性风险事件。管理人将继续密切关注市场变化，做好负债端现金流的跟踪与研判，通过合理安排投资品种和期限结构、监控组合资金头寸等方式，确保产品的流动性风险得到有效管理。</w:t>
      </w:r>
    </w:p>
    <w:p>
      <w:pPr>
        <w:adjustRightInd w:val="0"/>
        <w:snapToGrid w:val="0"/>
        <w:spacing w:line="440" w:lineRule="exact"/>
        <w:outlineLvl w:val="2"/>
        <w:rPr>
          <w:rFonts w:ascii="仿宋" w:hAnsi="仿宋" w:eastAsia="仿宋"/>
          <w:b/>
          <w:sz w:val="24"/>
        </w:rPr>
      </w:pPr>
      <w:bookmarkStart w:id="11" w:name="_Toc1877059304"/>
      <w:r>
        <w:rPr>
          <w:rFonts w:hint="eastAsia" w:ascii="仿宋" w:hAnsi="仿宋" w:eastAsia="仿宋"/>
          <w:b/>
          <w:sz w:val="24"/>
        </w:rPr>
        <w:t>4.4 报告期末投资组合分类</w:t>
      </w:r>
      <w:bookmarkEnd w:id="11"/>
    </w:p>
    <w:tbl>
      <w:tblPr>
        <w:tblStyle w:val="10"/>
        <w:tblW w:w="9015" w:type="dxa"/>
        <w:tblInd w:w="-5" w:type="dxa"/>
        <w:tblLayout w:type="fixed"/>
        <w:tblCellMar>
          <w:top w:w="0" w:type="dxa"/>
          <w:left w:w="0" w:type="dxa"/>
          <w:bottom w:w="0" w:type="dxa"/>
          <w:right w:w="0" w:type="dxa"/>
        </w:tblCellMar>
      </w:tblPr>
      <w:tblGrid>
        <w:gridCol w:w="397"/>
        <w:gridCol w:w="4082"/>
        <w:gridCol w:w="2268"/>
        <w:gridCol w:w="2268"/>
      </w:tblGrid>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序号</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项目</w:t>
            </w:r>
          </w:p>
        </w:tc>
        <w:tc>
          <w:tcPr>
            <w:tcW w:w="2268"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 w:val="24"/>
              </w:rPr>
            </w:pPr>
            <w:r>
              <w:rPr>
                <w:rFonts w:hint="eastAsia" w:ascii="仿宋" w:hAnsi="仿宋" w:eastAsia="仿宋" w:cs="仿宋"/>
                <w:sz w:val="24"/>
              </w:rPr>
              <w:t>期末穿透前占总资产比例（％）</w:t>
            </w:r>
          </w:p>
        </w:tc>
        <w:tc>
          <w:tcPr>
            <w:tcW w:w="2268"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 w:val="24"/>
              </w:rPr>
            </w:pPr>
            <w:r>
              <w:rPr>
                <w:rFonts w:hint="eastAsia" w:ascii="仿宋" w:hAnsi="仿宋" w:eastAsia="仿宋" w:cs="仿宋"/>
                <w:sz w:val="24"/>
              </w:rPr>
              <w:t>期末穿透后占总资产比例（％）</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现金及银行存款</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9.51%</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2</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同业存单</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39.72%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41.50%</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3</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拆放同业及债券买入返售</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24.34%</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24.88%</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4</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债券</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23.23%</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23.34%</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5</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非标准化债权类资产</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6</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权益类投资</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7</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金融衍生品</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8</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代客境外理财投资QDII</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9</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商品类资产</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10</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另类资产</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11</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公募基金</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0.77%</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12</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私募基金</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13</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资产管理产品</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12.71%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14</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委外投资——协议方式</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c>
          <w:tcPr>
            <w:tcW w:w="3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15</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合计</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100.00%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cs="仿宋"/>
                <w:sz w:val="24"/>
              </w:rPr>
              <w:t>100.00%</w:t>
            </w:r>
          </w:p>
        </w:tc>
      </w:tr>
    </w:tbl>
    <w:p>
      <w:pPr>
        <w:adjustRightInd w:val="0"/>
        <w:snapToGrid w:val="0"/>
        <w:spacing w:line="440" w:lineRule="exact"/>
        <w:outlineLvl w:val="2"/>
        <w:rPr>
          <w:rFonts w:ascii="仿宋" w:hAnsi="仿宋" w:eastAsia="仿宋"/>
          <w:b/>
          <w:sz w:val="24"/>
        </w:rPr>
      </w:pPr>
      <w:bookmarkStart w:id="12" w:name="_Toc132523533"/>
      <w:r>
        <w:rPr>
          <w:rFonts w:hint="eastAsia" w:ascii="仿宋" w:hAnsi="仿宋" w:eastAsia="仿宋"/>
          <w:b/>
          <w:sz w:val="24"/>
        </w:rPr>
        <w:t>4.</w:t>
      </w:r>
      <w:r>
        <w:rPr>
          <w:rFonts w:ascii="仿宋" w:hAnsi="仿宋" w:eastAsia="仿宋"/>
          <w:b/>
          <w:sz w:val="24"/>
        </w:rPr>
        <w:t>5</w:t>
      </w:r>
      <w:r>
        <w:rPr>
          <w:rFonts w:hint="eastAsia" w:ascii="仿宋" w:hAnsi="仿宋" w:eastAsia="仿宋"/>
          <w:b/>
          <w:sz w:val="24"/>
        </w:rPr>
        <w:t>报告期末投资前十名资产明细</w:t>
      </w:r>
      <w:bookmarkEnd w:id="12"/>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10"/>
        <w:tblW w:w="90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3798"/>
        <w:gridCol w:w="232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72" w:type="dxa"/>
            <w:tcMar>
              <w:top w:w="15" w:type="dxa"/>
              <w:left w:w="15" w:type="dxa"/>
              <w:bottom w:w="0" w:type="dxa"/>
              <w:right w:w="15" w:type="dxa"/>
            </w:tcMar>
          </w:tcPr>
          <w:p>
            <w:pPr>
              <w:adjustRightInd w:val="0"/>
              <w:snapToGrid w:val="0"/>
              <w:rPr>
                <w:rFonts w:ascii="仿宋" w:hAnsi="仿宋" w:eastAsia="仿宋"/>
                <w:sz w:val="24"/>
              </w:rPr>
            </w:pPr>
            <w:r>
              <w:rPr>
                <w:rFonts w:ascii="仿宋" w:hAnsi="仿宋" w:eastAsia="仿宋" w:cs="仿宋"/>
                <w:sz w:val="24"/>
              </w:rPr>
              <w:t>序号</w:t>
            </w:r>
          </w:p>
        </w:tc>
        <w:tc>
          <w:tcPr>
            <w:tcW w:w="3798" w:type="dxa"/>
            <w:tcMar>
              <w:top w:w="15" w:type="dxa"/>
              <w:left w:w="15" w:type="dxa"/>
              <w:bottom w:w="0" w:type="dxa"/>
              <w:right w:w="15" w:type="dxa"/>
            </w:tcMar>
          </w:tcPr>
          <w:p>
            <w:pPr>
              <w:adjustRightInd w:val="0"/>
              <w:snapToGrid w:val="0"/>
              <w:jc w:val="center"/>
              <w:rPr>
                <w:rFonts w:ascii="仿宋" w:hAnsi="仿宋" w:eastAsia="仿宋"/>
                <w:sz w:val="24"/>
              </w:rPr>
            </w:pPr>
            <w:r>
              <w:rPr>
                <w:rFonts w:hint="eastAsia" w:ascii="仿宋" w:hAnsi="仿宋" w:eastAsia="仿宋"/>
                <w:sz w:val="24"/>
              </w:rPr>
              <w:t>资产名称</w:t>
            </w:r>
          </w:p>
        </w:tc>
        <w:tc>
          <w:tcPr>
            <w:tcW w:w="2325" w:type="dxa"/>
            <w:tcMar>
              <w:top w:w="15" w:type="dxa"/>
              <w:left w:w="15" w:type="dxa"/>
              <w:bottom w:w="0" w:type="dxa"/>
              <w:right w:w="15" w:type="dxa"/>
            </w:tcMar>
          </w:tcPr>
          <w:p>
            <w:pPr>
              <w:adjustRightInd w:val="0"/>
              <w:snapToGrid w:val="0"/>
              <w:jc w:val="center"/>
              <w:rPr>
                <w:rFonts w:ascii="仿宋" w:hAnsi="仿宋" w:eastAsia="仿宋"/>
                <w:sz w:val="24"/>
              </w:rPr>
            </w:pPr>
            <w:r>
              <w:rPr>
                <w:rFonts w:hint="eastAsia" w:ascii="仿宋" w:hAnsi="仿宋" w:eastAsia="仿宋"/>
                <w:sz w:val="24"/>
              </w:rPr>
              <w:t>金额（元）</w:t>
            </w:r>
          </w:p>
        </w:tc>
        <w:tc>
          <w:tcPr>
            <w:tcW w:w="2324" w:type="dxa"/>
            <w:tcMar>
              <w:top w:w="15" w:type="dxa"/>
              <w:left w:w="15" w:type="dxa"/>
              <w:bottom w:w="0" w:type="dxa"/>
              <w:right w:w="15" w:type="dxa"/>
            </w:tcMar>
          </w:tcPr>
          <w:p>
            <w:pPr>
              <w:adjustRightInd w:val="0"/>
              <w:snapToGrid w:val="0"/>
              <w:jc w:val="center"/>
              <w:rPr>
                <w:rFonts w:ascii="仿宋" w:hAnsi="仿宋" w:eastAsia="仿宋"/>
                <w:sz w:val="24"/>
              </w:rPr>
            </w:pPr>
            <w:r>
              <w:rPr>
                <w:rFonts w:hint="eastAsia" w:ascii="仿宋" w:hAnsi="仿宋" w:eastAsia="仿宋"/>
                <w:sz w:val="24"/>
              </w:rPr>
              <w:t>占资产净值比例（％）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72"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1</w:t>
            </w:r>
          </w:p>
        </w:tc>
        <w:tc>
          <w:tcPr>
            <w:tcW w:w="3798"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22中国银行CD036</w:t>
            </w:r>
          </w:p>
        </w:tc>
        <w:tc>
          <w:tcPr>
            <w:tcW w:w="2325"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349,992,136.62</w:t>
            </w:r>
          </w:p>
        </w:tc>
        <w:tc>
          <w:tcPr>
            <w:tcW w:w="2324"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72"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w:t>
            </w:r>
          </w:p>
        </w:tc>
        <w:tc>
          <w:tcPr>
            <w:tcW w:w="3798"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22国开11</w:t>
            </w:r>
          </w:p>
        </w:tc>
        <w:tc>
          <w:tcPr>
            <w:tcW w:w="2325"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335,202,120.63</w:t>
            </w:r>
          </w:p>
        </w:tc>
        <w:tc>
          <w:tcPr>
            <w:tcW w:w="2324"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72"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3</w:t>
            </w:r>
          </w:p>
        </w:tc>
        <w:tc>
          <w:tcPr>
            <w:tcW w:w="3798"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19国开03</w:t>
            </w:r>
          </w:p>
        </w:tc>
        <w:tc>
          <w:tcPr>
            <w:tcW w:w="2325"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305,645,801.57</w:t>
            </w:r>
          </w:p>
        </w:tc>
        <w:tc>
          <w:tcPr>
            <w:tcW w:w="2324"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72"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4</w:t>
            </w:r>
          </w:p>
        </w:tc>
        <w:tc>
          <w:tcPr>
            <w:tcW w:w="3798"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23重庆农村商行CD010</w:t>
            </w:r>
          </w:p>
        </w:tc>
        <w:tc>
          <w:tcPr>
            <w:tcW w:w="2325"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298,514,399.88</w:t>
            </w:r>
          </w:p>
        </w:tc>
        <w:tc>
          <w:tcPr>
            <w:tcW w:w="2324"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72"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5</w:t>
            </w:r>
          </w:p>
        </w:tc>
        <w:tc>
          <w:tcPr>
            <w:tcW w:w="3798"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23浦发银行CD060</w:t>
            </w:r>
          </w:p>
        </w:tc>
        <w:tc>
          <w:tcPr>
            <w:tcW w:w="2325"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294,361,094.05</w:t>
            </w:r>
          </w:p>
        </w:tc>
        <w:tc>
          <w:tcPr>
            <w:tcW w:w="2324"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72"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6</w:t>
            </w:r>
          </w:p>
        </w:tc>
        <w:tc>
          <w:tcPr>
            <w:tcW w:w="3798"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22上海银行CD155</w:t>
            </w:r>
          </w:p>
        </w:tc>
        <w:tc>
          <w:tcPr>
            <w:tcW w:w="2325"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249,084,088.55</w:t>
            </w:r>
          </w:p>
        </w:tc>
        <w:tc>
          <w:tcPr>
            <w:tcW w:w="2324"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72"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7</w:t>
            </w:r>
          </w:p>
        </w:tc>
        <w:tc>
          <w:tcPr>
            <w:tcW w:w="3798"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22宁波银行CD253</w:t>
            </w:r>
          </w:p>
        </w:tc>
        <w:tc>
          <w:tcPr>
            <w:tcW w:w="2325"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199,285,264.35</w:t>
            </w:r>
          </w:p>
        </w:tc>
        <w:tc>
          <w:tcPr>
            <w:tcW w:w="2324"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72"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8</w:t>
            </w:r>
          </w:p>
        </w:tc>
        <w:tc>
          <w:tcPr>
            <w:tcW w:w="3798"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23重庆农村商行CD011</w:t>
            </w:r>
          </w:p>
        </w:tc>
        <w:tc>
          <w:tcPr>
            <w:tcW w:w="2325"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198,995,071.85</w:t>
            </w:r>
          </w:p>
        </w:tc>
        <w:tc>
          <w:tcPr>
            <w:tcW w:w="2324"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72"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9</w:t>
            </w:r>
          </w:p>
        </w:tc>
        <w:tc>
          <w:tcPr>
            <w:tcW w:w="3798"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23徽商银行CD071</w:t>
            </w:r>
          </w:p>
        </w:tc>
        <w:tc>
          <w:tcPr>
            <w:tcW w:w="2325"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198,158,047.99</w:t>
            </w:r>
          </w:p>
        </w:tc>
        <w:tc>
          <w:tcPr>
            <w:tcW w:w="2324"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72"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10</w:t>
            </w:r>
          </w:p>
        </w:tc>
        <w:tc>
          <w:tcPr>
            <w:tcW w:w="3798"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23浦发银行CD071</w:t>
            </w:r>
          </w:p>
        </w:tc>
        <w:tc>
          <w:tcPr>
            <w:tcW w:w="2325"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196,607,683.11</w:t>
            </w:r>
          </w:p>
        </w:tc>
        <w:tc>
          <w:tcPr>
            <w:tcW w:w="2324" w:type="dxa"/>
            <w:tcMar>
              <w:top w:w="15" w:type="dxa"/>
              <w:left w:w="15" w:type="dxa"/>
              <w:bottom w:w="0" w:type="dxa"/>
              <w:right w:w="15" w:type="dxa"/>
            </w:tcMar>
          </w:tcPr>
          <w:p>
            <w:pPr>
              <w:adjustRightInd w:val="0"/>
              <w:snapToGrid w:val="0"/>
              <w:jc w:val="center"/>
              <w:rPr>
                <w:rFonts w:ascii="仿宋" w:hAnsi="仿宋" w:eastAsia="仿宋"/>
                <w:color w:val="000000"/>
                <w:sz w:val="24"/>
              </w:rPr>
            </w:pPr>
            <w:r>
              <w:rPr>
                <w:rFonts w:hint="eastAsia" w:ascii="仿宋" w:hAnsi="仿宋" w:eastAsia="仿宋"/>
                <w:sz w:val="24"/>
              </w:rPr>
              <w:t>1.56%</w:t>
            </w:r>
          </w:p>
        </w:tc>
      </w:tr>
    </w:tbl>
    <w:p>
      <w:pPr>
        <w:adjustRightInd w:val="0"/>
        <w:snapToGrid w:val="0"/>
        <w:spacing w:line="440" w:lineRule="exact"/>
        <w:outlineLvl w:val="2"/>
        <w:rPr>
          <w:rFonts w:ascii="仿宋" w:hAnsi="仿宋" w:eastAsia="仿宋"/>
          <w:b/>
          <w:sz w:val="24"/>
        </w:rPr>
      </w:pPr>
      <w:bookmarkStart w:id="13" w:name="_Toc382477192"/>
      <w:r>
        <w:rPr>
          <w:rFonts w:hint="eastAsia" w:ascii="仿宋" w:hAnsi="仿宋" w:eastAsia="仿宋"/>
          <w:b/>
          <w:sz w:val="24"/>
        </w:rPr>
        <w:t>4.</w:t>
      </w:r>
      <w:r>
        <w:rPr>
          <w:rFonts w:ascii="仿宋" w:hAnsi="仿宋" w:eastAsia="仿宋"/>
          <w:b/>
          <w:sz w:val="24"/>
        </w:rPr>
        <w:t>6</w:t>
      </w:r>
      <w:r>
        <w:rPr>
          <w:rFonts w:hint="eastAsia" w:ascii="仿宋" w:hAnsi="仿宋" w:eastAsia="仿宋"/>
          <w:b/>
          <w:sz w:val="24"/>
        </w:rPr>
        <w:t>报告期融资情况</w:t>
      </w:r>
      <w:bookmarkEnd w:id="13"/>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10"/>
        <w:tblW w:w="8931" w:type="dxa"/>
        <w:tblInd w:w="-5" w:type="dxa"/>
        <w:tblLayout w:type="fixed"/>
        <w:tblCellMar>
          <w:top w:w="0" w:type="dxa"/>
          <w:left w:w="30" w:type="dxa"/>
          <w:bottom w:w="0" w:type="dxa"/>
          <w:right w:w="30" w:type="dxa"/>
        </w:tblCellMar>
      </w:tblPr>
      <w:tblGrid>
        <w:gridCol w:w="567"/>
        <w:gridCol w:w="2977"/>
        <w:gridCol w:w="2268"/>
        <w:gridCol w:w="3119"/>
      </w:tblGrid>
      <w:tr>
        <w:tblPrEx>
          <w:tblLayout w:type="fixed"/>
          <w:tblCellMar>
            <w:top w:w="0" w:type="dxa"/>
            <w:left w:w="30" w:type="dxa"/>
            <w:bottom w:w="0" w:type="dxa"/>
            <w:right w:w="30"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4"/>
              </w:rPr>
            </w:pPr>
            <w:r>
              <w:rPr>
                <w:rFonts w:ascii="仿宋" w:hAnsi="仿宋" w:eastAsia="仿宋" w:cs="仿宋"/>
                <w:sz w:val="24"/>
              </w:rPr>
              <w:t>序号</w:t>
            </w:r>
          </w:p>
        </w:tc>
        <w:tc>
          <w:tcPr>
            <w:tcW w:w="297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4"/>
              </w:rPr>
            </w:pPr>
            <w:r>
              <w:rPr>
                <w:rFonts w:hint="eastAsia" w:ascii="仿宋" w:hAnsi="仿宋" w:eastAsia="仿宋"/>
                <w:sz w:val="24"/>
              </w:rPr>
              <w:t>项目</w:t>
            </w: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4"/>
              </w:rPr>
            </w:pPr>
            <w:r>
              <w:rPr>
                <w:rFonts w:hint="eastAsia" w:ascii="仿宋" w:hAnsi="仿宋" w:eastAsia="仿宋"/>
                <w:sz w:val="24"/>
              </w:rPr>
              <w:t>金额（元）</w:t>
            </w:r>
          </w:p>
        </w:tc>
        <w:tc>
          <w:tcPr>
            <w:tcW w:w="311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4"/>
              </w:rPr>
            </w:pPr>
            <w:r>
              <w:rPr>
                <w:rFonts w:hint="eastAsia" w:ascii="仿宋" w:hAnsi="仿宋" w:eastAsia="仿宋"/>
                <w:sz w:val="24"/>
              </w:rPr>
              <w:t>占资产净值比例（％）</w:t>
            </w:r>
          </w:p>
        </w:tc>
      </w:tr>
      <w:tr>
        <w:tblPrEx>
          <w:tblLayout w:type="fixed"/>
          <w:tblCellMar>
            <w:top w:w="0" w:type="dxa"/>
            <w:left w:w="30" w:type="dxa"/>
            <w:bottom w:w="0" w:type="dxa"/>
            <w:right w:w="30" w:type="dxa"/>
          </w:tblCellMar>
        </w:tblPrEx>
        <w:trPr>
          <w:trHeight w:val="295"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4"/>
              </w:rPr>
            </w:pPr>
            <w:r>
              <w:rPr>
                <w:rFonts w:hint="eastAsia" w:ascii="仿宋" w:hAnsi="仿宋" w:eastAsia="仿宋"/>
                <w:sz w:val="24"/>
              </w:rPr>
              <w:t>1</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报告期末质押式回购余额</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FF"/>
                <w:kern w:val="0"/>
                <w:sz w:val="24"/>
              </w:rPr>
            </w:pPr>
            <w:r>
              <w:rPr>
                <w:rFonts w:hint="eastAsia" w:ascii="仿宋" w:hAnsi="仿宋" w:eastAsia="仿宋"/>
                <w:kern w:val="0"/>
                <w:sz w:val="24"/>
              </w:rPr>
              <w:t>1,663,094,378.07</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FF"/>
                <w:kern w:val="0"/>
                <w:sz w:val="24"/>
              </w:rPr>
            </w:pPr>
            <w:r>
              <w:rPr>
                <w:rFonts w:hint="eastAsia" w:ascii="仿宋" w:hAnsi="仿宋" w:eastAsia="仿宋"/>
                <w:kern w:val="0"/>
                <w:sz w:val="24"/>
              </w:rPr>
              <w:t>13.21%</w:t>
            </w:r>
          </w:p>
        </w:tc>
      </w:tr>
      <w:tr>
        <w:tblPrEx>
          <w:tblLayout w:type="fixed"/>
          <w:tblCellMar>
            <w:top w:w="0" w:type="dxa"/>
            <w:left w:w="30" w:type="dxa"/>
            <w:bottom w:w="0" w:type="dxa"/>
            <w:right w:w="30" w:type="dxa"/>
          </w:tblCellMar>
        </w:tblPrEx>
        <w:trPr>
          <w:trHeight w:val="295"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4"/>
              </w:rPr>
            </w:pPr>
            <w:r>
              <w:rPr>
                <w:rFonts w:hint="eastAsia" w:ascii="仿宋" w:hAnsi="仿宋" w:eastAsia="仿宋"/>
                <w:sz w:val="24"/>
              </w:rPr>
              <w:t>2</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报告期末同业拆入余额</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FF"/>
                <w:kern w:val="0"/>
                <w:sz w:val="24"/>
              </w:rPr>
            </w:pPr>
            <w:r>
              <w:rPr>
                <w:rFonts w:hint="eastAsia" w:ascii="仿宋" w:hAnsi="仿宋" w:eastAsia="仿宋"/>
                <w:kern w:val="0"/>
                <w:sz w:val="24"/>
              </w:rPr>
              <w:t>0.00</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FF"/>
                <w:kern w:val="0"/>
                <w:sz w:val="24"/>
              </w:rPr>
            </w:pPr>
            <w:r>
              <w:rPr>
                <w:rFonts w:hint="eastAsia" w:ascii="仿宋" w:hAnsi="仿宋" w:eastAsia="仿宋"/>
                <w:kern w:val="0"/>
                <w:sz w:val="24"/>
              </w:rPr>
              <w:t>0.00%</w:t>
            </w:r>
          </w:p>
        </w:tc>
      </w:tr>
      <w:tr>
        <w:tblPrEx>
          <w:tblLayout w:type="fixed"/>
          <w:tblCellMar>
            <w:top w:w="0" w:type="dxa"/>
            <w:left w:w="30" w:type="dxa"/>
            <w:bottom w:w="0" w:type="dxa"/>
            <w:right w:w="30" w:type="dxa"/>
          </w:tblCellMar>
        </w:tblPrEx>
        <w:trPr>
          <w:trHeight w:val="295"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4"/>
              </w:rPr>
            </w:pPr>
            <w:r>
              <w:rPr>
                <w:rFonts w:hint="eastAsia" w:ascii="仿宋" w:hAnsi="仿宋" w:eastAsia="仿宋"/>
                <w:sz w:val="24"/>
              </w:rPr>
              <w:t>3</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其他</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FF"/>
                <w:kern w:val="0"/>
                <w:sz w:val="24"/>
              </w:rPr>
            </w:pPr>
            <w:r>
              <w:rPr>
                <w:rFonts w:hint="eastAsia" w:ascii="仿宋" w:hAnsi="仿宋" w:eastAsia="仿宋"/>
                <w:kern w:val="0"/>
                <w:sz w:val="24"/>
              </w:rPr>
              <w:t>0.00</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FF"/>
                <w:kern w:val="0"/>
                <w:sz w:val="24"/>
              </w:rPr>
            </w:pPr>
            <w:r>
              <w:rPr>
                <w:rFonts w:hint="eastAsia" w:ascii="仿宋" w:hAnsi="仿宋" w:eastAsia="仿宋"/>
                <w:kern w:val="0"/>
                <w:sz w:val="24"/>
              </w:rPr>
              <w:t>0.00%</w:t>
            </w:r>
          </w:p>
        </w:tc>
      </w:tr>
    </w:tbl>
    <w:p>
      <w:pPr>
        <w:adjustRightInd w:val="0"/>
        <w:snapToGrid w:val="0"/>
        <w:spacing w:line="380" w:lineRule="exact"/>
        <w:rPr>
          <w:rFonts w:ascii="仿宋" w:hAnsi="仿宋" w:eastAsia="仿宋" w:cs="Times New Roman"/>
          <w:color w:val="0000FF"/>
          <w:kern w:val="0"/>
          <w:sz w:val="24"/>
          <w:highlight w:val="yellow"/>
        </w:rPr>
      </w:pPr>
    </w:p>
    <w:p>
      <w:pPr>
        <w:pStyle w:val="2"/>
        <w:adjustRightInd w:val="0"/>
        <w:snapToGrid w:val="0"/>
        <w:spacing w:line="560" w:lineRule="exact"/>
        <w:jc w:val="center"/>
        <w:rPr>
          <w:rFonts w:ascii="仿宋" w:hAnsi="仿宋" w:eastAsia="仿宋"/>
          <w:sz w:val="24"/>
        </w:rPr>
      </w:pPr>
      <w:bookmarkStart w:id="14" w:name="_Toc875610473"/>
      <w:r>
        <w:rPr>
          <w:rFonts w:hint="eastAsia" w:ascii="仿宋" w:hAnsi="仿宋" w:eastAsia="仿宋"/>
          <w:sz w:val="24"/>
        </w:rPr>
        <w:t>§5  产品份额变动</w:t>
      </w:r>
      <w:bookmarkEnd w:id="14"/>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单位：份</w:t>
      </w:r>
    </w:p>
    <w:tbl>
      <w:tblPr>
        <w:tblStyle w:val="10"/>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3"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olor w:val="000000"/>
                <w:sz w:val="24"/>
              </w:rPr>
            </w:pPr>
            <w:r>
              <w:rPr>
                <w:rFonts w:hint="eastAsia" w:ascii="仿宋" w:hAnsi="仿宋" w:eastAsia="仿宋"/>
                <w:color w:val="000000"/>
                <w:sz w:val="24"/>
              </w:rPr>
              <w:t>报告期期初产品份额总额</w:t>
            </w:r>
          </w:p>
        </w:tc>
        <w:tc>
          <w:tcPr>
            <w:tcW w:w="4668"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olor w:val="0000FF"/>
                <w:kern w:val="0"/>
                <w:sz w:val="24"/>
              </w:rPr>
            </w:pPr>
            <w:r>
              <w:rPr>
                <w:rFonts w:hint="eastAsia" w:ascii="仿宋" w:hAnsi="仿宋" w:eastAsia="仿宋"/>
                <w:color w:val="000000"/>
                <w:sz w:val="24"/>
              </w:rPr>
              <w:t>12,488,353,427.34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3"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olor w:val="000000"/>
                <w:sz w:val="24"/>
              </w:rPr>
            </w:pPr>
            <w:r>
              <w:rPr>
                <w:rFonts w:hint="eastAsia" w:ascii="仿宋" w:hAnsi="仿宋" w:eastAsia="仿宋"/>
                <w:color w:val="000000"/>
                <w:sz w:val="24"/>
              </w:rPr>
              <w:t>报告期期末产品份额总额</w:t>
            </w:r>
          </w:p>
        </w:tc>
        <w:tc>
          <w:tcPr>
            <w:tcW w:w="4668"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olor w:val="0000FF"/>
                <w:kern w:val="0"/>
                <w:sz w:val="24"/>
              </w:rPr>
            </w:pPr>
            <w:r>
              <w:rPr>
                <w:rFonts w:hint="eastAsia" w:ascii="仿宋" w:hAnsi="仿宋" w:eastAsia="仿宋"/>
                <w:color w:val="000000"/>
                <w:sz w:val="24"/>
              </w:rPr>
              <w:t>12,592,405,169.22</w:t>
            </w:r>
          </w:p>
        </w:tc>
      </w:tr>
    </w:tbl>
    <w:p>
      <w:pPr>
        <w:rPr>
          <w:rFonts w:ascii="仿宋" w:hAnsi="仿宋" w:eastAsia="仿宋"/>
          <w:sz w:val="24"/>
        </w:rPr>
      </w:pPr>
    </w:p>
    <w:p>
      <w:pPr>
        <w:pStyle w:val="2"/>
        <w:adjustRightInd w:val="0"/>
        <w:snapToGrid w:val="0"/>
        <w:spacing w:line="560" w:lineRule="exact"/>
        <w:jc w:val="center"/>
        <w:rPr>
          <w:rFonts w:ascii="仿宋" w:hAnsi="仿宋" w:eastAsia="仿宋"/>
          <w:sz w:val="24"/>
        </w:rPr>
      </w:pPr>
      <w:bookmarkStart w:id="15" w:name="_Toc1827270467"/>
      <w:r>
        <w:rPr>
          <w:rFonts w:hint="eastAsia" w:ascii="仿宋" w:hAnsi="仿宋" w:eastAsia="仿宋"/>
          <w:sz w:val="24"/>
        </w:rPr>
        <w:t>§6 前10名投资者信息</w:t>
      </w:r>
      <w:bookmarkEnd w:id="15"/>
    </w:p>
    <w:tbl>
      <w:tblPr>
        <w:tblStyle w:val="10"/>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496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ascii="仿宋" w:hAnsi="仿宋" w:eastAsia="仿宋" w:cs="仿宋"/>
                <w:color w:val="000000"/>
                <w:sz w:val="24"/>
              </w:rPr>
              <w:t>机构类型</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持有份额</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份额占比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机构</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40,276,677.60</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个人</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12,650,000.00</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个人</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10,061,685.47</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个人</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10,011,810.50</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个人</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9,644,836.40</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机构</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9,244,654.50</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个人</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9,058,741.85</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机构</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8,000,000.00</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个人</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7,885,768.30</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个人</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5,500,000.00</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仿宋" w:hAnsi="仿宋" w:eastAsia="仿宋"/>
                <w:color w:val="000000"/>
                <w:sz w:val="24"/>
              </w:rPr>
            </w:pPr>
            <w:r>
              <w:rPr>
                <w:rFonts w:hint="eastAsia" w:ascii="仿宋" w:hAnsi="仿宋" w:eastAsia="仿宋"/>
                <w:color w:val="000000"/>
                <w:sz w:val="24"/>
              </w:rPr>
              <w:t>0.04%</w:t>
            </w:r>
          </w:p>
        </w:tc>
      </w:tr>
    </w:tbl>
    <w:p>
      <w:pPr>
        <w:widowControl/>
        <w:adjustRightInd w:val="0"/>
        <w:snapToGrid w:val="0"/>
        <w:jc w:val="left"/>
        <w:rPr>
          <w:rFonts w:ascii="仿宋" w:hAnsi="仿宋" w:eastAsia="仿宋" w:cs="Times New Roman"/>
          <w:color w:val="404040"/>
          <w:kern w:val="0"/>
          <w:sz w:val="24"/>
        </w:rPr>
      </w:pPr>
    </w:p>
    <w:p>
      <w:pPr>
        <w:pStyle w:val="2"/>
        <w:adjustRightInd w:val="0"/>
        <w:snapToGrid w:val="0"/>
        <w:spacing w:line="560" w:lineRule="exact"/>
        <w:jc w:val="center"/>
        <w:rPr>
          <w:rFonts w:ascii="仿宋" w:hAnsi="仿宋" w:eastAsia="仿宋"/>
          <w:sz w:val="24"/>
        </w:rPr>
      </w:pPr>
      <w:bookmarkStart w:id="16" w:name="_Toc1918586769"/>
      <w:r>
        <w:rPr>
          <w:rFonts w:hint="eastAsia" w:ascii="仿宋" w:hAnsi="仿宋" w:eastAsia="仿宋"/>
          <w:sz w:val="24"/>
        </w:rPr>
        <w:t>§7 托管人报告</w:t>
      </w:r>
      <w:bookmarkEnd w:id="16"/>
    </w:p>
    <w:p>
      <w:pPr>
        <w:adjustRightInd w:val="0"/>
        <w:snapToGrid w:val="0"/>
        <w:spacing w:line="420" w:lineRule="exact"/>
        <w:ind w:firstLine="480" w:firstLineChars="200"/>
        <w:rPr>
          <w:rFonts w:ascii="仿宋" w:hAnsi="仿宋" w:eastAsia="仿宋" w:cs="Times New Roman"/>
          <w:sz w:val="24"/>
        </w:rPr>
      </w:pPr>
      <w:r>
        <w:rPr>
          <w:rFonts w:hint="eastAsia" w:ascii="仿宋" w:hAnsi="仿宋" w:eastAsia="仿宋"/>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pPr>
        <w:adjustRightInd w:val="0"/>
        <w:snapToGrid w:val="0"/>
        <w:spacing w:line="420" w:lineRule="exact"/>
        <w:ind w:firstLine="480" w:firstLineChars="200"/>
        <w:rPr>
          <w:rFonts w:ascii="仿宋" w:hAnsi="仿宋" w:eastAsia="仿宋" w:cs="仿宋_GB2312"/>
          <w:bCs/>
          <w:sz w:val="24"/>
        </w:rPr>
      </w:pPr>
      <w:r>
        <w:rPr>
          <w:rFonts w:hint="eastAsia" w:ascii="仿宋" w:hAnsi="仿宋" w:eastAsia="仿宋"/>
          <w:sz w:val="24"/>
        </w:rPr>
        <w:t>本托管人复核了本产品报告中的财务指标、净值表现和投资组合报告等内容。经复核，本产品报告中披露的理财产品财务数据核对一致。</w:t>
      </w:r>
    </w:p>
    <w:p>
      <w:pPr>
        <w:widowControl/>
        <w:adjustRightInd w:val="0"/>
        <w:snapToGrid w:val="0"/>
        <w:jc w:val="left"/>
        <w:rPr>
          <w:rFonts w:ascii="仿宋" w:hAnsi="仿宋" w:eastAsia="仿宋" w:cs="Times New Roman"/>
          <w:color w:val="404040"/>
          <w:kern w:val="0"/>
          <w:sz w:val="24"/>
        </w:rPr>
      </w:pPr>
    </w:p>
    <w:p>
      <w:pPr>
        <w:pStyle w:val="2"/>
        <w:adjustRightInd w:val="0"/>
        <w:snapToGrid w:val="0"/>
        <w:spacing w:line="560" w:lineRule="exact"/>
        <w:jc w:val="center"/>
        <w:rPr>
          <w:rFonts w:ascii="仿宋" w:hAnsi="仿宋" w:eastAsia="仿宋"/>
          <w:sz w:val="24"/>
        </w:rPr>
      </w:pPr>
      <w:bookmarkStart w:id="17" w:name="_Toc1220866878"/>
      <w:r>
        <w:rPr>
          <w:rFonts w:hint="eastAsia" w:ascii="仿宋" w:hAnsi="仿宋" w:eastAsia="仿宋"/>
          <w:sz w:val="24"/>
        </w:rPr>
        <w:t>§8 报告期内关联交易情况</w:t>
      </w:r>
      <w:bookmarkEnd w:id="17"/>
    </w:p>
    <w:p>
      <w:pPr>
        <w:adjustRightInd w:val="0"/>
        <w:snapToGrid w:val="0"/>
        <w:spacing w:line="440" w:lineRule="exact"/>
        <w:outlineLvl w:val="2"/>
        <w:rPr>
          <w:rFonts w:ascii="仿宋" w:hAnsi="仿宋" w:eastAsia="仿宋"/>
          <w:b/>
          <w:sz w:val="24"/>
        </w:rPr>
      </w:pPr>
      <w:bookmarkStart w:id="18" w:name="_Toc2050855108"/>
      <w:r>
        <w:rPr>
          <w:rFonts w:hint="eastAsia" w:ascii="仿宋" w:hAnsi="仿宋" w:eastAsia="仿宋"/>
          <w:b/>
          <w:sz w:val="24"/>
        </w:rPr>
        <w:t>8.1 产品投资于关联方发行或承销的证券、资产管理产品，或其他关联交易</w:t>
      </w:r>
      <w:bookmarkEnd w:id="18"/>
    </w:p>
    <w:p>
      <w:pPr>
        <w:adjustRightInd w:val="0"/>
        <w:snapToGrid w:val="0"/>
        <w:spacing w:line="440" w:lineRule="exact"/>
        <w:ind w:firstLine="6240" w:firstLineChars="2600"/>
        <w:jc w:val="right"/>
        <w:rPr>
          <w:rFonts w:ascii="仿宋" w:hAnsi="仿宋" w:eastAsia="仿宋" w:cs="仿宋"/>
          <w:b/>
          <w:sz w:val="24"/>
        </w:rPr>
      </w:pPr>
      <w:r>
        <w:rPr>
          <w:rFonts w:hint="eastAsia" w:ascii="仿宋" w:hAnsi="仿宋" w:eastAsia="仿宋" w:cs="仿宋"/>
          <w:sz w:val="24"/>
        </w:rPr>
        <w:t>单位：元、份</w:t>
      </w:r>
    </w:p>
    <w:tbl>
      <w:tblPr>
        <w:tblStyle w:val="11"/>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843"/>
        <w:gridCol w:w="1253"/>
        <w:gridCol w:w="873"/>
        <w:gridCol w:w="851"/>
        <w:gridCol w:w="17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2"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序号</w:t>
            </w:r>
          </w:p>
        </w:tc>
        <w:tc>
          <w:tcPr>
            <w:tcW w:w="1843"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关联方</w:t>
            </w:r>
          </w:p>
        </w:tc>
        <w:tc>
          <w:tcPr>
            <w:tcW w:w="1253"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资产名称</w:t>
            </w:r>
          </w:p>
        </w:tc>
        <w:tc>
          <w:tcPr>
            <w:tcW w:w="873"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资产类型</w:t>
            </w:r>
          </w:p>
        </w:tc>
        <w:tc>
          <w:tcPr>
            <w:tcW w:w="851"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交易类型</w:t>
            </w:r>
          </w:p>
        </w:tc>
        <w:tc>
          <w:tcPr>
            <w:tcW w:w="1701"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交易金额（元）</w:t>
            </w:r>
          </w:p>
        </w:tc>
        <w:tc>
          <w:tcPr>
            <w:tcW w:w="1843"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2"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1</w:t>
            </w:r>
          </w:p>
        </w:tc>
        <w:tc>
          <w:tcPr>
            <w:tcW w:w="1843" w:type="dxa"/>
            <w:vAlign w:val="center"/>
          </w:tcPr>
          <w:p>
            <w:pPr>
              <w:adjustRightInd w:val="0"/>
              <w:snapToGrid w:val="0"/>
              <w:jc w:val="center"/>
              <w:rPr>
                <w:rFonts w:ascii="仿宋" w:hAnsi="仿宋" w:eastAsia="仿宋"/>
                <w:color w:val="000000"/>
                <w:kern w:val="0"/>
                <w:sz w:val="24"/>
              </w:rPr>
            </w:pPr>
            <w:r>
              <w:rPr>
                <w:rFonts w:ascii="仿宋" w:hAnsi="仿宋" w:eastAsia="仿宋"/>
                <w:color w:val="000000"/>
                <w:kern w:val="0"/>
                <w:sz w:val="24"/>
              </w:rPr>
              <w:t>杭州银行股份有限公司</w:t>
            </w:r>
          </w:p>
        </w:tc>
        <w:tc>
          <w:tcPr>
            <w:tcW w:w="1253" w:type="dxa"/>
            <w:vAlign w:val="center"/>
          </w:tcPr>
          <w:p>
            <w:pPr>
              <w:adjustRightInd w:val="0"/>
              <w:snapToGrid w:val="0"/>
              <w:jc w:val="center"/>
              <w:rPr>
                <w:rFonts w:ascii="仿宋" w:hAnsi="仿宋" w:eastAsia="仿宋"/>
                <w:color w:val="000000"/>
                <w:kern w:val="0"/>
                <w:sz w:val="24"/>
              </w:rPr>
            </w:pPr>
            <w:r>
              <w:rPr>
                <w:rFonts w:ascii="仿宋" w:hAnsi="仿宋" w:eastAsia="仿宋"/>
                <w:color w:val="000000"/>
                <w:kern w:val="0"/>
                <w:sz w:val="24"/>
              </w:rPr>
              <w:t>23富阳城投SCP001</w:t>
            </w:r>
          </w:p>
        </w:tc>
        <w:tc>
          <w:tcPr>
            <w:tcW w:w="873" w:type="dxa"/>
            <w:vAlign w:val="center"/>
          </w:tcPr>
          <w:p>
            <w:pPr>
              <w:adjustRightInd w:val="0"/>
              <w:snapToGrid w:val="0"/>
              <w:jc w:val="center"/>
              <w:rPr>
                <w:rFonts w:ascii="仿宋" w:hAnsi="仿宋" w:eastAsia="仿宋"/>
                <w:color w:val="000000"/>
                <w:kern w:val="0"/>
                <w:sz w:val="24"/>
              </w:rPr>
            </w:pPr>
            <w:r>
              <w:rPr>
                <w:rFonts w:ascii="仿宋" w:hAnsi="仿宋" w:eastAsia="仿宋"/>
                <w:color w:val="000000"/>
                <w:kern w:val="0"/>
                <w:sz w:val="24"/>
              </w:rPr>
              <w:t>债券</w:t>
            </w:r>
          </w:p>
        </w:tc>
        <w:tc>
          <w:tcPr>
            <w:tcW w:w="851" w:type="dxa"/>
            <w:vAlign w:val="center"/>
          </w:tcPr>
          <w:p>
            <w:pPr>
              <w:adjustRightInd w:val="0"/>
              <w:snapToGrid w:val="0"/>
              <w:jc w:val="center"/>
              <w:rPr>
                <w:rFonts w:ascii="仿宋" w:hAnsi="仿宋" w:eastAsia="仿宋"/>
                <w:color w:val="000000"/>
                <w:kern w:val="0"/>
                <w:sz w:val="24"/>
              </w:rPr>
            </w:pPr>
            <w:r>
              <w:rPr>
                <w:rFonts w:ascii="仿宋" w:hAnsi="仿宋" w:eastAsia="仿宋"/>
                <w:color w:val="000000"/>
                <w:kern w:val="0"/>
                <w:sz w:val="24"/>
              </w:rPr>
              <w:t>买入</w:t>
            </w:r>
          </w:p>
        </w:tc>
        <w:tc>
          <w:tcPr>
            <w:tcW w:w="1701" w:type="dxa"/>
            <w:vAlign w:val="center"/>
          </w:tcPr>
          <w:p>
            <w:pPr>
              <w:adjustRightInd w:val="0"/>
              <w:snapToGrid w:val="0"/>
              <w:jc w:val="center"/>
              <w:rPr>
                <w:rFonts w:ascii="仿宋" w:hAnsi="仿宋" w:eastAsia="仿宋"/>
                <w:color w:val="000000"/>
                <w:kern w:val="0"/>
                <w:sz w:val="24"/>
              </w:rPr>
            </w:pPr>
            <w:r>
              <w:rPr>
                <w:rFonts w:ascii="仿宋" w:hAnsi="仿宋" w:eastAsia="仿宋"/>
                <w:color w:val="000000"/>
                <w:kern w:val="0"/>
                <w:sz w:val="24"/>
              </w:rPr>
              <w:t>10,096,401.37</w:t>
            </w:r>
          </w:p>
        </w:tc>
        <w:tc>
          <w:tcPr>
            <w:tcW w:w="1843" w:type="dxa"/>
            <w:vAlign w:val="center"/>
          </w:tcPr>
          <w:p>
            <w:pPr>
              <w:adjustRightInd w:val="0"/>
              <w:snapToGrid w:val="0"/>
              <w:jc w:val="center"/>
              <w:rPr>
                <w:rFonts w:ascii="仿宋" w:hAnsi="仿宋" w:eastAsia="仿宋"/>
                <w:color w:val="000000"/>
                <w:kern w:val="0"/>
                <w:sz w:val="24"/>
              </w:rPr>
            </w:pPr>
            <w:r>
              <w:rPr>
                <w:rFonts w:ascii="仿宋" w:hAnsi="仿宋" w:eastAsia="仿宋"/>
                <w:color w:val="000000"/>
                <w:kern w:val="0"/>
                <w:sz w:val="24"/>
              </w:rPr>
              <w:t>100,000.00</w:t>
            </w:r>
          </w:p>
        </w:tc>
      </w:tr>
    </w:tbl>
    <w:p>
      <w:pPr>
        <w:adjustRightInd w:val="0"/>
        <w:snapToGrid w:val="0"/>
        <w:spacing w:line="440" w:lineRule="exact"/>
        <w:outlineLvl w:val="2"/>
        <w:rPr>
          <w:rFonts w:ascii="仿宋" w:hAnsi="仿宋" w:eastAsia="仿宋"/>
          <w:b/>
          <w:sz w:val="24"/>
        </w:rPr>
      </w:pPr>
      <w:bookmarkStart w:id="19" w:name="_Toc1609265806"/>
      <w:r>
        <w:rPr>
          <w:rFonts w:hint="eastAsia" w:ascii="仿宋" w:hAnsi="仿宋" w:eastAsia="仿宋"/>
          <w:b/>
          <w:sz w:val="24"/>
        </w:rPr>
        <w:t>8.2 产品向关联方支付的费用</w:t>
      </w:r>
      <w:bookmarkEnd w:id="19"/>
    </w:p>
    <w:tbl>
      <w:tblPr>
        <w:tblStyle w:val="11"/>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3261"/>
        <w:gridCol w:w="1984"/>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2"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序号</w:t>
            </w:r>
          </w:p>
        </w:tc>
        <w:tc>
          <w:tcPr>
            <w:tcW w:w="3261"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关联方</w:t>
            </w:r>
          </w:p>
        </w:tc>
        <w:tc>
          <w:tcPr>
            <w:tcW w:w="1984"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费用类型</w:t>
            </w:r>
          </w:p>
        </w:tc>
        <w:tc>
          <w:tcPr>
            <w:tcW w:w="3119"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交易金额（元）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2" w:type="dxa"/>
            <w:vAlign w:val="center"/>
          </w:tcPr>
          <w:p>
            <w:pPr>
              <w:adjustRightInd w:val="0"/>
              <w:snapToGrid w:val="0"/>
              <w:jc w:val="center"/>
              <w:rPr>
                <w:rFonts w:ascii="仿宋" w:hAnsi="仿宋" w:eastAsia="仿宋"/>
                <w:color w:val="000000"/>
                <w:kern w:val="0"/>
                <w:sz w:val="24"/>
              </w:rPr>
            </w:pPr>
            <w:r>
              <w:rPr>
                <w:rFonts w:hint="eastAsia" w:ascii="仿宋" w:hAnsi="仿宋" w:eastAsia="仿宋"/>
                <w:color w:val="000000"/>
                <w:kern w:val="0"/>
                <w:sz w:val="24"/>
              </w:rPr>
              <w:t>1</w:t>
            </w:r>
          </w:p>
        </w:tc>
        <w:tc>
          <w:tcPr>
            <w:tcW w:w="3261" w:type="dxa"/>
            <w:vAlign w:val="center"/>
          </w:tcPr>
          <w:p>
            <w:pPr>
              <w:adjustRightInd w:val="0"/>
              <w:snapToGrid w:val="0"/>
              <w:jc w:val="center"/>
              <w:rPr>
                <w:rFonts w:ascii="仿宋" w:hAnsi="仿宋" w:eastAsia="仿宋"/>
                <w:color w:val="000000"/>
                <w:kern w:val="0"/>
                <w:sz w:val="24"/>
              </w:rPr>
            </w:pPr>
            <w:r>
              <w:rPr>
                <w:rFonts w:ascii="仿宋" w:hAnsi="仿宋" w:eastAsia="仿宋"/>
                <w:color w:val="000000"/>
                <w:kern w:val="0"/>
                <w:sz w:val="24"/>
              </w:rPr>
              <w:t>杭州银行股份有限公司</w:t>
            </w:r>
          </w:p>
        </w:tc>
        <w:tc>
          <w:tcPr>
            <w:tcW w:w="1984" w:type="dxa"/>
            <w:vAlign w:val="center"/>
          </w:tcPr>
          <w:p>
            <w:pPr>
              <w:adjustRightInd w:val="0"/>
              <w:snapToGrid w:val="0"/>
              <w:jc w:val="center"/>
              <w:rPr>
                <w:rFonts w:ascii="仿宋" w:hAnsi="仿宋" w:eastAsia="仿宋"/>
                <w:color w:val="000000"/>
                <w:kern w:val="0"/>
                <w:sz w:val="24"/>
              </w:rPr>
            </w:pPr>
            <w:r>
              <w:rPr>
                <w:rFonts w:ascii="仿宋" w:hAnsi="仿宋" w:eastAsia="仿宋"/>
                <w:color w:val="000000"/>
                <w:kern w:val="0"/>
                <w:sz w:val="24"/>
              </w:rPr>
              <w:t>托管费</w:t>
            </w:r>
          </w:p>
        </w:tc>
        <w:tc>
          <w:tcPr>
            <w:tcW w:w="3119" w:type="dxa"/>
            <w:vAlign w:val="center"/>
          </w:tcPr>
          <w:p>
            <w:pPr>
              <w:adjustRightInd w:val="0"/>
              <w:snapToGrid w:val="0"/>
              <w:jc w:val="center"/>
              <w:rPr>
                <w:rFonts w:ascii="仿宋" w:hAnsi="仿宋" w:eastAsia="仿宋"/>
                <w:color w:val="000000"/>
                <w:kern w:val="0"/>
                <w:sz w:val="24"/>
              </w:rPr>
            </w:pPr>
            <w:r>
              <w:rPr>
                <w:rFonts w:ascii="仿宋" w:hAnsi="仿宋" w:eastAsia="仿宋"/>
                <w:color w:val="000000"/>
                <w:kern w:val="0"/>
                <w:sz w:val="24"/>
              </w:rPr>
              <w:t>846,681.54</w:t>
            </w:r>
          </w:p>
        </w:tc>
      </w:tr>
    </w:tbl>
    <w:p>
      <w:pPr>
        <w:widowControl/>
        <w:adjustRightInd w:val="0"/>
        <w:snapToGrid w:val="0"/>
        <w:ind w:firstLine="480" w:firstLineChars="200"/>
        <w:jc w:val="left"/>
        <w:rPr>
          <w:rFonts w:ascii="仿宋" w:hAnsi="仿宋" w:eastAsia="仿宋" w:cs="Times New Roman"/>
          <w:color w:val="404040"/>
          <w:kern w:val="0"/>
          <w:sz w:val="24"/>
        </w:rPr>
      </w:pPr>
    </w:p>
    <w:p>
      <w:pPr>
        <w:pStyle w:val="2"/>
        <w:adjustRightInd w:val="0"/>
        <w:snapToGrid w:val="0"/>
        <w:spacing w:line="560" w:lineRule="atLeast"/>
        <w:jc w:val="center"/>
        <w:rPr>
          <w:rFonts w:ascii="仿宋" w:hAnsi="仿宋" w:eastAsia="仿宋" w:cs="仿宋"/>
          <w:bCs/>
          <w:sz w:val="24"/>
        </w:rPr>
      </w:pPr>
      <w:bookmarkStart w:id="20" w:name="_Toc1521351124"/>
      <w:r>
        <w:rPr>
          <w:rFonts w:hint="eastAsia" w:ascii="仿宋" w:hAnsi="仿宋" w:eastAsia="仿宋" w:cs="仿宋"/>
          <w:bCs/>
          <w:sz w:val="24"/>
        </w:rPr>
        <w:t>§</w:t>
      </w:r>
      <w:r>
        <w:rPr>
          <w:rFonts w:ascii="仿宋" w:hAnsi="仿宋" w:eastAsia="仿宋" w:cs="仿宋"/>
          <w:bCs/>
          <w:sz w:val="24"/>
        </w:rPr>
        <w:t>9</w:t>
      </w:r>
      <w:r>
        <w:rPr>
          <w:rFonts w:hint="eastAsia" w:ascii="仿宋" w:hAnsi="仿宋" w:eastAsia="仿宋" w:cs="仿宋"/>
          <w:bCs/>
          <w:sz w:val="24"/>
        </w:rPr>
        <w:t xml:space="preserve"> 投资账户信息</w:t>
      </w:r>
      <w:bookmarkEnd w:id="20"/>
    </w:p>
    <w:p/>
    <w:tbl>
      <w:tblPr>
        <w:tblStyle w:val="11"/>
        <w:tblW w:w="895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0"/>
        <w:gridCol w:w="6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150" w:type="dxa"/>
          </w:tcPr>
          <w:p>
            <w:pPr>
              <w:widowControl/>
              <w:adjustRightInd w:val="0"/>
              <w:snapToGrid w:val="0"/>
              <w:jc w:val="left"/>
              <w:rPr>
                <w:rFonts w:ascii="仿宋" w:hAnsi="仿宋" w:eastAsia="仿宋" w:cs="仿宋"/>
                <w:color w:val="000000"/>
                <w:sz w:val="24"/>
              </w:rPr>
            </w:pPr>
            <w:r>
              <w:rPr>
                <w:rFonts w:hint="eastAsia" w:ascii="仿宋" w:hAnsi="仿宋" w:eastAsia="仿宋" w:cs="仿宋"/>
                <w:color w:val="000000"/>
                <w:sz w:val="24"/>
              </w:rPr>
              <w:t>户名</w:t>
            </w:r>
          </w:p>
        </w:tc>
        <w:tc>
          <w:tcPr>
            <w:tcW w:w="6800" w:type="dxa"/>
          </w:tcPr>
          <w:p>
            <w:pPr>
              <w:widowControl/>
              <w:adjustRightInd w:val="0"/>
              <w:snapToGrid w:val="0"/>
              <w:jc w:val="left"/>
              <w:rPr>
                <w:rFonts w:ascii="仿宋" w:hAnsi="仿宋" w:eastAsia="仿宋" w:cs="仿宋"/>
                <w:color w:val="000000"/>
                <w:sz w:val="24"/>
              </w:rPr>
            </w:pPr>
            <w:r>
              <w:rPr>
                <w:rFonts w:hint="eastAsia" w:ascii="仿宋" w:hAnsi="仿宋" w:eastAsia="仿宋" w:cs="仿宋"/>
                <w:color w:val="000000"/>
                <w:sz w:val="24"/>
              </w:rPr>
              <w:t>杭银理财有限责任公司幸福99零钱包开放式理财计划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 w:hRule="atLeast"/>
        </w:trPr>
        <w:tc>
          <w:tcPr>
            <w:tcW w:w="2150" w:type="dxa"/>
          </w:tcPr>
          <w:p>
            <w:pPr>
              <w:widowControl/>
              <w:adjustRightInd w:val="0"/>
              <w:snapToGrid w:val="0"/>
              <w:jc w:val="left"/>
              <w:rPr>
                <w:rFonts w:ascii="仿宋" w:hAnsi="仿宋" w:eastAsia="仿宋" w:cs="仿宋"/>
                <w:color w:val="000000"/>
                <w:sz w:val="24"/>
              </w:rPr>
            </w:pPr>
            <w:r>
              <w:rPr>
                <w:rFonts w:hint="eastAsia" w:ascii="仿宋" w:hAnsi="仿宋" w:eastAsia="仿宋" w:cs="仿宋"/>
                <w:color w:val="000000"/>
                <w:sz w:val="24"/>
              </w:rPr>
              <w:t>账号</w:t>
            </w:r>
          </w:p>
        </w:tc>
        <w:tc>
          <w:tcPr>
            <w:tcW w:w="6800" w:type="dxa"/>
          </w:tcPr>
          <w:p>
            <w:pPr>
              <w:widowControl/>
              <w:adjustRightInd w:val="0"/>
              <w:snapToGrid w:val="0"/>
              <w:jc w:val="left"/>
              <w:rPr>
                <w:rFonts w:ascii="仿宋" w:hAnsi="仿宋" w:eastAsia="仿宋" w:cs="仿宋"/>
                <w:color w:val="000000"/>
                <w:sz w:val="24"/>
              </w:rPr>
            </w:pPr>
            <w:r>
              <w:rPr>
                <w:rFonts w:hint="eastAsia" w:ascii="仿宋" w:hAnsi="仿宋" w:eastAsia="仿宋" w:cs="仿宋"/>
                <w:color w:val="000000"/>
                <w:sz w:val="24"/>
              </w:rPr>
              <w:t>3301040160015309811-362001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trPr>
        <w:tc>
          <w:tcPr>
            <w:tcW w:w="2150" w:type="dxa"/>
          </w:tcPr>
          <w:p>
            <w:pPr>
              <w:widowControl/>
              <w:adjustRightInd w:val="0"/>
              <w:snapToGrid w:val="0"/>
              <w:jc w:val="left"/>
              <w:rPr>
                <w:rFonts w:ascii="仿宋" w:hAnsi="仿宋" w:eastAsia="仿宋" w:cs="仿宋"/>
                <w:color w:val="000000"/>
                <w:sz w:val="24"/>
              </w:rPr>
            </w:pPr>
            <w:r>
              <w:rPr>
                <w:rFonts w:hint="eastAsia" w:ascii="仿宋" w:hAnsi="仿宋" w:eastAsia="仿宋" w:cs="仿宋"/>
                <w:color w:val="000000"/>
                <w:sz w:val="24"/>
              </w:rPr>
              <w:t>开户行</w:t>
            </w:r>
          </w:p>
        </w:tc>
        <w:tc>
          <w:tcPr>
            <w:tcW w:w="6800" w:type="dxa"/>
          </w:tcPr>
          <w:p>
            <w:pPr>
              <w:widowControl/>
              <w:adjustRightInd w:val="0"/>
              <w:snapToGrid w:val="0"/>
              <w:jc w:val="left"/>
              <w:rPr>
                <w:rFonts w:ascii="仿宋" w:hAnsi="仿宋" w:eastAsia="仿宋" w:cs="仿宋"/>
                <w:color w:val="000000"/>
                <w:sz w:val="24"/>
              </w:rPr>
            </w:pPr>
            <w:r>
              <w:rPr>
                <w:rFonts w:hint="eastAsia" w:ascii="仿宋" w:hAnsi="仿宋" w:eastAsia="仿宋" w:cs="仿宋"/>
                <w:color w:val="000000"/>
                <w:sz w:val="24"/>
              </w:rPr>
              <w:t>杭州银行股份有限公司</w:t>
            </w:r>
          </w:p>
        </w:tc>
      </w:tr>
    </w:tbl>
    <w:p/>
    <w:p>
      <w:pPr>
        <w:widowControl/>
        <w:adjustRightInd w:val="0"/>
        <w:snapToGrid w:val="0"/>
        <w:ind w:firstLine="480" w:firstLineChars="200"/>
        <w:jc w:val="left"/>
        <w:rPr>
          <w:rFonts w:ascii="仿宋" w:hAnsi="仿宋" w:eastAsia="仿宋"/>
          <w:color w:val="404040"/>
          <w:kern w:val="0"/>
          <w:sz w:val="24"/>
        </w:rPr>
      </w:pPr>
    </w:p>
    <w:p>
      <w:pPr>
        <w:ind w:left="360"/>
        <w:jc w:val="right"/>
        <w:rPr>
          <w:rFonts w:ascii="仿宋" w:hAnsi="仿宋" w:eastAsia="仿宋"/>
          <w:sz w:val="24"/>
        </w:rPr>
      </w:pPr>
    </w:p>
    <w:p>
      <w:pPr>
        <w:ind w:left="360"/>
        <w:jc w:val="right"/>
        <w:rPr>
          <w:rFonts w:ascii="仿宋" w:hAnsi="仿宋" w:eastAsia="仿宋"/>
          <w:sz w:val="24"/>
        </w:rPr>
      </w:pPr>
      <w:r>
        <w:rPr>
          <w:rFonts w:hint="eastAsia" w:ascii="仿宋" w:hAnsi="仿宋" w:eastAsia="仿宋"/>
          <w:sz w:val="24"/>
        </w:rPr>
        <w:t>杭银理财有限责任公司</w:t>
      </w:r>
    </w:p>
    <w:p>
      <w:pPr>
        <w:jc w:val="right"/>
        <w:rPr>
          <w:rFonts w:ascii="仿宋" w:hAnsi="仿宋" w:eastAsia="仿宋"/>
          <w:sz w:val="24"/>
        </w:rPr>
      </w:pPr>
      <w:r>
        <w:rPr>
          <w:rFonts w:ascii="仿宋" w:hAnsi="仿宋" w:eastAsia="仿宋"/>
          <w:sz w:val="24"/>
        </w:rPr>
        <w:t>2023年7月14日</w:t>
      </w:r>
    </w:p>
    <w:p>
      <w:pPr>
        <w:rPr>
          <w:rFonts w:ascii="仿宋" w:hAnsi="仿宋" w:eastAsia="仿宋"/>
          <w:sz w:val="24"/>
        </w:rPr>
      </w:pPr>
    </w:p>
    <w:sectPr>
      <w:headerReference r:id="rId3" w:type="default"/>
      <w:pgSz w:w="11906" w:h="16838"/>
      <w:pgMar w:top="2551" w:right="1803" w:bottom="2551"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roman"/>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00D3492"/>
    <w:rsid w:val="3A60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unhideWhenUsed/>
    <w:qFormat/>
    <w:uiPriority w:val="0"/>
    <w:pPr>
      <w:keepNext/>
      <w:keepLines/>
      <w:spacing w:line="400" w:lineRule="exact"/>
      <w:jc w:val="left"/>
      <w:outlineLvl w:val="1"/>
    </w:pPr>
    <w:rPr>
      <w:rFonts w:ascii="Arial" w:hAnsi="Arial" w:eastAsia="宋体"/>
      <w:b/>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4"/>
    <w:unhideWhenUsed/>
    <w:qFormat/>
    <w:uiPriority w:val="0"/>
    <w:pPr>
      <w:spacing w:after="120"/>
    </w:pPr>
    <w:rPr>
      <w:rFonts w:ascii="Times New Roman" w:hAnsi="Times New Roman" w:eastAsia="方正仿宋简体" w:cs="Times New Roman"/>
      <w:sz w:val="32"/>
      <w:szCs w:val="20"/>
    </w:rPr>
  </w:style>
  <w:style w:type="paragraph" w:styleId="4">
    <w:name w:val="toc 3"/>
    <w:basedOn w:val="1"/>
    <w:next w:val="1"/>
    <w:semiHidden/>
    <w:unhideWhenUsed/>
    <w:qFormat/>
    <w:uiPriority w:val="39"/>
    <w:pPr>
      <w:ind w:left="840" w:leftChars="4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semiHidden/>
    <w:unhideWhenUsed/>
    <w:qFormat/>
    <w:uiPriority w:val="39"/>
    <w:pPr>
      <w:ind w:left="420" w:leftChars="200"/>
    </w:pPr>
  </w:style>
  <w:style w:type="paragraph" w:styleId="9">
    <w:name w:val="Normal (Web)"/>
    <w:basedOn w:val="1"/>
    <w:unhideWhenUsed/>
    <w:qFormat/>
    <w:uiPriority w:val="0"/>
    <w:pPr>
      <w:widowControl/>
      <w:spacing w:before="100" w:beforeAutospacing="1" w:after="100" w:afterAutospacing="1"/>
    </w:pPr>
    <w:rPr>
      <w:rFonts w:ascii="宋体" w:hAnsi="宋体" w:eastAsia="宋体" w:cs="Times New Roman"/>
      <w:kern w:val="0"/>
      <w:sz w:val="24"/>
      <w:szCs w:val="20"/>
    </w:rPr>
  </w:style>
  <w:style w:type="table" w:styleId="11">
    <w:name w:val="Table Grid"/>
    <w:basedOn w:val="1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3">
    <w:name w:val="标题 2 字符"/>
    <w:basedOn w:val="12"/>
    <w:link w:val="2"/>
    <w:qFormat/>
    <w:uiPriority w:val="0"/>
    <w:rPr>
      <w:rFonts w:ascii="Arial" w:hAnsi="Arial" w:eastAsia="宋体"/>
      <w:b/>
    </w:rPr>
  </w:style>
  <w:style w:type="character" w:customStyle="1" w:styleId="14">
    <w:name w:val="正文文本 字符"/>
    <w:basedOn w:val="12"/>
    <w:link w:val="3"/>
    <w:qFormat/>
    <w:uiPriority w:val="0"/>
    <w:rPr>
      <w:rFonts w:ascii="Times New Roman" w:hAnsi="Times New Roman" w:eastAsia="方正仿宋简体" w:cs="Times New Roman"/>
      <w:sz w:val="32"/>
      <w:szCs w:val="20"/>
    </w:rPr>
  </w:style>
  <w:style w:type="character" w:customStyle="1" w:styleId="15">
    <w:name w:val="页眉 字符"/>
    <w:basedOn w:val="12"/>
    <w:link w:val="7"/>
    <w:qFormat/>
    <w:uiPriority w:val="0"/>
    <w:rPr>
      <w:sz w:val="18"/>
    </w:rPr>
  </w:style>
  <w:style w:type="character" w:customStyle="1" w:styleId="16">
    <w:name w:val="页脚 字符"/>
    <w:basedOn w:val="12"/>
    <w:link w:val="6"/>
    <w:qFormat/>
    <w:uiPriority w:val="99"/>
    <w:rPr>
      <w:kern w:val="2"/>
      <w:sz w:val="18"/>
      <w:szCs w:val="18"/>
    </w:rPr>
  </w:style>
  <w:style w:type="character" w:customStyle="1" w:styleId="17">
    <w:name w:val="批注框文本 字符"/>
    <w:basedOn w:val="12"/>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352</Words>
  <Characters>2010</Characters>
  <Lines>16</Lines>
  <Paragraphs>4</Paragraphs>
  <TotalTime>7</TotalTime>
  <ScaleCrop>false</ScaleCrop>
  <LinksUpToDate>false</LinksUpToDate>
  <CharactersWithSpaces>2358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2023-04-13T22:20:00Z</dcterms:created>
  <dc:creator>s c</dc:creator>
  <cp:lastModifiedBy>未定义</cp:lastModifiedBy>
  <dcterms:modified xsi:type="dcterms:W3CDTF">2023-07-20T01:03:23Z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C1B0491A69F9683744CD34647570BA27_42</vt:lpwstr>
  </property>
  <property fmtid="{D5CDD505-2E9C-101B-9397-08002B2CF9AE}" pid="3" name="KSOProductBuildVer">
    <vt:lpwstr>2052-11.8.2.8411</vt:lpwstr>
  </property>
</Properties>
</file>