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20"/>
        </w:rPr>
      </w:pPr>
    </w:p>
    <w:p>
      <w:pPr>
        <w:adjustRightInd w:val="0"/>
        <w:snapToGrid w:val="0"/>
        <w:spacing w:line="460" w:lineRule="exact"/>
        <w:jc w:val="center"/>
        <w:rPr>
          <w:rFonts w:ascii="Times New Roman" w:hAnsi="Times New Roman" w:eastAsia="方正楷体简体"/>
          <w:sz w:val="24"/>
        </w:rPr>
      </w:pPr>
    </w:p>
    <w:p/>
    <w:p>
      <w:pPr>
        <w:autoSpaceDE w:val="0"/>
        <w:autoSpaceDN w:val="0"/>
        <w:spacing w:before="220"/>
        <w:jc w:val="center"/>
        <w:rPr>
          <w:rFonts w:ascii="仿宋_GB2312" w:hAnsi="仿宋_GB2312" w:eastAsia="仿宋_GB2312" w:cs="仿宋_GB2312"/>
          <w:b/>
          <w:kern w:val="0"/>
          <w:sz w:val="52"/>
          <w:szCs w:val="52"/>
          <w:lang w:bidi="zh-CN"/>
        </w:rPr>
      </w:pPr>
      <w:r>
        <w:rPr>
          <w:rFonts w:hint="eastAsia" w:ascii="仿宋_GB2312" w:hAnsi="仿宋_GB2312" w:eastAsia="仿宋_GB2312" w:cs="仿宋_GB2312"/>
          <w:b/>
          <w:kern w:val="0"/>
          <w:sz w:val="52"/>
          <w:szCs w:val="52"/>
          <w:lang w:bidi="zh-CN"/>
        </w:rPr>
        <w:t>周添益2101期</w:t>
      </w:r>
    </w:p>
    <w:p>
      <w:pPr>
        <w:autoSpaceDE w:val="0"/>
        <w:autoSpaceDN w:val="0"/>
        <w:spacing w:line="360" w:lineRule="auto"/>
        <w:jc w:val="center"/>
        <w:rPr>
          <w:rFonts w:ascii="仿宋_GB2312" w:hAnsi="仿宋_GB2312" w:eastAsia="仿宋_GB2312" w:cs="仿宋_GB2312"/>
          <w:b/>
          <w:bCs/>
          <w:kern w:val="0"/>
          <w:sz w:val="44"/>
          <w:szCs w:val="44"/>
          <w:lang w:bidi="zh-CN"/>
        </w:rPr>
      </w:pPr>
      <w:r>
        <w:rPr>
          <w:rFonts w:hint="eastAsia" w:ascii="仿宋_GB2312" w:hAnsi="仿宋_GB2312" w:eastAsia="仿宋_GB2312" w:cs="仿宋_GB2312"/>
          <w:b/>
          <w:bCs/>
          <w:kern w:val="0"/>
          <w:sz w:val="44"/>
          <w:szCs w:val="44"/>
          <w:lang w:bidi="zh-CN"/>
        </w:rPr>
        <w:t>2023</w:t>
      </w:r>
      <w:r>
        <w:rPr>
          <w:rFonts w:ascii="仿宋_GB2312" w:hAnsi="仿宋_GB2312" w:eastAsia="仿宋_GB2312" w:cs="仿宋_GB2312"/>
          <w:b/>
          <w:sz w:val="44"/>
        </w:rPr>
        <w:t>年第2季度报告</w:t>
      </w:r>
    </w:p>
    <w:p>
      <w:pPr>
        <w:jc w:val="center"/>
        <w:rPr>
          <w:rFonts w:ascii="宋体" w:hAnsi="宋体" w:eastAsia="宋体" w:cs="Times New Roman"/>
          <w:color w:val="0000FF"/>
          <w:kern w:val="0"/>
          <w:sz w:val="18"/>
          <w:szCs w:val="20"/>
        </w:rPr>
      </w:pPr>
    </w:p>
    <w:p>
      <w:pPr>
        <w:jc w:val="center"/>
        <w:rPr>
          <w:rFonts w:eastAsia="宋体"/>
          <w:sz w:val="24"/>
        </w:rPr>
      </w:pPr>
    </w:p>
    <w:p>
      <w:pPr>
        <w:jc w:val="center"/>
        <w:rPr>
          <w:rFonts w:eastAsia="宋体"/>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产品管理人：</w:t>
      </w:r>
      <w:r>
        <w:rPr>
          <w:rFonts w:ascii="仿宋" w:hAnsi="仿宋" w:eastAsia="仿宋" w:cs="仿宋"/>
          <w:sz w:val="24"/>
        </w:rPr>
        <w:t>杭银理财有限责任公司</w:t>
      </w:r>
    </w:p>
    <w:p>
      <w:pPr>
        <w:jc w:val="center"/>
        <w:rPr>
          <w:rFonts w:ascii="仿宋" w:hAnsi="仿宋" w:eastAsia="仿宋" w:cs="仿宋"/>
          <w:sz w:val="24"/>
        </w:rPr>
      </w:pPr>
      <w:r>
        <w:rPr>
          <w:rFonts w:hint="eastAsia" w:ascii="仿宋" w:hAnsi="仿宋" w:eastAsia="仿宋" w:cs="仿宋"/>
          <w:sz w:val="24"/>
        </w:rPr>
        <w:t>产品托管人：</w:t>
      </w:r>
      <w:r>
        <w:rPr>
          <w:rFonts w:ascii="仿宋" w:hAnsi="仿宋" w:eastAsia="仿宋" w:cs="仿宋"/>
          <w:sz w:val="24"/>
        </w:rPr>
        <w:t>杭州银行股份有限公司</w:t>
      </w: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2023年7月14日</w:t>
      </w:r>
    </w:p>
    <w:p>
      <w:pPr>
        <w:rPr>
          <w:rFonts w:ascii="宋体" w:hAnsi="宋体" w:eastAsia="宋体"/>
        </w:rPr>
      </w:pPr>
    </w:p>
    <w:p>
      <w:pPr>
        <w:jc w:val="center"/>
        <w:rPr>
          <w:rFonts w:ascii="宋体" w:hAnsi="宋体" w:eastAsia="宋体"/>
        </w:rPr>
      </w:pPr>
    </w:p>
    <w:p>
      <w:pPr>
        <w:pStyle w:val="2"/>
        <w:adjustRightInd w:val="0"/>
        <w:snapToGrid w:val="0"/>
        <w:spacing w:line="560" w:lineRule="exact"/>
        <w:jc w:val="center"/>
        <w:rPr>
          <w:rFonts w:ascii="仿宋" w:hAnsi="仿宋" w:eastAsia="仿宋" w:cs="仿宋"/>
          <w:sz w:val="24"/>
        </w:rPr>
      </w:pPr>
      <w:bookmarkStart w:id="0" w:name="_Toc379618105"/>
      <w:r>
        <w:rPr>
          <w:rFonts w:hint="eastAsia" w:ascii="仿宋" w:hAnsi="仿宋" w:eastAsia="仿宋" w:cs="仿宋"/>
          <w:sz w:val="24"/>
        </w:rPr>
        <w:t>§1  重要提示</w:t>
      </w:r>
      <w:bookmarkEnd w:id="0"/>
    </w:p>
    <w:tbl>
      <w:tblPr>
        <w:tblStyle w:val="11"/>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41" w:hRule="atLeast"/>
        </w:trPr>
        <w:tc>
          <w:tcPr>
            <w:tcW w:w="9120"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420" w:lineRule="exact"/>
              <w:ind w:firstLine="480" w:firstLineChars="200"/>
              <w:jc w:val="left"/>
              <w:rPr>
                <w:rFonts w:ascii="仿宋" w:hAnsi="仿宋" w:eastAsia="仿宋" w:cs="仿宋"/>
                <w:color w:val="404040"/>
                <w:kern w:val="0"/>
                <w:sz w:val="24"/>
              </w:rPr>
            </w:pPr>
            <w:r>
              <w:rPr>
                <w:rFonts w:hint="eastAsia" w:ascii="仿宋" w:hAnsi="仿宋" w:eastAsia="仿宋" w:cs="仿宋"/>
                <w:color w:val="404040"/>
                <w:kern w:val="0"/>
                <w:sz w:val="24"/>
              </w:rPr>
              <w:t>产品管理人承诺以诚实信用、勤勉尽责的原则管理和运用产品资产，并如实反映产品财务指标及投资组合情况，但不保证产品一定盈利。</w:t>
            </w:r>
          </w:p>
          <w:p>
            <w:pPr>
              <w:widowControl/>
              <w:adjustRightInd w:val="0"/>
              <w:snapToGrid w:val="0"/>
              <w:spacing w:line="420" w:lineRule="exact"/>
              <w:ind w:firstLine="480" w:firstLineChars="200"/>
              <w:jc w:val="left"/>
              <w:rPr>
                <w:rFonts w:ascii="仿宋" w:hAnsi="仿宋" w:eastAsia="仿宋" w:cs="仿宋"/>
                <w:color w:val="404040"/>
                <w:kern w:val="0"/>
                <w:sz w:val="24"/>
              </w:rPr>
            </w:pPr>
            <w:r>
              <w:rPr>
                <w:rFonts w:hint="eastAsia" w:ascii="仿宋" w:hAnsi="仿宋" w:eastAsia="仿宋" w:cs="仿宋"/>
                <w:color w:val="404040"/>
                <w:kern w:val="0"/>
                <w:sz w:val="24"/>
              </w:rPr>
              <w:t>产品托管人根据本</w:t>
            </w:r>
            <w:r>
              <w:rPr>
                <w:rFonts w:hint="eastAsia" w:ascii="仿宋" w:hAnsi="仿宋" w:eastAsia="仿宋" w:cs="仿宋"/>
                <w:color w:val="000000"/>
                <w:sz w:val="24"/>
              </w:rPr>
              <w:t>产品</w:t>
            </w:r>
            <w:r>
              <w:rPr>
                <w:rFonts w:hint="eastAsia" w:ascii="仿宋" w:hAnsi="仿宋" w:eastAsia="仿宋" w:cs="仿宋"/>
                <w:color w:val="404040"/>
                <w:kern w:val="0"/>
                <w:sz w:val="24"/>
              </w:rPr>
              <w:t>合同规定，于</w:t>
            </w:r>
            <w:r>
              <w:rPr>
                <w:rFonts w:ascii="仿宋" w:hAnsi="仿宋" w:eastAsia="仿宋" w:cs="仿宋"/>
                <w:color w:val="404040"/>
                <w:sz w:val="24"/>
              </w:rPr>
              <w:t>2023年6月30日复核了本报告中的财务指标、净值表现和投资组合报告等内容，保证复核内容不存在虚假记载、误导性陈述或者重大遗漏。</w:t>
            </w:r>
          </w:p>
          <w:p>
            <w:pPr>
              <w:widowControl/>
              <w:adjustRightInd w:val="0"/>
              <w:snapToGrid w:val="0"/>
              <w:spacing w:line="420" w:lineRule="exact"/>
              <w:ind w:firstLine="480" w:firstLineChars="200"/>
              <w:jc w:val="left"/>
              <w:rPr>
                <w:rFonts w:ascii="仿宋" w:hAnsi="仿宋" w:eastAsia="仿宋" w:cs="仿宋"/>
                <w:color w:val="404040"/>
                <w:kern w:val="0"/>
                <w:sz w:val="24"/>
              </w:rPr>
            </w:pPr>
            <w:r>
              <w:rPr>
                <w:rFonts w:hint="eastAsia" w:ascii="仿宋" w:hAnsi="仿宋" w:eastAsia="仿宋" w:cs="仿宋"/>
                <w:color w:val="404040"/>
                <w:kern w:val="0"/>
                <w:sz w:val="24"/>
              </w:rPr>
              <w:t>产品的过往业绩并不代表其未来表现。投资有风险，投资者在作出投资决策前应仔细阅读本</w:t>
            </w:r>
            <w:r>
              <w:rPr>
                <w:rFonts w:hint="eastAsia" w:ascii="仿宋" w:hAnsi="仿宋" w:eastAsia="仿宋" w:cs="仿宋"/>
                <w:color w:val="000000"/>
                <w:sz w:val="24"/>
              </w:rPr>
              <w:t>产品</w:t>
            </w:r>
            <w:r>
              <w:rPr>
                <w:rFonts w:hint="eastAsia" w:ascii="仿宋" w:hAnsi="仿宋" w:eastAsia="仿宋" w:cs="仿宋"/>
                <w:color w:val="404040"/>
                <w:kern w:val="0"/>
                <w:sz w:val="24"/>
              </w:rPr>
              <w:t>的产品说明书。</w:t>
            </w:r>
          </w:p>
          <w:p>
            <w:pPr>
              <w:widowControl/>
              <w:adjustRightInd w:val="0"/>
              <w:snapToGrid w:val="0"/>
              <w:spacing w:line="420" w:lineRule="exact"/>
              <w:ind w:firstLine="480" w:firstLineChars="200"/>
              <w:jc w:val="left"/>
              <w:rPr>
                <w:rFonts w:ascii="仿宋" w:hAnsi="仿宋" w:eastAsia="仿宋" w:cs="仿宋"/>
                <w:color w:val="404040"/>
                <w:kern w:val="0"/>
                <w:sz w:val="24"/>
              </w:rPr>
            </w:pPr>
            <w:r>
              <w:rPr>
                <w:rFonts w:hint="eastAsia" w:ascii="仿宋" w:hAnsi="仿宋" w:eastAsia="仿宋" w:cs="仿宋"/>
                <w:color w:val="404040"/>
                <w:kern w:val="0"/>
                <w:sz w:val="24"/>
              </w:rPr>
              <w:t>本报告中财务资料未经审计。</w:t>
            </w:r>
          </w:p>
          <w:p>
            <w:pPr>
              <w:widowControl/>
              <w:adjustRightInd w:val="0"/>
              <w:snapToGrid w:val="0"/>
              <w:spacing w:line="420" w:lineRule="exact"/>
              <w:ind w:firstLine="480" w:firstLineChars="200"/>
              <w:jc w:val="left"/>
              <w:rPr>
                <w:rFonts w:ascii="仿宋" w:hAnsi="仿宋" w:eastAsia="仿宋" w:cs="仿宋"/>
                <w:sz w:val="24"/>
              </w:rPr>
            </w:pPr>
            <w:r>
              <w:rPr>
                <w:rFonts w:hint="eastAsia" w:ascii="仿宋" w:hAnsi="仿宋" w:eastAsia="仿宋" w:cs="仿宋"/>
                <w:color w:val="404040"/>
                <w:kern w:val="0"/>
                <w:sz w:val="24"/>
              </w:rPr>
              <w:t>本报告期自</w:t>
            </w:r>
            <w:r>
              <w:rPr>
                <w:rFonts w:ascii="仿宋" w:hAnsi="仿宋" w:eastAsia="仿宋" w:cs="仿宋"/>
                <w:color w:val="404040"/>
                <w:sz w:val="24"/>
              </w:rPr>
              <w:t>2023年4月1日起至2023年6月30日止。</w:t>
            </w:r>
          </w:p>
        </w:tc>
      </w:tr>
    </w:tbl>
    <w:p>
      <w:pPr>
        <w:rPr>
          <w:rStyle w:val="16"/>
          <w:rFonts w:ascii="仿宋" w:hAnsi="仿宋" w:eastAsia="仿宋" w:cs="仿宋"/>
          <w:color w:val="0000FF"/>
          <w:sz w:val="24"/>
        </w:rPr>
      </w:pPr>
    </w:p>
    <w:p>
      <w:pPr>
        <w:pStyle w:val="2"/>
        <w:adjustRightInd w:val="0"/>
        <w:snapToGrid w:val="0"/>
        <w:spacing w:line="560" w:lineRule="exact"/>
        <w:jc w:val="center"/>
        <w:rPr>
          <w:rFonts w:ascii="仿宋" w:hAnsi="仿宋" w:eastAsia="仿宋" w:cs="仿宋"/>
          <w:sz w:val="24"/>
        </w:rPr>
      </w:pPr>
      <w:bookmarkStart w:id="1" w:name="_Toc67575498"/>
      <w:r>
        <w:rPr>
          <w:rFonts w:hint="eastAsia" w:ascii="仿宋" w:hAnsi="仿宋" w:eastAsia="仿宋" w:cs="仿宋"/>
          <w:sz w:val="24"/>
        </w:rPr>
        <w:t>§2  产品概况</w:t>
      </w:r>
      <w:bookmarkEnd w:id="1"/>
    </w:p>
    <w:p>
      <w:pPr>
        <w:adjustRightInd w:val="0"/>
        <w:snapToGrid w:val="0"/>
        <w:spacing w:line="440" w:lineRule="exact"/>
        <w:outlineLvl w:val="2"/>
        <w:rPr>
          <w:rFonts w:ascii="仿宋" w:hAnsi="仿宋" w:eastAsia="仿宋" w:cs="仿宋"/>
          <w:b/>
          <w:sz w:val="24"/>
        </w:rPr>
      </w:pPr>
      <w:bookmarkStart w:id="2" w:name="_Toc354129567"/>
      <w:bookmarkStart w:id="3" w:name="_Toc1870029270"/>
      <w:r>
        <w:rPr>
          <w:rFonts w:hint="eastAsia" w:ascii="仿宋" w:hAnsi="仿宋" w:eastAsia="仿宋" w:cs="仿宋"/>
          <w:b/>
          <w:sz w:val="24"/>
        </w:rPr>
        <w:t>2.1 产品基本情况</w:t>
      </w:r>
      <w:bookmarkEnd w:id="2"/>
      <w:bookmarkEnd w:id="3"/>
    </w:p>
    <w:tbl>
      <w:tblPr>
        <w:tblStyle w:val="11"/>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5"/>
        <w:gridCol w:w="5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产品名称</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周添益2101期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产品代码</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TYG7D2101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理财信息登记系统登记编码</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Z7002221000111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kern w:val="0"/>
                <w:sz w:val="24"/>
              </w:rPr>
              <w:t>产品成立日</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2021年8月5日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产品到期日</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产品募集方式</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产品运作模式</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产品投资性质</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业绩比较基准（%）</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2.55%-3.55%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kern w:val="0"/>
                <w:sz w:val="24"/>
              </w:rPr>
              <w:t>报告期末产品规模（元）</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6,501,626,255.77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kern w:val="0"/>
                <w:sz w:val="24"/>
              </w:rPr>
              <w:t>杠杆水平（%）</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106.69%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风险等级</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中低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kern w:val="0"/>
                <w:sz w:val="24"/>
              </w:rPr>
              <w:t>产品管理人</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杭银理财有限责任公司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4"/>
              </w:rPr>
            </w:pPr>
            <w:r>
              <w:rPr>
                <w:rFonts w:hint="eastAsia" w:ascii="仿宋" w:hAnsi="仿宋" w:eastAsia="仿宋" w:cs="仿宋"/>
                <w:kern w:val="0"/>
                <w:sz w:val="24"/>
              </w:rPr>
              <w:t>产品托管人</w:t>
            </w:r>
          </w:p>
        </w:tc>
        <w:tc>
          <w:tcPr>
            <w:tcW w:w="5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kern w:val="0"/>
                <w:sz w:val="24"/>
              </w:rPr>
            </w:pPr>
            <w:r>
              <w:rPr>
                <w:rFonts w:hint="eastAsia" w:ascii="仿宋" w:hAnsi="仿宋" w:eastAsia="仿宋" w:cs="仿宋"/>
                <w:kern w:val="0"/>
                <w:sz w:val="24"/>
              </w:rPr>
              <w:t>杭州银行股份有限公司</w:t>
            </w:r>
          </w:p>
        </w:tc>
      </w:tr>
    </w:tbl>
    <w:p>
      <w:pPr>
        <w:adjustRightInd w:val="0"/>
        <w:snapToGrid w:val="0"/>
        <w:spacing w:line="360" w:lineRule="exact"/>
        <w:rPr>
          <w:rFonts w:ascii="仿宋" w:hAnsi="仿宋" w:eastAsia="仿宋" w:cs="仿宋"/>
          <w:sz w:val="24"/>
        </w:rPr>
      </w:pPr>
      <w:r>
        <w:rPr>
          <w:rFonts w:hint="eastAsia" w:ascii="仿宋" w:hAnsi="仿宋" w:eastAsia="仿宋" w:cs="仿宋"/>
          <w:sz w:val="24"/>
        </w:rPr>
        <w:t>*杠杆水平=总资产/理财产品净资产，理财产品净资产=总资产-总负债</w:t>
      </w:r>
    </w:p>
    <w:p>
      <w:pPr>
        <w:adjustRightInd w:val="0"/>
        <w:snapToGrid w:val="0"/>
        <w:spacing w:line="360" w:lineRule="exact"/>
        <w:rPr>
          <w:rFonts w:ascii="仿宋" w:hAnsi="仿宋" w:eastAsia="仿宋" w:cs="仿宋"/>
          <w:color w:val="000000"/>
          <w:sz w:val="24"/>
        </w:rPr>
      </w:pPr>
    </w:p>
    <w:p>
      <w:pPr>
        <w:pStyle w:val="2"/>
        <w:adjustRightInd w:val="0"/>
        <w:snapToGrid w:val="0"/>
        <w:spacing w:line="560" w:lineRule="exact"/>
        <w:jc w:val="center"/>
        <w:rPr>
          <w:rFonts w:ascii="仿宋" w:hAnsi="仿宋" w:eastAsia="仿宋" w:cs="仿宋"/>
          <w:sz w:val="24"/>
        </w:rPr>
      </w:pPr>
      <w:bookmarkStart w:id="4" w:name="_Toc1158767045"/>
      <w:r>
        <w:rPr>
          <w:rFonts w:hint="eastAsia" w:ascii="仿宋" w:hAnsi="仿宋" w:eastAsia="仿宋" w:cs="仿宋"/>
          <w:sz w:val="24"/>
        </w:rPr>
        <w:t>§3  主要财务指标和产品净值表现</w:t>
      </w:r>
      <w:bookmarkEnd w:id="4"/>
    </w:p>
    <w:p>
      <w:pPr>
        <w:adjustRightInd w:val="0"/>
        <w:snapToGrid w:val="0"/>
        <w:spacing w:line="440" w:lineRule="exact"/>
        <w:outlineLvl w:val="2"/>
        <w:rPr>
          <w:rFonts w:ascii="仿宋" w:hAnsi="仿宋" w:eastAsia="仿宋" w:cs="仿宋"/>
          <w:b/>
          <w:sz w:val="24"/>
        </w:rPr>
      </w:pPr>
      <w:bookmarkStart w:id="5" w:name="_Toc2016014319"/>
      <w:r>
        <w:rPr>
          <w:rFonts w:hint="eastAsia" w:ascii="仿宋" w:hAnsi="仿宋" w:eastAsia="仿宋" w:cs="仿宋"/>
          <w:b/>
          <w:sz w:val="24"/>
        </w:rPr>
        <w:t>3.1 主要财务指标和产品净值表现</w:t>
      </w:r>
      <w:bookmarkEnd w:id="5"/>
    </w:p>
    <w:p>
      <w:pPr>
        <w:adjustRightInd w:val="0"/>
        <w:snapToGrid w:val="0"/>
        <w:spacing w:line="440" w:lineRule="exact"/>
        <w:jc w:val="right"/>
        <w:rPr>
          <w:rFonts w:ascii="仿宋" w:hAnsi="仿宋" w:eastAsia="仿宋" w:cs="仿宋"/>
          <w:sz w:val="24"/>
        </w:rPr>
      </w:pPr>
      <w:r>
        <w:rPr>
          <w:rFonts w:hint="eastAsia" w:ascii="仿宋" w:hAnsi="仿宋" w:eastAsia="仿宋" w:cs="仿宋"/>
          <w:sz w:val="24"/>
        </w:rPr>
        <w:t>单位：元、份、元/份</w:t>
      </w:r>
    </w:p>
    <w:tbl>
      <w:tblPr>
        <w:tblStyle w:val="11"/>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418"/>
        <w:gridCol w:w="585"/>
        <w:gridCol w:w="407"/>
        <w:gridCol w:w="992"/>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0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color w:val="000000"/>
                <w:kern w:val="0"/>
                <w:sz w:val="24"/>
              </w:rPr>
            </w:pPr>
            <w:r>
              <w:rPr>
                <w:rFonts w:hint="eastAsia" w:ascii="仿宋" w:hAnsi="仿宋" w:eastAsia="仿宋" w:cs="仿宋"/>
                <w:sz w:val="24"/>
              </w:rPr>
              <w:t>主要财务指标</w:t>
            </w:r>
          </w:p>
        </w:tc>
        <w:tc>
          <w:tcPr>
            <w:tcW w:w="472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color w:val="000000"/>
                <w:kern w:val="0"/>
                <w:sz w:val="24"/>
              </w:rPr>
            </w:pPr>
            <w:r>
              <w:rPr>
                <w:rFonts w:hint="eastAsia" w:ascii="仿宋" w:hAnsi="仿宋" w:eastAsia="仿宋" w:cs="仿宋"/>
                <w:color w:val="000000"/>
                <w:kern w:val="0"/>
                <w:sz w:val="24"/>
              </w:rPr>
              <w:t>报告期</w:t>
            </w:r>
          </w:p>
          <w:p>
            <w:pPr>
              <w:widowControl/>
              <w:adjustRightInd w:val="0"/>
              <w:snapToGrid w:val="0"/>
              <w:jc w:val="center"/>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sz w:val="24"/>
              </w:rPr>
              <w:t>2023年4月1日-2023年6月30日）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0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Style w:val="16"/>
                <w:rFonts w:ascii="仿宋" w:hAnsi="仿宋" w:eastAsia="仿宋" w:cs="仿宋"/>
                <w:sz w:val="24"/>
              </w:rPr>
            </w:pPr>
            <w:r>
              <w:rPr>
                <w:rFonts w:hint="eastAsia" w:ascii="仿宋" w:hAnsi="仿宋" w:eastAsia="仿宋" w:cs="仿宋"/>
                <w:sz w:val="24"/>
              </w:rPr>
              <w:t>1.期末产品资产净值</w:t>
            </w:r>
          </w:p>
        </w:tc>
        <w:tc>
          <w:tcPr>
            <w:tcW w:w="472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 w:hAnsi="仿宋" w:eastAsia="仿宋" w:cs="仿宋"/>
                <w:sz w:val="24"/>
              </w:rPr>
            </w:pPr>
            <w:r>
              <w:rPr>
                <w:rFonts w:hint="eastAsia" w:ascii="仿宋" w:hAnsi="仿宋" w:eastAsia="仿宋" w:cs="仿宋"/>
                <w:kern w:val="0"/>
                <w:sz w:val="24"/>
              </w:rPr>
              <w:t>6,501,626,255.77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0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s="仿宋"/>
                <w:sz w:val="24"/>
              </w:rPr>
            </w:pPr>
            <w:r>
              <w:rPr>
                <w:rFonts w:hint="eastAsia" w:ascii="仿宋" w:hAnsi="仿宋" w:eastAsia="仿宋" w:cs="仿宋"/>
                <w:sz w:val="24"/>
              </w:rPr>
              <w:t>2.期末产品总份额</w:t>
            </w:r>
          </w:p>
        </w:tc>
        <w:tc>
          <w:tcPr>
            <w:tcW w:w="472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 w:hAnsi="仿宋" w:eastAsia="仿宋" w:cs="仿宋"/>
                <w:kern w:val="0"/>
                <w:sz w:val="24"/>
              </w:rPr>
            </w:pPr>
            <w:r>
              <w:rPr>
                <w:rFonts w:hint="eastAsia" w:ascii="仿宋" w:hAnsi="仿宋" w:eastAsia="仿宋" w:cs="仿宋"/>
                <w:kern w:val="0"/>
                <w:sz w:val="24"/>
              </w:rPr>
              <w:t>6,125,422,747.40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0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Style w:val="16"/>
                <w:rFonts w:ascii="仿宋" w:hAnsi="仿宋" w:eastAsia="仿宋" w:cs="仿宋"/>
                <w:sz w:val="24"/>
              </w:rPr>
            </w:pPr>
            <w:r>
              <w:rPr>
                <w:rFonts w:hint="eastAsia" w:ascii="仿宋" w:hAnsi="仿宋" w:eastAsia="仿宋" w:cs="仿宋"/>
                <w:sz w:val="24"/>
              </w:rPr>
              <w:t>3.期末产品份额单位净值</w:t>
            </w:r>
          </w:p>
        </w:tc>
        <w:tc>
          <w:tcPr>
            <w:tcW w:w="472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 w:hAnsi="仿宋" w:eastAsia="仿宋" w:cs="仿宋"/>
                <w:sz w:val="24"/>
              </w:rPr>
            </w:pPr>
            <w:r>
              <w:rPr>
                <w:rFonts w:hint="eastAsia" w:ascii="仿宋" w:hAnsi="仿宋" w:eastAsia="仿宋" w:cs="仿宋"/>
                <w:kern w:val="0"/>
                <w:sz w:val="24"/>
                <w:lang w:val="en-US" w:eastAsia="zh-CN"/>
              </w:rPr>
              <w:t>1.061416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40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Style w:val="16"/>
                <w:rFonts w:ascii="仿宋" w:hAnsi="仿宋" w:eastAsia="仿宋" w:cs="仿宋"/>
                <w:sz w:val="24"/>
              </w:rPr>
            </w:pPr>
            <w:r>
              <w:rPr>
                <w:rFonts w:hint="eastAsia" w:ascii="仿宋" w:hAnsi="仿宋" w:eastAsia="仿宋" w:cs="仿宋"/>
                <w:sz w:val="24"/>
              </w:rPr>
              <w:t>4.期末产品份额累计净值</w:t>
            </w:r>
          </w:p>
        </w:tc>
        <w:tc>
          <w:tcPr>
            <w:tcW w:w="472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right"/>
              <w:rPr>
                <w:rFonts w:ascii="仿宋" w:hAnsi="仿宋" w:eastAsia="仿宋" w:cs="仿宋"/>
                <w:sz w:val="24"/>
              </w:rPr>
            </w:pPr>
            <w:r>
              <w:rPr>
                <w:rFonts w:hint="eastAsia" w:ascii="仿宋" w:hAnsi="仿宋" w:eastAsia="仿宋" w:cs="仿宋"/>
                <w:kern w:val="0"/>
                <w:sz w:val="24"/>
                <w:lang w:val="en-US" w:eastAsia="zh-CN"/>
              </w:rPr>
              <w:t>1.061416</w:t>
            </w:r>
            <w:bookmarkStart w:id="22" w:name="_GoBack"/>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9128"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color w:val="0000FF"/>
                <w:sz w:val="24"/>
              </w:rPr>
            </w:pPr>
            <w:r>
              <w:rPr>
                <w:rFonts w:hint="eastAsia" w:ascii="仿宋" w:hAnsi="仿宋" w:eastAsia="仿宋" w:cs="仿宋"/>
                <w:kern w:val="0"/>
                <w:sz w:val="24"/>
              </w:rPr>
              <w:t>报告期末下属子产品相关信息披露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before="0" w:beforeAutospacing="0" w:after="0" w:afterAutospacing="0"/>
              <w:jc w:val="center"/>
              <w:rPr>
                <w:rFonts w:ascii="仿宋" w:hAnsi="仿宋" w:eastAsia="仿宋" w:cs="仿宋"/>
                <w:color w:val="000000"/>
                <w:szCs w:val="24"/>
              </w:rPr>
            </w:pPr>
            <w:r>
              <w:rPr>
                <w:rFonts w:ascii="仿宋" w:hAnsi="仿宋" w:eastAsia="仿宋" w:cs="仿宋"/>
                <w:color w:val="000000"/>
              </w:rPr>
              <w:t>子产品名称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子产品代码</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份额</w:t>
            </w:r>
          </w:p>
          <w:p>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净值</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份额累计净值</w:t>
            </w:r>
          </w:p>
        </w:tc>
        <w:tc>
          <w:tcPr>
            <w:tcW w:w="33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kern w:val="0"/>
                <w:sz w:val="24"/>
              </w:rPr>
            </w:pPr>
            <w:r>
              <w:rPr>
                <w:rFonts w:hint="eastAsia" w:ascii="仿宋" w:hAnsi="仿宋" w:eastAsia="仿宋" w:cs="仿宋"/>
                <w:kern w:val="0"/>
                <w:sz w:val="24"/>
              </w:rPr>
              <w:t>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周添益2101期</w:t>
            </w:r>
          </w:p>
        </w:tc>
        <w:tc>
          <w:tcPr>
            <w:tcW w:w="1418"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TYG7D2101</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before="0" w:beforeAutospacing="0" w:after="0" w:afterAutospacing="0"/>
              <w:jc w:val="center"/>
              <w:rPr>
                <w:rFonts w:hint="eastAsia" w:ascii="仿宋" w:hAnsi="仿宋" w:eastAsia="仿宋" w:cs="仿宋"/>
                <w:color w:val="000000"/>
                <w:szCs w:val="24"/>
              </w:rPr>
            </w:pPr>
            <w:r>
              <w:rPr>
                <w:rFonts w:hint="eastAsia" w:ascii="仿宋" w:hAnsi="仿宋" w:eastAsia="仿宋" w:cs="仿宋"/>
                <w:color w:val="000000"/>
                <w:szCs w:val="24"/>
                <w:lang w:val="en-US" w:eastAsia="zh-CN"/>
              </w:rPr>
              <w:t>1.061416</w:t>
            </w:r>
          </w:p>
        </w:tc>
        <w:tc>
          <w:tcPr>
            <w:tcW w:w="992"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lang w:val="en-US" w:eastAsia="zh-CN"/>
              </w:rPr>
              <w:t>1.061416</w:t>
            </w:r>
          </w:p>
        </w:tc>
        <w:tc>
          <w:tcPr>
            <w:tcW w:w="332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6,473,169,114.96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405"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周添益2101期B款</w:t>
            </w:r>
          </w:p>
        </w:tc>
        <w:tc>
          <w:tcPr>
            <w:tcW w:w="1418"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TYG7D2101B</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before="0" w:beforeAutospacing="0" w:after="0" w:afterAutospacing="0"/>
              <w:jc w:val="center"/>
              <w:rPr>
                <w:rFonts w:hint="eastAsia" w:ascii="仿宋" w:hAnsi="仿宋" w:eastAsia="仿宋" w:cs="仿宋"/>
                <w:color w:val="000000"/>
                <w:szCs w:val="24"/>
              </w:rPr>
            </w:pPr>
            <w:r>
              <w:rPr>
                <w:rFonts w:hint="eastAsia" w:ascii="仿宋" w:hAnsi="仿宋" w:eastAsia="仿宋" w:cs="仿宋"/>
                <w:color w:val="000000"/>
                <w:szCs w:val="24"/>
                <w:lang w:val="en-US" w:eastAsia="zh-CN"/>
              </w:rPr>
              <w:t>1.061499</w:t>
            </w:r>
          </w:p>
        </w:tc>
        <w:tc>
          <w:tcPr>
            <w:tcW w:w="992"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lang w:val="en-US" w:eastAsia="zh-CN"/>
              </w:rPr>
              <w:t>1.061499</w:t>
            </w:r>
          </w:p>
        </w:tc>
        <w:tc>
          <w:tcPr>
            <w:tcW w:w="3321" w:type="dxa"/>
            <w:tcBorders>
              <w:top w:val="single" w:color="auto" w:sz="4" w:space="0"/>
              <w:left w:val="single" w:color="auto" w:sz="4" w:space="0"/>
              <w:bottom w:val="single" w:color="auto" w:sz="4" w:space="0"/>
              <w:right w:val="single" w:color="auto" w:sz="4" w:space="0"/>
            </w:tcBorders>
            <w:vAlign w:val="center"/>
          </w:tcPr>
          <w:p>
            <w:pPr>
              <w:pStyle w:val="10"/>
              <w:adjustRightInd w:val="0"/>
              <w:snapToGrid w:val="0"/>
              <w:spacing w:before="0" w:beforeAutospacing="0" w:after="0" w:afterAutospacing="0"/>
              <w:jc w:val="center"/>
              <w:rPr>
                <w:rFonts w:ascii="仿宋" w:hAnsi="仿宋" w:eastAsia="仿宋" w:cs="仿宋"/>
                <w:color w:val="000000"/>
                <w:szCs w:val="24"/>
              </w:rPr>
            </w:pPr>
            <w:r>
              <w:rPr>
                <w:rFonts w:hint="eastAsia" w:ascii="仿宋" w:hAnsi="仿宋" w:eastAsia="仿宋" w:cs="仿宋"/>
                <w:color w:val="000000"/>
                <w:szCs w:val="24"/>
              </w:rPr>
              <w:t>28,457,140.81</w:t>
            </w:r>
          </w:p>
        </w:tc>
      </w:tr>
    </w:tbl>
    <w:p>
      <w:pPr>
        <w:adjustRightInd w:val="0"/>
        <w:snapToGrid w:val="0"/>
        <w:spacing w:line="440" w:lineRule="exact"/>
        <w:outlineLvl w:val="2"/>
        <w:rPr>
          <w:rFonts w:ascii="仿宋" w:hAnsi="仿宋" w:eastAsia="仿宋" w:cs="仿宋"/>
          <w:b/>
          <w:sz w:val="24"/>
        </w:rPr>
      </w:pPr>
      <w:bookmarkStart w:id="6" w:name="_Toc155677067"/>
      <w:r>
        <w:rPr>
          <w:rFonts w:hint="eastAsia" w:ascii="仿宋" w:hAnsi="仿宋" w:eastAsia="仿宋" w:cs="仿宋"/>
          <w:b/>
          <w:sz w:val="24"/>
        </w:rPr>
        <w:t>3.</w:t>
      </w:r>
      <w:r>
        <w:rPr>
          <w:rFonts w:ascii="仿宋" w:hAnsi="仿宋" w:eastAsia="仿宋" w:cs="仿宋"/>
          <w:b/>
          <w:sz w:val="24"/>
        </w:rPr>
        <w:t>2</w:t>
      </w:r>
      <w:r>
        <w:rPr>
          <w:rFonts w:hint="eastAsia" w:ascii="仿宋" w:hAnsi="仿宋" w:eastAsia="仿宋" w:cs="仿宋"/>
          <w:b/>
          <w:sz w:val="24"/>
        </w:rPr>
        <w:t xml:space="preserve"> 产品收益表现</w:t>
      </w:r>
      <w:bookmarkEnd w:id="6"/>
    </w:p>
    <w:tbl>
      <w:tblPr>
        <w:tblStyle w:val="11"/>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7"/>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color w:val="000000"/>
                <w:kern w:val="0"/>
                <w:sz w:val="24"/>
              </w:rPr>
            </w:pPr>
            <w:r>
              <w:rPr>
                <w:rFonts w:hint="eastAsia" w:ascii="仿宋" w:hAnsi="仿宋" w:eastAsia="仿宋" w:cs="仿宋"/>
                <w:color w:val="000000"/>
                <w:kern w:val="0"/>
                <w:sz w:val="24"/>
              </w:rPr>
              <w:t>产品名称</w:t>
            </w:r>
          </w:p>
        </w:tc>
        <w:tc>
          <w:tcPr>
            <w:tcW w:w="33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color w:val="000000"/>
                <w:kern w:val="0"/>
                <w:sz w:val="24"/>
              </w:rPr>
            </w:pPr>
            <w:r>
              <w:rPr>
                <w:rFonts w:hint="eastAsia" w:ascii="仿宋" w:hAnsi="仿宋" w:eastAsia="仿宋" w:cs="仿宋"/>
                <w:color w:val="000000"/>
                <w:kern w:val="0"/>
                <w:sz w:val="24"/>
              </w:rPr>
              <w:t>成立以来年化收益率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Style w:val="16"/>
                <w:rFonts w:ascii="仿宋" w:hAnsi="仿宋" w:eastAsia="仿宋" w:cs="仿宋"/>
                <w:sz w:val="24"/>
              </w:rPr>
            </w:pPr>
            <w:r>
              <w:rPr>
                <w:rStyle w:val="16"/>
                <w:rFonts w:hint="eastAsia" w:ascii="仿宋" w:hAnsi="仿宋" w:eastAsia="仿宋" w:cs="仿宋"/>
                <w:sz w:val="24"/>
              </w:rPr>
              <w:t>周添益2101期</w:t>
            </w:r>
          </w:p>
        </w:tc>
        <w:tc>
          <w:tcPr>
            <w:tcW w:w="33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3.23</w:t>
            </w:r>
            <w:r>
              <w:rPr>
                <w:rFonts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58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Style w:val="16"/>
                <w:rFonts w:ascii="仿宋" w:hAnsi="仿宋" w:eastAsia="仿宋" w:cs="仿宋"/>
                <w:sz w:val="24"/>
              </w:rPr>
            </w:pPr>
            <w:r>
              <w:rPr>
                <w:rStyle w:val="16"/>
                <w:rFonts w:hint="eastAsia" w:ascii="仿宋" w:hAnsi="仿宋" w:eastAsia="仿宋" w:cs="仿宋"/>
                <w:sz w:val="24"/>
              </w:rPr>
              <w:t>周添益2101期B款</w:t>
            </w:r>
          </w:p>
        </w:tc>
        <w:tc>
          <w:tcPr>
            <w:tcW w:w="33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sz w:val="24"/>
              </w:rPr>
            </w:pPr>
            <w:r>
              <w:rPr>
                <w:rFonts w:hint="eastAsia" w:ascii="仿宋" w:hAnsi="仿宋" w:eastAsia="仿宋" w:cs="仿宋"/>
                <w:sz w:val="24"/>
              </w:rPr>
              <w:t>3.23</w:t>
            </w:r>
            <w:r>
              <w:rPr>
                <w:rFonts w:ascii="仿宋" w:hAnsi="仿宋" w:eastAsia="仿宋" w:cs="仿宋"/>
                <w:sz w:val="24"/>
              </w:rPr>
              <w:t>%</w:t>
            </w:r>
          </w:p>
        </w:tc>
      </w:tr>
    </w:tbl>
    <w:p>
      <w:pPr>
        <w:adjustRightInd w:val="0"/>
        <w:snapToGrid w:val="0"/>
        <w:rPr>
          <w:rFonts w:ascii="仿宋" w:hAnsi="仿宋" w:eastAsia="仿宋" w:cs="仿宋"/>
          <w:color w:val="404040"/>
          <w:kern w:val="0"/>
          <w:sz w:val="24"/>
        </w:rPr>
      </w:pPr>
    </w:p>
    <w:p>
      <w:pPr>
        <w:adjustRightInd w:val="0"/>
        <w:snapToGrid w:val="0"/>
        <w:rPr>
          <w:rFonts w:ascii="仿宋" w:hAnsi="仿宋" w:eastAsia="仿宋" w:cs="仿宋"/>
          <w:color w:val="404040"/>
          <w:kern w:val="0"/>
          <w:sz w:val="24"/>
        </w:rPr>
      </w:pPr>
    </w:p>
    <w:p>
      <w:pPr>
        <w:pStyle w:val="2"/>
        <w:adjustRightInd w:val="0"/>
        <w:snapToGrid w:val="0"/>
        <w:spacing w:line="560" w:lineRule="exact"/>
        <w:jc w:val="center"/>
        <w:rPr>
          <w:rFonts w:ascii="仿宋" w:hAnsi="仿宋" w:eastAsia="仿宋" w:cs="仿宋"/>
          <w:sz w:val="24"/>
        </w:rPr>
      </w:pPr>
      <w:bookmarkStart w:id="7" w:name="_Toc829383023"/>
      <w:r>
        <w:rPr>
          <w:rFonts w:hint="eastAsia" w:ascii="仿宋" w:hAnsi="仿宋" w:eastAsia="仿宋" w:cs="仿宋"/>
          <w:sz w:val="24"/>
        </w:rPr>
        <w:t>§4  投资组合报告</w:t>
      </w:r>
      <w:bookmarkEnd w:id="7"/>
    </w:p>
    <w:p>
      <w:pPr>
        <w:adjustRightInd w:val="0"/>
        <w:snapToGrid w:val="0"/>
        <w:spacing w:line="440" w:lineRule="exact"/>
        <w:outlineLvl w:val="2"/>
        <w:rPr>
          <w:rFonts w:ascii="仿宋" w:hAnsi="仿宋" w:eastAsia="仿宋" w:cs="仿宋"/>
          <w:b/>
          <w:sz w:val="24"/>
        </w:rPr>
      </w:pPr>
      <w:bookmarkStart w:id="8" w:name="_Toc124114884"/>
      <w:r>
        <w:rPr>
          <w:rFonts w:hint="eastAsia" w:ascii="仿宋" w:hAnsi="仿宋" w:eastAsia="仿宋" w:cs="仿宋"/>
          <w:b/>
          <w:sz w:val="24"/>
        </w:rPr>
        <w:t>4.1 报告期内产品投资策略回顾</w:t>
      </w:r>
      <w:bookmarkEnd w:id="8"/>
    </w:p>
    <w:p>
      <w:pPr>
        <w:adjustRightInd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2023年2季度以来，债券收益率整体震荡下行， 宏观经济在经历1季度需求回暖后，2季度经济修复面临考验，社会总需求逐月走低，地产销售疲弱，出口增速下移，消费增速未有起色，通胀数据疲软，市场预期偏弱，货币、财政、房地产等政策相继出台，但经济刺激政策整体温和，投资者信心和社会总需求仍有待提振。在此背景下，2季度货币政策保持相对宽松，银行间回购利率长期低于政策利率，6月央行超预期降息显示货币政策对实体经济的支持。理财赎回风波基本结束，伴随着银行相继调降存款利率，存款向理财搬家的现象重现，理财规模重回扩张，一定程度上仍存在资产荒。从收益率来看，当前10年国债收益率2.66%，较2季度初下行19bp，当前3年期AA+城投债收益率3.06%，较2季度初下行18bp，当前3年期AAA二级资本债收益率3.02%，较2季度初下行24bp，高等级信用债和利率债收益率下行幅度更大，市场更加偏好高流动性债券。本产品全仓配置固收类资产，以低波动资产和短久期债券资产为主，全季度来看收益表现稳定，单季度年化收益超过3%，同时为客户提供周度申赎的流动性。</w:t>
      </w:r>
    </w:p>
    <w:p>
      <w:pPr>
        <w:adjustRightInd w:val="0"/>
        <w:snapToGrid w:val="0"/>
        <w:spacing w:line="440" w:lineRule="exact"/>
        <w:outlineLvl w:val="2"/>
        <w:rPr>
          <w:rFonts w:ascii="仿宋" w:hAnsi="仿宋" w:eastAsia="仿宋" w:cs="仿宋"/>
          <w:b/>
          <w:sz w:val="24"/>
        </w:rPr>
      </w:pPr>
      <w:bookmarkStart w:id="9" w:name="_Toc792234151"/>
      <w:r>
        <w:rPr>
          <w:rFonts w:hint="eastAsia" w:ascii="仿宋" w:hAnsi="仿宋" w:eastAsia="仿宋" w:cs="仿宋"/>
          <w:b/>
          <w:sz w:val="24"/>
        </w:rPr>
        <w:t>4.2产品未来展望</w:t>
      </w:r>
      <w:bookmarkEnd w:id="9"/>
    </w:p>
    <w:p>
      <w:pPr>
        <w:adjustRightInd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展望2023年3季度，从基本面来看，无论从经济高频数据还是前瞻性数据来看，经济仍处于弱复苏态势，从票据利率看银行信贷投放相对偏弱，从30城地产销售面积看地产销售处于偏低水平，消费仍处于修复过程中，在没有经济强刺激政策出台前，基本面环境对债市仍偏暖；从政策面来看，6月央行超预期降准显示对银行间资金面市场的呵护，后续市场利率大概率围绕或低于政策利率波动，3季度降准降息的可能性仍存，短端债券收益率仍有下行空间。整体来说，经济弱复苏，货币政策保持相对宽松，债市流动性环境相对友好，理财规模重回扩张，债券收益率易下难上。我们预期3季度债券收益率整体小幅下行，策略上，保持一定杠杆比例，同时继续拓展低波动资产品类。</w:t>
      </w:r>
    </w:p>
    <w:p>
      <w:pPr>
        <w:adjustRightInd w:val="0"/>
        <w:snapToGrid w:val="0"/>
        <w:spacing w:line="440" w:lineRule="exact"/>
        <w:outlineLvl w:val="2"/>
        <w:rPr>
          <w:rFonts w:ascii="仿宋" w:hAnsi="仿宋" w:eastAsia="仿宋" w:cs="仿宋"/>
          <w:b/>
          <w:sz w:val="24"/>
        </w:rPr>
      </w:pPr>
      <w:bookmarkStart w:id="10" w:name="_Toc680764457"/>
      <w:r>
        <w:rPr>
          <w:rFonts w:hint="eastAsia" w:ascii="仿宋" w:hAnsi="仿宋" w:eastAsia="仿宋" w:cs="仿宋"/>
          <w:b/>
          <w:sz w:val="24"/>
        </w:rPr>
        <w:t>4.3投资组合的流动性风险分析</w:t>
      </w:r>
      <w:bookmarkEnd w:id="10"/>
    </w:p>
    <w:p>
      <w:pPr>
        <w:adjustRightInd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流动性风险是指理财产品无法通过变现资产等途径以合理成本及时获得充足资金，用于满足该理财产品的投资者赎回需求、履行其他支付义务的风险。本产品主要投资于货币市场工具、债券类资产及资管计划。产品所投资的货币市场工具及债券资产流动性状况良好，正常情况下能够及时变现资产，筹集资金，满足本产品的投资者赎回需求或其他支付要求。产品所投资资管计划运作规范，能够通过申赎安排满足本产品流动性需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pPr>
        <w:adjustRightInd w:val="0"/>
        <w:snapToGrid w:val="0"/>
        <w:spacing w:line="440" w:lineRule="exact"/>
        <w:outlineLvl w:val="2"/>
        <w:rPr>
          <w:rFonts w:ascii="仿宋" w:hAnsi="仿宋" w:eastAsia="仿宋" w:cs="仿宋"/>
          <w:b/>
          <w:sz w:val="24"/>
        </w:rPr>
      </w:pPr>
      <w:bookmarkStart w:id="11" w:name="_Toc1962841230"/>
      <w:r>
        <w:rPr>
          <w:rFonts w:hint="eastAsia" w:ascii="仿宋" w:hAnsi="仿宋" w:eastAsia="仿宋" w:cs="仿宋"/>
          <w:b/>
          <w:sz w:val="24"/>
        </w:rPr>
        <w:t>4.4 报告期末投资组合分类</w:t>
      </w:r>
      <w:bookmarkEnd w:id="11"/>
    </w:p>
    <w:tbl>
      <w:tblPr>
        <w:tblStyle w:val="11"/>
        <w:tblW w:w="9024" w:type="dxa"/>
        <w:tblInd w:w="-5" w:type="dxa"/>
        <w:tblLayout w:type="fixed"/>
        <w:tblCellMar>
          <w:top w:w="0" w:type="dxa"/>
          <w:left w:w="0" w:type="dxa"/>
          <w:bottom w:w="0" w:type="dxa"/>
          <w:right w:w="0" w:type="dxa"/>
        </w:tblCellMar>
      </w:tblPr>
      <w:tblGrid>
        <w:gridCol w:w="406"/>
        <w:gridCol w:w="4082"/>
        <w:gridCol w:w="2268"/>
        <w:gridCol w:w="2268"/>
      </w:tblGrid>
      <w:tr>
        <w:tblPrEx>
          <w:tblLayout w:type="fixed"/>
          <w:tblCellMar>
            <w:top w:w="0" w:type="dxa"/>
            <w:left w:w="0" w:type="dxa"/>
            <w:bottom w:w="0" w:type="dxa"/>
            <w:right w:w="0" w:type="dxa"/>
          </w:tblCellMar>
        </w:tblPrEx>
        <w:trPr>
          <w:trHeight w:val="415" w:hRule="atLeast"/>
        </w:trPr>
        <w:tc>
          <w:tcPr>
            <w:tcW w:w="406"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序号</w:t>
            </w:r>
          </w:p>
        </w:tc>
        <w:tc>
          <w:tcPr>
            <w:tcW w:w="4082" w:type="dxa"/>
            <w:tcBorders>
              <w:top w:val="single" w:color="auto" w:sz="4" w:space="0"/>
              <w:left w:val="nil"/>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项目</w:t>
            </w:r>
          </w:p>
        </w:tc>
        <w:tc>
          <w:tcPr>
            <w:tcW w:w="2268" w:type="dxa"/>
            <w:tcBorders>
              <w:top w:val="single" w:color="auto" w:sz="4" w:space="0"/>
              <w:left w:val="nil"/>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期末穿透前占总资产比例（％）</w:t>
            </w:r>
          </w:p>
        </w:tc>
        <w:tc>
          <w:tcPr>
            <w:tcW w:w="2268" w:type="dxa"/>
            <w:tcBorders>
              <w:top w:val="single" w:color="auto" w:sz="4" w:space="0"/>
              <w:left w:val="nil"/>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期末穿透后占总资产比例（％）</w:t>
            </w:r>
          </w:p>
        </w:tc>
      </w:tr>
      <w:tr>
        <w:tblPrEx>
          <w:tblLayout w:type="fixed"/>
          <w:tblCellMar>
            <w:top w:w="0" w:type="dxa"/>
            <w:left w:w="0" w:type="dxa"/>
            <w:bottom w:w="0" w:type="dxa"/>
            <w:right w:w="0" w:type="dxa"/>
          </w:tblCellMar>
        </w:tblPrEx>
        <w:trPr>
          <w:trHeight w:val="20" w:hRule="atLeast"/>
        </w:trPr>
        <w:tc>
          <w:tcPr>
            <w:tcW w:w="406"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40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现金及银行存款</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1.84%</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15.14%</w:t>
            </w:r>
          </w:p>
        </w:tc>
      </w:tr>
      <w:tr>
        <w:tblPrEx>
          <w:tblLayout w:type="fixed"/>
          <w:tblCellMar>
            <w:top w:w="0" w:type="dxa"/>
            <w:left w:w="0" w:type="dxa"/>
            <w:bottom w:w="0" w:type="dxa"/>
            <w:right w:w="0" w:type="dxa"/>
          </w:tblCellMar>
        </w:tblPrEx>
        <w:trPr>
          <w:trHeight w:val="20" w:hRule="atLeast"/>
        </w:trPr>
        <w:tc>
          <w:tcPr>
            <w:tcW w:w="406"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2</w:t>
            </w:r>
          </w:p>
        </w:tc>
        <w:tc>
          <w:tcPr>
            <w:tcW w:w="40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同业存单</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2.99%</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2.99%</w:t>
            </w:r>
          </w:p>
        </w:tc>
      </w:tr>
      <w:tr>
        <w:tblPrEx>
          <w:tblLayout w:type="fixed"/>
          <w:tblCellMar>
            <w:top w:w="0" w:type="dxa"/>
            <w:left w:w="0" w:type="dxa"/>
            <w:bottom w:w="0" w:type="dxa"/>
            <w:right w:w="0" w:type="dxa"/>
          </w:tblCellMar>
        </w:tblPrEx>
        <w:trPr>
          <w:trHeight w:val="20" w:hRule="atLeast"/>
        </w:trPr>
        <w:tc>
          <w:tcPr>
            <w:tcW w:w="406"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3</w:t>
            </w:r>
          </w:p>
        </w:tc>
        <w:tc>
          <w:tcPr>
            <w:tcW w:w="40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拆放同业及债券买入返售</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19.54%</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24.32%</w:t>
            </w:r>
          </w:p>
        </w:tc>
      </w:tr>
      <w:tr>
        <w:tblPrEx>
          <w:tblLayout w:type="fixed"/>
          <w:tblCellMar>
            <w:top w:w="0" w:type="dxa"/>
            <w:left w:w="0" w:type="dxa"/>
            <w:bottom w:w="0" w:type="dxa"/>
            <w:right w:w="0" w:type="dxa"/>
          </w:tblCellMar>
        </w:tblPrEx>
        <w:trPr>
          <w:trHeight w:val="20" w:hRule="atLeast"/>
        </w:trPr>
        <w:tc>
          <w:tcPr>
            <w:tcW w:w="406"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4</w:t>
            </w:r>
          </w:p>
        </w:tc>
        <w:tc>
          <w:tcPr>
            <w:tcW w:w="40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债券</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21.38%</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54.03%</w:t>
            </w:r>
          </w:p>
        </w:tc>
      </w:tr>
      <w:tr>
        <w:tblPrEx>
          <w:tblLayout w:type="fixed"/>
          <w:tblCellMar>
            <w:top w:w="0" w:type="dxa"/>
            <w:left w:w="0" w:type="dxa"/>
            <w:bottom w:w="0" w:type="dxa"/>
            <w:right w:w="0" w:type="dxa"/>
          </w:tblCellMar>
        </w:tblPrEx>
        <w:trPr>
          <w:trHeight w:val="20" w:hRule="atLeast"/>
        </w:trPr>
        <w:tc>
          <w:tcPr>
            <w:tcW w:w="406"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5</w:t>
            </w:r>
          </w:p>
        </w:tc>
        <w:tc>
          <w:tcPr>
            <w:tcW w:w="40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非标准化债权类资产</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406"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6</w:t>
            </w:r>
          </w:p>
        </w:tc>
        <w:tc>
          <w:tcPr>
            <w:tcW w:w="40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权益类投资</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406"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7</w:t>
            </w:r>
          </w:p>
        </w:tc>
        <w:tc>
          <w:tcPr>
            <w:tcW w:w="40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金融衍生品</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406"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8</w:t>
            </w:r>
          </w:p>
        </w:tc>
        <w:tc>
          <w:tcPr>
            <w:tcW w:w="40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代客境外理财投资QDII</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406"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9</w:t>
            </w:r>
          </w:p>
        </w:tc>
        <w:tc>
          <w:tcPr>
            <w:tcW w:w="40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商品类资产</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406"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10</w:t>
            </w:r>
          </w:p>
        </w:tc>
        <w:tc>
          <w:tcPr>
            <w:tcW w:w="40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另类资产</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406"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11</w:t>
            </w:r>
          </w:p>
        </w:tc>
        <w:tc>
          <w:tcPr>
            <w:tcW w:w="40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公募基金</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3.07%</w:t>
            </w:r>
          </w:p>
        </w:tc>
      </w:tr>
      <w:tr>
        <w:tblPrEx>
          <w:tblLayout w:type="fixed"/>
          <w:tblCellMar>
            <w:top w:w="0" w:type="dxa"/>
            <w:left w:w="0" w:type="dxa"/>
            <w:bottom w:w="0" w:type="dxa"/>
            <w:right w:w="0" w:type="dxa"/>
          </w:tblCellMar>
        </w:tblPrEx>
        <w:trPr>
          <w:trHeight w:val="20" w:hRule="atLeast"/>
        </w:trPr>
        <w:tc>
          <w:tcPr>
            <w:tcW w:w="406"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12</w:t>
            </w:r>
          </w:p>
        </w:tc>
        <w:tc>
          <w:tcPr>
            <w:tcW w:w="40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私募基金</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406"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13</w:t>
            </w:r>
          </w:p>
        </w:tc>
        <w:tc>
          <w:tcPr>
            <w:tcW w:w="40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资产管理产品</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54.25%</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406"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14</w:t>
            </w:r>
          </w:p>
        </w:tc>
        <w:tc>
          <w:tcPr>
            <w:tcW w:w="40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委外投资——协议方式</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0.00%</w:t>
            </w:r>
          </w:p>
        </w:tc>
      </w:tr>
      <w:tr>
        <w:tblPrEx>
          <w:tblLayout w:type="fixed"/>
          <w:tblCellMar>
            <w:top w:w="0" w:type="dxa"/>
            <w:left w:w="0" w:type="dxa"/>
            <w:bottom w:w="0" w:type="dxa"/>
            <w:right w:w="0" w:type="dxa"/>
          </w:tblCellMar>
        </w:tblPrEx>
        <w:trPr>
          <w:trHeight w:val="20" w:hRule="atLeast"/>
        </w:trPr>
        <w:tc>
          <w:tcPr>
            <w:tcW w:w="406"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15</w:t>
            </w:r>
          </w:p>
        </w:tc>
        <w:tc>
          <w:tcPr>
            <w:tcW w:w="408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合计</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100.00%</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100.00%</w:t>
            </w:r>
          </w:p>
        </w:tc>
      </w:tr>
    </w:tbl>
    <w:p>
      <w:pPr>
        <w:adjustRightInd w:val="0"/>
        <w:snapToGrid w:val="0"/>
        <w:spacing w:line="440" w:lineRule="exact"/>
        <w:outlineLvl w:val="2"/>
        <w:rPr>
          <w:rFonts w:ascii="仿宋" w:hAnsi="仿宋" w:eastAsia="仿宋" w:cs="仿宋"/>
          <w:b/>
          <w:sz w:val="24"/>
        </w:rPr>
      </w:pPr>
      <w:bookmarkStart w:id="12" w:name="_Toc1258005047"/>
      <w:r>
        <w:rPr>
          <w:rFonts w:hint="eastAsia" w:ascii="仿宋" w:hAnsi="仿宋" w:eastAsia="仿宋" w:cs="仿宋"/>
          <w:b/>
          <w:sz w:val="24"/>
        </w:rPr>
        <w:t>4.</w:t>
      </w:r>
      <w:r>
        <w:rPr>
          <w:rFonts w:ascii="仿宋" w:hAnsi="仿宋" w:eastAsia="仿宋" w:cs="仿宋"/>
          <w:b/>
          <w:sz w:val="24"/>
        </w:rPr>
        <w:t>5</w:t>
      </w:r>
      <w:r>
        <w:rPr>
          <w:rFonts w:hint="eastAsia" w:ascii="仿宋" w:hAnsi="仿宋" w:eastAsia="仿宋" w:cs="仿宋"/>
          <w:b/>
          <w:sz w:val="24"/>
        </w:rPr>
        <w:t>报告期末投资前十名资产明细</w:t>
      </w:r>
      <w:bookmarkEnd w:id="12"/>
    </w:p>
    <w:p>
      <w:pPr>
        <w:adjustRightInd w:val="0"/>
        <w:snapToGrid w:val="0"/>
        <w:spacing w:line="440" w:lineRule="exact"/>
        <w:ind w:firstLine="6240" w:firstLineChars="2600"/>
        <w:jc w:val="right"/>
        <w:rPr>
          <w:rFonts w:ascii="仿宋" w:hAnsi="仿宋" w:eastAsia="仿宋" w:cs="仿宋"/>
          <w:sz w:val="24"/>
        </w:rPr>
      </w:pPr>
      <w:r>
        <w:rPr>
          <w:rFonts w:hint="eastAsia" w:ascii="仿宋" w:hAnsi="仿宋" w:eastAsia="仿宋" w:cs="仿宋"/>
          <w:sz w:val="24"/>
        </w:rPr>
        <w:t>单位：人民币元</w:t>
      </w:r>
    </w:p>
    <w:tbl>
      <w:tblPr>
        <w:tblStyle w:val="11"/>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3772"/>
        <w:gridCol w:w="2340"/>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ascii="仿宋" w:hAnsi="仿宋" w:eastAsia="仿宋" w:cs="仿宋"/>
                <w:sz w:val="24"/>
              </w:rPr>
              <w:t>序号</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资产名称</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金额（元）</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占资产净值比例（％）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质押式逆回购(009884)</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200,000,000.00</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质押式逆回购(016717)</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200,000,000.00</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3</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20国开07</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133,660,740.61</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4</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鹏扬裕利三年</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130,740,600.68</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5</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23进出01</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100,951,311.48</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6</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易方达恒固18个月A</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100,843,133.02</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7</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23农发06</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100,280,956.28</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8</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质押式逆回购(150006)</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100,121,232.85</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9</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质押式逆回购(000533)</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100,000,000.00</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6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10</w:t>
            </w:r>
          </w:p>
        </w:tc>
        <w:tc>
          <w:tcPr>
            <w:tcW w:w="377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质押式逆回购(022001)</w:t>
            </w:r>
          </w:p>
        </w:tc>
        <w:tc>
          <w:tcPr>
            <w:tcW w:w="23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100,000,000.00</w:t>
            </w:r>
          </w:p>
        </w:tc>
        <w:tc>
          <w:tcPr>
            <w:tcW w:w="23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1.54%</w:t>
            </w:r>
          </w:p>
        </w:tc>
      </w:tr>
    </w:tbl>
    <w:p>
      <w:pPr>
        <w:adjustRightInd w:val="0"/>
        <w:snapToGrid w:val="0"/>
        <w:spacing w:line="440" w:lineRule="exact"/>
        <w:outlineLvl w:val="2"/>
        <w:rPr>
          <w:rFonts w:ascii="仿宋" w:hAnsi="仿宋" w:eastAsia="仿宋" w:cs="仿宋"/>
          <w:b/>
          <w:sz w:val="24"/>
        </w:rPr>
      </w:pPr>
      <w:bookmarkStart w:id="13" w:name="_Toc1314320214"/>
      <w:r>
        <w:rPr>
          <w:rFonts w:hint="eastAsia" w:ascii="仿宋" w:hAnsi="仿宋" w:eastAsia="仿宋" w:cs="仿宋"/>
          <w:b/>
          <w:sz w:val="24"/>
        </w:rPr>
        <w:t>4.</w:t>
      </w:r>
      <w:r>
        <w:rPr>
          <w:rFonts w:ascii="仿宋" w:hAnsi="仿宋" w:eastAsia="仿宋" w:cs="仿宋"/>
          <w:b/>
          <w:sz w:val="24"/>
        </w:rPr>
        <w:t>6</w:t>
      </w:r>
      <w:r>
        <w:rPr>
          <w:rFonts w:hint="eastAsia" w:ascii="仿宋" w:hAnsi="仿宋" w:eastAsia="仿宋" w:cs="仿宋"/>
          <w:b/>
          <w:sz w:val="24"/>
        </w:rPr>
        <w:t>报告期融资情况</w:t>
      </w:r>
      <w:bookmarkEnd w:id="13"/>
    </w:p>
    <w:p>
      <w:pPr>
        <w:adjustRightInd w:val="0"/>
        <w:snapToGrid w:val="0"/>
        <w:spacing w:line="440" w:lineRule="exact"/>
        <w:ind w:firstLine="6240" w:firstLineChars="2600"/>
        <w:jc w:val="right"/>
        <w:rPr>
          <w:rFonts w:ascii="仿宋" w:hAnsi="仿宋" w:eastAsia="仿宋" w:cs="仿宋"/>
          <w:sz w:val="24"/>
        </w:rPr>
      </w:pPr>
      <w:r>
        <w:rPr>
          <w:rFonts w:hint="eastAsia" w:ascii="仿宋" w:hAnsi="仿宋" w:eastAsia="仿宋" w:cs="仿宋"/>
          <w:sz w:val="24"/>
        </w:rPr>
        <w:t>单位：人民币元</w:t>
      </w:r>
    </w:p>
    <w:tbl>
      <w:tblPr>
        <w:tblStyle w:val="11"/>
        <w:tblW w:w="8999" w:type="dxa"/>
        <w:tblInd w:w="-5" w:type="dxa"/>
        <w:tblLayout w:type="fixed"/>
        <w:tblCellMar>
          <w:top w:w="0" w:type="dxa"/>
          <w:left w:w="30" w:type="dxa"/>
          <w:bottom w:w="0" w:type="dxa"/>
          <w:right w:w="30" w:type="dxa"/>
        </w:tblCellMar>
      </w:tblPr>
      <w:tblGrid>
        <w:gridCol w:w="632"/>
        <w:gridCol w:w="3167"/>
        <w:gridCol w:w="2433"/>
        <w:gridCol w:w="2767"/>
      </w:tblGrid>
      <w:tr>
        <w:tblPrEx>
          <w:tblLayout w:type="fixed"/>
          <w:tblCellMar>
            <w:top w:w="0" w:type="dxa"/>
            <w:left w:w="30" w:type="dxa"/>
            <w:bottom w:w="0" w:type="dxa"/>
            <w:right w:w="30" w:type="dxa"/>
          </w:tblCellMar>
        </w:tblPrEx>
        <w:trPr>
          <w:trHeight w:val="375" w:hRule="atLeast"/>
        </w:trPr>
        <w:tc>
          <w:tcPr>
            <w:tcW w:w="63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ascii="仿宋" w:hAnsi="仿宋" w:eastAsia="仿宋" w:cs="仿宋"/>
                <w:sz w:val="24"/>
              </w:rPr>
              <w:t>序号</w:t>
            </w:r>
          </w:p>
        </w:tc>
        <w:tc>
          <w:tcPr>
            <w:tcW w:w="3167"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项目</w:t>
            </w:r>
          </w:p>
        </w:tc>
        <w:tc>
          <w:tcPr>
            <w:tcW w:w="243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金额（元）</w:t>
            </w:r>
          </w:p>
        </w:tc>
        <w:tc>
          <w:tcPr>
            <w:tcW w:w="2767"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占资产净值比例（％）</w:t>
            </w:r>
          </w:p>
        </w:tc>
      </w:tr>
      <w:tr>
        <w:tblPrEx>
          <w:tblLayout w:type="fixed"/>
          <w:tblCellMar>
            <w:top w:w="0" w:type="dxa"/>
            <w:left w:w="30" w:type="dxa"/>
            <w:bottom w:w="0" w:type="dxa"/>
            <w:right w:w="30" w:type="dxa"/>
          </w:tblCellMar>
        </w:tblPrEx>
        <w:trPr>
          <w:trHeight w:val="295" w:hRule="atLeast"/>
        </w:trPr>
        <w:tc>
          <w:tcPr>
            <w:tcW w:w="63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31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报告期末质押式回购余额</w:t>
            </w:r>
          </w:p>
        </w:tc>
        <w:tc>
          <w:tcPr>
            <w:tcW w:w="24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400,072,127.67</w:t>
            </w:r>
          </w:p>
        </w:tc>
        <w:tc>
          <w:tcPr>
            <w:tcW w:w="27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6.15%</w:t>
            </w:r>
          </w:p>
        </w:tc>
      </w:tr>
      <w:tr>
        <w:tblPrEx>
          <w:tblLayout w:type="fixed"/>
          <w:tblCellMar>
            <w:top w:w="0" w:type="dxa"/>
            <w:left w:w="30" w:type="dxa"/>
            <w:bottom w:w="0" w:type="dxa"/>
            <w:right w:w="30" w:type="dxa"/>
          </w:tblCellMar>
        </w:tblPrEx>
        <w:trPr>
          <w:trHeight w:val="295" w:hRule="atLeast"/>
        </w:trPr>
        <w:tc>
          <w:tcPr>
            <w:tcW w:w="63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2</w:t>
            </w:r>
          </w:p>
        </w:tc>
        <w:tc>
          <w:tcPr>
            <w:tcW w:w="31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报告期末同业拆入余额</w:t>
            </w:r>
          </w:p>
        </w:tc>
        <w:tc>
          <w:tcPr>
            <w:tcW w:w="24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0.00</w:t>
            </w:r>
          </w:p>
        </w:tc>
        <w:tc>
          <w:tcPr>
            <w:tcW w:w="27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0.00%</w:t>
            </w:r>
          </w:p>
        </w:tc>
      </w:tr>
      <w:tr>
        <w:tblPrEx>
          <w:tblLayout w:type="fixed"/>
          <w:tblCellMar>
            <w:top w:w="0" w:type="dxa"/>
            <w:left w:w="30" w:type="dxa"/>
            <w:bottom w:w="0" w:type="dxa"/>
            <w:right w:w="30" w:type="dxa"/>
          </w:tblCellMar>
        </w:tblPrEx>
        <w:trPr>
          <w:trHeight w:val="295" w:hRule="atLeast"/>
        </w:trPr>
        <w:tc>
          <w:tcPr>
            <w:tcW w:w="63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3</w:t>
            </w:r>
          </w:p>
        </w:tc>
        <w:tc>
          <w:tcPr>
            <w:tcW w:w="31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其他</w:t>
            </w:r>
          </w:p>
        </w:tc>
        <w:tc>
          <w:tcPr>
            <w:tcW w:w="24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0.00</w:t>
            </w:r>
          </w:p>
        </w:tc>
        <w:tc>
          <w:tcPr>
            <w:tcW w:w="27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0.00%</w:t>
            </w:r>
          </w:p>
        </w:tc>
      </w:tr>
    </w:tbl>
    <w:p>
      <w:pPr>
        <w:adjustRightInd w:val="0"/>
        <w:snapToGrid w:val="0"/>
        <w:spacing w:line="440" w:lineRule="exact"/>
        <w:outlineLvl w:val="2"/>
        <w:rPr>
          <w:rFonts w:ascii="仿宋" w:hAnsi="仿宋" w:eastAsia="仿宋" w:cs="仿宋"/>
          <w:b/>
          <w:sz w:val="24"/>
        </w:rPr>
      </w:pPr>
      <w:bookmarkStart w:id="14" w:name="_Toc481074947"/>
      <w:bookmarkStart w:id="15" w:name="_Toc763043656"/>
      <w:r>
        <w:rPr>
          <w:rFonts w:hint="eastAsia" w:ascii="仿宋" w:hAnsi="仿宋" w:eastAsia="仿宋" w:cs="仿宋"/>
          <w:b/>
          <w:sz w:val="24"/>
        </w:rPr>
        <w:t>4.</w:t>
      </w:r>
      <w:r>
        <w:rPr>
          <w:rFonts w:ascii="仿宋" w:hAnsi="仿宋" w:eastAsia="仿宋" w:cs="仿宋"/>
          <w:b/>
          <w:sz w:val="24"/>
        </w:rPr>
        <w:t>7</w:t>
      </w:r>
      <w:r>
        <w:rPr>
          <w:rFonts w:hint="eastAsia" w:ascii="仿宋" w:hAnsi="仿宋" w:eastAsia="仿宋" w:cs="仿宋"/>
          <w:b/>
          <w:sz w:val="24"/>
        </w:rPr>
        <w:t>报告期末投资非标准化债权资产</w:t>
      </w:r>
      <w:bookmarkEnd w:id="14"/>
      <w:r>
        <w:rPr>
          <w:rFonts w:hint="eastAsia" w:ascii="仿宋" w:hAnsi="仿宋" w:eastAsia="仿宋" w:cs="仿宋"/>
          <w:b/>
          <w:sz w:val="24"/>
        </w:rPr>
        <w:t>情况</w:t>
      </w:r>
      <w:bookmarkEnd w:id="15"/>
    </w:p>
    <w:p>
      <w:pPr>
        <w:adjustRightInd w:val="0"/>
        <w:snapToGrid w:val="0"/>
        <w:spacing w:line="380" w:lineRule="exact"/>
        <w:ind w:firstLine="6720" w:firstLineChars="2800"/>
        <w:rPr>
          <w:rFonts w:ascii="仿宋" w:hAnsi="仿宋" w:eastAsia="仿宋" w:cs="仿宋"/>
          <w:sz w:val="24"/>
        </w:rPr>
      </w:pPr>
      <w:r>
        <w:rPr>
          <w:rFonts w:hint="eastAsia" w:ascii="仿宋" w:hAnsi="仿宋" w:eastAsia="仿宋" w:cs="仿宋"/>
          <w:sz w:val="24"/>
        </w:rPr>
        <w:t>单位：人民币元</w:t>
      </w:r>
    </w:p>
    <w:tbl>
      <w:tblPr>
        <w:tblStyle w:val="11"/>
        <w:tblW w:w="8994"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330"/>
        <w:gridCol w:w="1569"/>
        <w:gridCol w:w="1041"/>
        <w:gridCol w:w="1833"/>
        <w:gridCol w:w="802"/>
        <w:gridCol w:w="970"/>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ascii="仿宋" w:hAnsi="仿宋" w:eastAsia="仿宋" w:cs="仿宋"/>
                <w:sz w:val="24"/>
              </w:rPr>
              <w:t xml:space="preserve">序号 </w:t>
            </w: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融资客户</w:t>
            </w:r>
          </w:p>
        </w:tc>
        <w:tc>
          <w:tcPr>
            <w:tcW w:w="15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项目名称</w:t>
            </w:r>
          </w:p>
        </w:tc>
        <w:tc>
          <w:tcPr>
            <w:tcW w:w="10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资产到期日</w:t>
            </w:r>
          </w:p>
        </w:tc>
        <w:tc>
          <w:tcPr>
            <w:tcW w:w="18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资产价值（元）</w:t>
            </w:r>
          </w:p>
        </w:tc>
        <w:tc>
          <w:tcPr>
            <w:tcW w:w="8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交易结构</w:t>
            </w: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color w:val="FF0000"/>
                <w:sz w:val="24"/>
              </w:rPr>
            </w:pPr>
            <w:r>
              <w:rPr>
                <w:rFonts w:hint="eastAsia" w:ascii="仿宋" w:hAnsi="仿宋" w:eastAsia="仿宋" w:cs="仿宋"/>
                <w:sz w:val="24"/>
              </w:rPr>
              <w:t>收益分配方式</w:t>
            </w:r>
          </w:p>
        </w:tc>
        <w:tc>
          <w:tcPr>
            <w:tcW w:w="8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风险状况</w:t>
            </w:r>
          </w:p>
        </w:tc>
      </w:tr>
    </w:tbl>
    <w:p>
      <w:pPr>
        <w:adjustRightInd w:val="0"/>
        <w:snapToGrid w:val="0"/>
        <w:spacing w:line="380" w:lineRule="exact"/>
        <w:rPr>
          <w:rFonts w:ascii="仿宋" w:hAnsi="仿宋" w:eastAsia="仿宋" w:cs="仿宋"/>
          <w:color w:val="0000FF"/>
          <w:kern w:val="0"/>
          <w:sz w:val="24"/>
          <w:highlight w:val="yellow"/>
        </w:rPr>
      </w:pPr>
    </w:p>
    <w:p>
      <w:pPr>
        <w:pStyle w:val="2"/>
        <w:adjustRightInd w:val="0"/>
        <w:snapToGrid w:val="0"/>
        <w:spacing w:line="560" w:lineRule="exact"/>
        <w:jc w:val="center"/>
        <w:rPr>
          <w:rFonts w:ascii="仿宋" w:hAnsi="仿宋" w:eastAsia="仿宋" w:cs="仿宋"/>
          <w:sz w:val="24"/>
        </w:rPr>
      </w:pPr>
      <w:bookmarkStart w:id="16" w:name="_Toc1849870155"/>
      <w:r>
        <w:rPr>
          <w:rFonts w:hint="eastAsia" w:ascii="仿宋" w:hAnsi="仿宋" w:eastAsia="仿宋" w:cs="仿宋"/>
          <w:sz w:val="24"/>
        </w:rPr>
        <w:t>§5 产品份额变动</w:t>
      </w:r>
      <w:bookmarkEnd w:id="16"/>
    </w:p>
    <w:p>
      <w:pPr>
        <w:adjustRightInd w:val="0"/>
        <w:snapToGrid w:val="0"/>
        <w:spacing w:line="440" w:lineRule="exact"/>
        <w:ind w:firstLine="6240" w:firstLineChars="2600"/>
        <w:jc w:val="right"/>
        <w:rPr>
          <w:rFonts w:ascii="仿宋" w:hAnsi="仿宋" w:eastAsia="仿宋" w:cs="仿宋"/>
          <w:sz w:val="24"/>
        </w:rPr>
      </w:pPr>
      <w:r>
        <w:rPr>
          <w:rFonts w:hint="eastAsia" w:ascii="仿宋" w:hAnsi="仿宋" w:eastAsia="仿宋" w:cs="仿宋"/>
          <w:sz w:val="24"/>
        </w:rPr>
        <w:t>单位：份</w:t>
      </w:r>
    </w:p>
    <w:tbl>
      <w:tblPr>
        <w:tblStyle w:val="11"/>
        <w:tblW w:w="8987"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1"/>
        <w:gridCol w:w="4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cs="仿宋"/>
                <w:color w:val="000000"/>
                <w:sz w:val="24"/>
              </w:rPr>
            </w:pPr>
            <w:r>
              <w:rPr>
                <w:rFonts w:hint="eastAsia" w:ascii="仿宋" w:hAnsi="仿宋" w:eastAsia="仿宋" w:cs="仿宋"/>
                <w:color w:val="000000"/>
                <w:sz w:val="24"/>
              </w:rPr>
              <w:t>报告期期初产品份额总额</w:t>
            </w:r>
          </w:p>
        </w:tc>
        <w:tc>
          <w:tcPr>
            <w:tcW w:w="4596" w:type="dxa"/>
            <w:tcBorders>
              <w:top w:val="single" w:color="auto" w:sz="4" w:space="0"/>
              <w:left w:val="single" w:color="auto" w:sz="4" w:space="0"/>
              <w:bottom w:val="single" w:color="auto" w:sz="4" w:space="0"/>
              <w:right w:val="single" w:color="auto" w:sz="4" w:space="0"/>
            </w:tcBorders>
          </w:tcPr>
          <w:p>
            <w:pPr>
              <w:adjustRightInd w:val="0"/>
              <w:snapToGrid w:val="0"/>
              <w:jc w:val="right"/>
              <w:rPr>
                <w:rFonts w:ascii="仿宋" w:hAnsi="仿宋" w:eastAsia="仿宋" w:cs="仿宋"/>
                <w:color w:val="000000"/>
                <w:sz w:val="24"/>
              </w:rPr>
            </w:pPr>
            <w:r>
              <w:rPr>
                <w:rFonts w:hint="eastAsia" w:ascii="仿宋" w:hAnsi="仿宋" w:eastAsia="仿宋" w:cs="仿宋"/>
                <w:color w:val="000000"/>
                <w:sz w:val="24"/>
              </w:rPr>
              <w:t>3,970,457,446.53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91"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cs="仿宋"/>
                <w:color w:val="000000"/>
                <w:sz w:val="24"/>
              </w:rPr>
            </w:pPr>
            <w:r>
              <w:rPr>
                <w:rFonts w:hint="eastAsia" w:ascii="仿宋" w:hAnsi="仿宋" w:eastAsia="仿宋" w:cs="仿宋"/>
                <w:color w:val="000000"/>
                <w:sz w:val="24"/>
              </w:rPr>
              <w:t>报告期期末产品份额总额</w:t>
            </w:r>
          </w:p>
        </w:tc>
        <w:tc>
          <w:tcPr>
            <w:tcW w:w="4596" w:type="dxa"/>
            <w:tcBorders>
              <w:top w:val="single" w:color="auto" w:sz="4" w:space="0"/>
              <w:left w:val="single" w:color="auto" w:sz="4" w:space="0"/>
              <w:bottom w:val="single" w:color="auto" w:sz="4" w:space="0"/>
              <w:right w:val="single" w:color="auto" w:sz="4" w:space="0"/>
            </w:tcBorders>
          </w:tcPr>
          <w:p>
            <w:pPr>
              <w:adjustRightInd w:val="0"/>
              <w:snapToGrid w:val="0"/>
              <w:jc w:val="right"/>
              <w:rPr>
                <w:rFonts w:ascii="仿宋" w:hAnsi="仿宋" w:eastAsia="仿宋" w:cs="仿宋"/>
                <w:color w:val="000000"/>
                <w:sz w:val="24"/>
              </w:rPr>
            </w:pPr>
            <w:r>
              <w:rPr>
                <w:rFonts w:hint="eastAsia" w:ascii="仿宋" w:hAnsi="仿宋" w:eastAsia="仿宋" w:cs="仿宋"/>
                <w:color w:val="000000"/>
                <w:sz w:val="24"/>
              </w:rPr>
              <w:t>6,125,422,747.40</w:t>
            </w:r>
          </w:p>
        </w:tc>
      </w:tr>
    </w:tbl>
    <w:p>
      <w:pPr>
        <w:widowControl/>
        <w:adjustRightInd w:val="0"/>
        <w:snapToGrid w:val="0"/>
        <w:jc w:val="left"/>
        <w:rPr>
          <w:rFonts w:ascii="仿宋" w:hAnsi="仿宋" w:eastAsia="仿宋" w:cs="仿宋"/>
          <w:color w:val="404040"/>
          <w:kern w:val="0"/>
          <w:sz w:val="24"/>
        </w:rPr>
      </w:pPr>
    </w:p>
    <w:p>
      <w:pPr>
        <w:pStyle w:val="2"/>
        <w:adjustRightInd w:val="0"/>
        <w:snapToGrid w:val="0"/>
        <w:spacing w:line="560" w:lineRule="exact"/>
        <w:jc w:val="center"/>
        <w:rPr>
          <w:rFonts w:ascii="仿宋" w:hAnsi="仿宋" w:eastAsia="仿宋" w:cs="仿宋"/>
          <w:sz w:val="24"/>
        </w:rPr>
      </w:pPr>
      <w:bookmarkStart w:id="17" w:name="_Toc1646937466"/>
      <w:r>
        <w:rPr>
          <w:rFonts w:hint="eastAsia" w:ascii="仿宋" w:hAnsi="仿宋" w:eastAsia="仿宋" w:cs="仿宋"/>
          <w:sz w:val="24"/>
        </w:rPr>
        <w:t>§6 托管人报告</w:t>
      </w:r>
      <w:bookmarkEnd w:id="17"/>
    </w:p>
    <w:p>
      <w:pPr>
        <w:adjustRightInd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pPr>
        <w:adjustRightInd w:val="0"/>
        <w:snapToGrid w:val="0"/>
        <w:spacing w:line="420" w:lineRule="exact"/>
        <w:ind w:firstLine="480" w:firstLineChars="200"/>
        <w:rPr>
          <w:rFonts w:ascii="仿宋" w:hAnsi="仿宋" w:eastAsia="仿宋" w:cs="仿宋"/>
          <w:sz w:val="24"/>
        </w:rPr>
      </w:pPr>
      <w:r>
        <w:rPr>
          <w:rFonts w:hint="eastAsia" w:ascii="仿宋" w:hAnsi="仿宋" w:eastAsia="仿宋" w:cs="仿宋"/>
          <w:sz w:val="24"/>
        </w:rPr>
        <w:t>本托管人复核了本产品报告中的财务指标、净值表现和投资组合报告等内容。经复核，本产品报告中披露的理财产品财务数据核对一致。</w:t>
      </w:r>
    </w:p>
    <w:p>
      <w:pPr>
        <w:adjustRightInd w:val="0"/>
        <w:snapToGrid w:val="0"/>
        <w:rPr>
          <w:rFonts w:ascii="仿宋" w:hAnsi="仿宋" w:eastAsia="仿宋" w:cs="仿宋"/>
          <w:bCs/>
          <w:sz w:val="24"/>
        </w:rPr>
      </w:pPr>
    </w:p>
    <w:p>
      <w:pPr>
        <w:pStyle w:val="2"/>
        <w:adjustRightInd w:val="0"/>
        <w:snapToGrid w:val="0"/>
        <w:spacing w:line="560" w:lineRule="exact"/>
        <w:jc w:val="center"/>
        <w:rPr>
          <w:rFonts w:ascii="仿宋" w:hAnsi="仿宋" w:eastAsia="仿宋" w:cs="仿宋"/>
          <w:sz w:val="24"/>
        </w:rPr>
      </w:pPr>
      <w:bookmarkStart w:id="18" w:name="_Toc1161264879"/>
      <w:r>
        <w:rPr>
          <w:rFonts w:hint="eastAsia" w:ascii="仿宋" w:hAnsi="仿宋" w:eastAsia="仿宋" w:cs="仿宋"/>
          <w:sz w:val="24"/>
        </w:rPr>
        <w:t>§7 报告期内关联交易情况</w:t>
      </w:r>
      <w:bookmarkEnd w:id="18"/>
    </w:p>
    <w:p>
      <w:pPr>
        <w:adjustRightInd w:val="0"/>
        <w:snapToGrid w:val="0"/>
        <w:spacing w:line="440" w:lineRule="exact"/>
        <w:outlineLvl w:val="2"/>
        <w:rPr>
          <w:rFonts w:ascii="仿宋" w:hAnsi="仿宋" w:eastAsia="仿宋" w:cs="仿宋"/>
          <w:b/>
          <w:sz w:val="24"/>
        </w:rPr>
      </w:pPr>
      <w:bookmarkStart w:id="19" w:name="_Toc1047437417"/>
      <w:r>
        <w:rPr>
          <w:rFonts w:hint="eastAsia" w:ascii="仿宋" w:hAnsi="仿宋" w:eastAsia="仿宋" w:cs="仿宋"/>
          <w:b/>
          <w:sz w:val="24"/>
        </w:rPr>
        <w:t>7.1 产品投资于关联方发行或承销的证券、资产管理产品，或其他关联交易</w:t>
      </w:r>
      <w:bookmarkEnd w:id="19"/>
    </w:p>
    <w:p>
      <w:pPr>
        <w:adjustRightInd w:val="0"/>
        <w:snapToGrid w:val="0"/>
        <w:spacing w:line="440" w:lineRule="exact"/>
        <w:ind w:firstLine="6240" w:firstLineChars="2600"/>
        <w:jc w:val="right"/>
        <w:rPr>
          <w:rFonts w:ascii="仿宋" w:hAnsi="仿宋" w:eastAsia="仿宋" w:cs="仿宋"/>
          <w:b/>
          <w:sz w:val="24"/>
        </w:rPr>
      </w:pPr>
      <w:r>
        <w:rPr>
          <w:rFonts w:hint="eastAsia" w:ascii="仿宋" w:hAnsi="仿宋" w:eastAsia="仿宋" w:cs="仿宋"/>
          <w:sz w:val="24"/>
        </w:rPr>
        <w:t>单位：元、份</w:t>
      </w:r>
    </w:p>
    <w:tbl>
      <w:tblPr>
        <w:tblStyle w:val="12"/>
        <w:tblW w:w="8994" w:type="dxa"/>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4"/>
        <w:gridCol w:w="1605"/>
        <w:gridCol w:w="1401"/>
        <w:gridCol w:w="791"/>
        <w:gridCol w:w="754"/>
        <w:gridCol w:w="1904"/>
        <w:gridCol w:w="1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34" w:type="dxa"/>
            <w:vAlign w:val="center"/>
          </w:tcPr>
          <w:p>
            <w:pPr>
              <w:adjustRightInd w:val="0"/>
              <w:snapToGrid w:val="0"/>
              <w:jc w:val="center"/>
              <w:rPr>
                <w:rFonts w:ascii="仿宋" w:hAnsi="仿宋" w:eastAsia="仿宋" w:cs="仿宋"/>
                <w:color w:val="000000"/>
                <w:kern w:val="0"/>
                <w:sz w:val="24"/>
                <w:szCs w:val="20"/>
              </w:rPr>
            </w:pPr>
            <w:r>
              <w:rPr>
                <w:rFonts w:ascii="仿宋" w:hAnsi="仿宋" w:eastAsia="仿宋" w:cs="仿宋"/>
                <w:color w:val="000000"/>
                <w:sz w:val="24"/>
              </w:rPr>
              <w:t>序号</w:t>
            </w:r>
          </w:p>
        </w:tc>
        <w:tc>
          <w:tcPr>
            <w:tcW w:w="16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关联方</w:t>
            </w:r>
          </w:p>
        </w:tc>
        <w:tc>
          <w:tcPr>
            <w:tcW w:w="140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资产名称</w:t>
            </w:r>
          </w:p>
        </w:tc>
        <w:tc>
          <w:tcPr>
            <w:tcW w:w="791"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资产类型</w:t>
            </w:r>
          </w:p>
        </w:tc>
        <w:tc>
          <w:tcPr>
            <w:tcW w:w="75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交易类型</w:t>
            </w:r>
          </w:p>
        </w:tc>
        <w:tc>
          <w:tcPr>
            <w:tcW w:w="1904"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交易金额（元）</w:t>
            </w:r>
          </w:p>
        </w:tc>
        <w:tc>
          <w:tcPr>
            <w:tcW w:w="1905"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份额</w:t>
            </w:r>
          </w:p>
        </w:tc>
      </w:tr>
    </w:tbl>
    <w:p>
      <w:pPr>
        <w:adjustRightInd w:val="0"/>
        <w:snapToGrid w:val="0"/>
        <w:spacing w:line="440" w:lineRule="exact"/>
        <w:outlineLvl w:val="2"/>
        <w:rPr>
          <w:rFonts w:ascii="仿宋" w:hAnsi="仿宋" w:eastAsia="仿宋" w:cs="仿宋"/>
          <w:b/>
          <w:sz w:val="24"/>
        </w:rPr>
      </w:pPr>
      <w:bookmarkStart w:id="20" w:name="_Toc1357213060"/>
      <w:r>
        <w:rPr>
          <w:rFonts w:hint="eastAsia" w:ascii="仿宋" w:hAnsi="仿宋" w:eastAsia="仿宋" w:cs="仿宋"/>
          <w:b/>
          <w:sz w:val="24"/>
        </w:rPr>
        <w:t>7.2 产品向关联方支付的费用</w:t>
      </w:r>
      <w:bookmarkEnd w:id="20"/>
    </w:p>
    <w:tbl>
      <w:tblPr>
        <w:tblStyle w:val="12"/>
        <w:tblW w:w="8994" w:type="dxa"/>
        <w:tblInd w:w="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2958"/>
        <w:gridCol w:w="2202"/>
        <w:gridCol w:w="3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4" w:type="dxa"/>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序号</w:t>
            </w:r>
          </w:p>
        </w:tc>
        <w:tc>
          <w:tcPr>
            <w:tcW w:w="2958"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关联方</w:t>
            </w:r>
          </w:p>
        </w:tc>
        <w:tc>
          <w:tcPr>
            <w:tcW w:w="2202"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费用类型</w:t>
            </w:r>
          </w:p>
        </w:tc>
        <w:tc>
          <w:tcPr>
            <w:tcW w:w="3140"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交易金额（元）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7" w:hRule="atLeast"/>
        </w:trPr>
        <w:tc>
          <w:tcPr>
            <w:tcW w:w="694" w:type="dxa"/>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1</w:t>
            </w:r>
          </w:p>
        </w:tc>
        <w:tc>
          <w:tcPr>
            <w:tcW w:w="2958"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杭州银行股份有限公司</w:t>
            </w:r>
          </w:p>
        </w:tc>
        <w:tc>
          <w:tcPr>
            <w:tcW w:w="2202"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托管费</w:t>
            </w:r>
          </w:p>
        </w:tc>
        <w:tc>
          <w:tcPr>
            <w:tcW w:w="3140" w:type="dxa"/>
            <w:vAlign w:val="center"/>
          </w:tcPr>
          <w:p>
            <w:pPr>
              <w:adjustRightInd w:val="0"/>
              <w:snapToGrid w:val="0"/>
              <w:jc w:val="center"/>
              <w:rPr>
                <w:rFonts w:ascii="仿宋" w:hAnsi="仿宋" w:eastAsia="仿宋" w:cs="仿宋"/>
                <w:color w:val="000000"/>
                <w:kern w:val="0"/>
                <w:sz w:val="24"/>
                <w:szCs w:val="20"/>
              </w:rPr>
            </w:pPr>
            <w:r>
              <w:rPr>
                <w:rFonts w:hint="eastAsia" w:ascii="仿宋" w:hAnsi="仿宋" w:eastAsia="仿宋" w:cs="仿宋"/>
                <w:color w:val="000000"/>
                <w:kern w:val="0"/>
                <w:sz w:val="24"/>
              </w:rPr>
              <w:t>306,085.78</w:t>
            </w:r>
          </w:p>
        </w:tc>
      </w:tr>
    </w:tbl>
    <w:p>
      <w:pPr>
        <w:widowControl/>
        <w:adjustRightInd w:val="0"/>
        <w:snapToGrid w:val="0"/>
        <w:ind w:firstLine="480" w:firstLineChars="200"/>
        <w:jc w:val="left"/>
        <w:rPr>
          <w:rFonts w:ascii="仿宋" w:hAnsi="仿宋" w:eastAsia="仿宋" w:cs="仿宋"/>
          <w:color w:val="404040"/>
          <w:kern w:val="0"/>
          <w:sz w:val="24"/>
        </w:rPr>
      </w:pPr>
    </w:p>
    <w:p>
      <w:pPr>
        <w:pStyle w:val="2"/>
        <w:adjustRightInd w:val="0"/>
        <w:snapToGrid w:val="0"/>
        <w:spacing w:line="560" w:lineRule="atLeast"/>
        <w:jc w:val="center"/>
        <w:rPr>
          <w:rFonts w:ascii="仿宋" w:hAnsi="仿宋" w:eastAsia="仿宋" w:cs="仿宋"/>
          <w:bCs/>
          <w:sz w:val="24"/>
        </w:rPr>
      </w:pPr>
      <w:bookmarkStart w:id="21" w:name="_Toc108600986"/>
      <w:r>
        <w:rPr>
          <w:rFonts w:hint="eastAsia" w:ascii="仿宋" w:hAnsi="仿宋" w:eastAsia="仿宋" w:cs="仿宋"/>
          <w:bCs/>
          <w:sz w:val="24"/>
        </w:rPr>
        <w:t>§</w:t>
      </w:r>
      <w:r>
        <w:rPr>
          <w:rFonts w:ascii="仿宋" w:hAnsi="仿宋" w:eastAsia="仿宋" w:cs="仿宋"/>
          <w:bCs/>
          <w:sz w:val="24"/>
        </w:rPr>
        <w:t>8</w:t>
      </w:r>
      <w:r>
        <w:rPr>
          <w:rFonts w:hint="eastAsia" w:ascii="仿宋" w:hAnsi="仿宋" w:eastAsia="仿宋" w:cs="仿宋"/>
          <w:bCs/>
          <w:sz w:val="24"/>
        </w:rPr>
        <w:t xml:space="preserve"> 投资账户信息</w:t>
      </w:r>
      <w:bookmarkEnd w:id="21"/>
    </w:p>
    <w:p/>
    <w:tbl>
      <w:tblPr>
        <w:tblStyle w:val="12"/>
        <w:tblW w:w="8983" w:type="dxa"/>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87"/>
        <w:gridCol w:w="6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6" w:hRule="atLeast"/>
        </w:trPr>
        <w:tc>
          <w:tcPr>
            <w:tcW w:w="2487" w:type="dxa"/>
          </w:tcPr>
          <w:p>
            <w:pPr>
              <w:widowControl/>
              <w:adjustRightInd w:val="0"/>
              <w:snapToGrid w:val="0"/>
              <w:jc w:val="left"/>
              <w:rPr>
                <w:rFonts w:ascii="仿宋" w:hAnsi="仿宋" w:eastAsia="仿宋" w:cs="仿宋"/>
                <w:color w:val="000000"/>
                <w:sz w:val="24"/>
              </w:rPr>
            </w:pPr>
            <w:r>
              <w:rPr>
                <w:rFonts w:hint="eastAsia" w:ascii="仿宋" w:hAnsi="仿宋" w:eastAsia="仿宋" w:cs="仿宋"/>
                <w:color w:val="000000"/>
                <w:sz w:val="24"/>
              </w:rPr>
              <w:t>户名</w:t>
            </w:r>
          </w:p>
        </w:tc>
        <w:tc>
          <w:tcPr>
            <w:tcW w:w="6496" w:type="dxa"/>
          </w:tcPr>
          <w:p>
            <w:pPr>
              <w:widowControl/>
              <w:adjustRightInd w:val="0"/>
              <w:snapToGrid w:val="0"/>
              <w:jc w:val="left"/>
              <w:rPr>
                <w:rFonts w:ascii="仿宋" w:hAnsi="仿宋" w:eastAsia="仿宋" w:cs="仿宋"/>
                <w:color w:val="000000"/>
                <w:sz w:val="24"/>
              </w:rPr>
            </w:pPr>
            <w:r>
              <w:rPr>
                <w:rFonts w:hint="eastAsia" w:ascii="仿宋" w:hAnsi="仿宋" w:eastAsia="仿宋" w:cs="仿宋"/>
                <w:color w:val="000000"/>
                <w:sz w:val="24"/>
              </w:rPr>
              <w:t>杭银理财有限责任公司幸福99杭银理财周添益第2101期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9" w:hRule="atLeast"/>
        </w:trPr>
        <w:tc>
          <w:tcPr>
            <w:tcW w:w="2487" w:type="dxa"/>
          </w:tcPr>
          <w:p>
            <w:pPr>
              <w:widowControl/>
              <w:adjustRightInd w:val="0"/>
              <w:snapToGrid w:val="0"/>
              <w:jc w:val="left"/>
              <w:rPr>
                <w:rFonts w:ascii="仿宋" w:hAnsi="仿宋" w:eastAsia="仿宋" w:cs="仿宋"/>
                <w:color w:val="000000"/>
                <w:sz w:val="24"/>
              </w:rPr>
            </w:pPr>
            <w:r>
              <w:rPr>
                <w:rFonts w:hint="eastAsia" w:ascii="仿宋" w:hAnsi="仿宋" w:eastAsia="仿宋" w:cs="仿宋"/>
                <w:color w:val="000000"/>
                <w:sz w:val="24"/>
              </w:rPr>
              <w:t>账号</w:t>
            </w:r>
          </w:p>
        </w:tc>
        <w:tc>
          <w:tcPr>
            <w:tcW w:w="6496" w:type="dxa"/>
          </w:tcPr>
          <w:p>
            <w:pPr>
              <w:widowControl/>
              <w:adjustRightInd w:val="0"/>
              <w:snapToGrid w:val="0"/>
              <w:jc w:val="left"/>
              <w:rPr>
                <w:rFonts w:ascii="仿宋" w:hAnsi="仿宋" w:eastAsia="仿宋" w:cs="仿宋"/>
                <w:color w:val="000000"/>
                <w:sz w:val="24"/>
              </w:rPr>
            </w:pPr>
            <w:r>
              <w:rPr>
                <w:rFonts w:hint="eastAsia" w:ascii="仿宋" w:hAnsi="仿宋" w:eastAsia="仿宋" w:cs="仿宋"/>
                <w:color w:val="000000"/>
                <w:sz w:val="24"/>
              </w:rPr>
              <w:t>3301040160015309811-632101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3" w:hRule="atLeast"/>
        </w:trPr>
        <w:tc>
          <w:tcPr>
            <w:tcW w:w="2487" w:type="dxa"/>
          </w:tcPr>
          <w:p>
            <w:pPr>
              <w:widowControl/>
              <w:adjustRightInd w:val="0"/>
              <w:snapToGrid w:val="0"/>
              <w:jc w:val="left"/>
              <w:rPr>
                <w:rFonts w:ascii="仿宋" w:hAnsi="仿宋" w:eastAsia="仿宋" w:cs="仿宋"/>
                <w:color w:val="000000"/>
                <w:sz w:val="24"/>
              </w:rPr>
            </w:pPr>
            <w:r>
              <w:rPr>
                <w:rFonts w:hint="eastAsia" w:ascii="仿宋" w:hAnsi="仿宋" w:eastAsia="仿宋" w:cs="仿宋"/>
                <w:color w:val="000000"/>
                <w:sz w:val="24"/>
              </w:rPr>
              <w:t>开户行</w:t>
            </w:r>
          </w:p>
        </w:tc>
        <w:tc>
          <w:tcPr>
            <w:tcW w:w="6496" w:type="dxa"/>
          </w:tcPr>
          <w:p>
            <w:pPr>
              <w:widowControl/>
              <w:adjustRightInd w:val="0"/>
              <w:snapToGrid w:val="0"/>
              <w:jc w:val="left"/>
              <w:rPr>
                <w:rFonts w:ascii="仿宋" w:hAnsi="仿宋" w:eastAsia="仿宋" w:cs="仿宋"/>
                <w:color w:val="000000"/>
                <w:sz w:val="24"/>
              </w:rPr>
            </w:pPr>
            <w:r>
              <w:rPr>
                <w:rFonts w:hint="eastAsia" w:ascii="仿宋" w:hAnsi="仿宋" w:eastAsia="仿宋" w:cs="仿宋"/>
                <w:color w:val="000000"/>
                <w:sz w:val="24"/>
              </w:rPr>
              <w:t>杭州银行股份有限公司</w:t>
            </w:r>
          </w:p>
        </w:tc>
      </w:tr>
    </w:tbl>
    <w:p>
      <w:pPr>
        <w:widowControl/>
        <w:adjustRightInd w:val="0"/>
        <w:snapToGrid w:val="0"/>
        <w:ind w:firstLine="480" w:firstLineChars="200"/>
        <w:jc w:val="left"/>
        <w:rPr>
          <w:rFonts w:ascii="仿宋" w:hAnsi="仿宋" w:eastAsia="仿宋" w:cs="仿宋"/>
          <w:color w:val="404040"/>
          <w:kern w:val="0"/>
          <w:sz w:val="24"/>
        </w:rPr>
      </w:pPr>
    </w:p>
    <w:p>
      <w:pPr>
        <w:ind w:left="360"/>
        <w:jc w:val="right"/>
        <w:rPr>
          <w:rFonts w:ascii="仿宋" w:hAnsi="仿宋" w:eastAsia="仿宋" w:cs="仿宋"/>
          <w:sz w:val="24"/>
        </w:rPr>
      </w:pPr>
    </w:p>
    <w:p>
      <w:pPr>
        <w:ind w:left="360"/>
        <w:jc w:val="right"/>
        <w:rPr>
          <w:rFonts w:ascii="仿宋" w:hAnsi="仿宋" w:eastAsia="仿宋" w:cs="仿宋"/>
          <w:sz w:val="24"/>
        </w:rPr>
      </w:pPr>
      <w:r>
        <w:rPr>
          <w:rFonts w:hint="eastAsia" w:ascii="仿宋" w:hAnsi="仿宋" w:eastAsia="仿宋" w:cs="仿宋"/>
          <w:sz w:val="24"/>
        </w:rPr>
        <w:t>杭银理财有限责任公司</w:t>
      </w:r>
    </w:p>
    <w:p>
      <w:pPr>
        <w:jc w:val="right"/>
        <w:rPr>
          <w:sz w:val="24"/>
        </w:rPr>
      </w:pPr>
      <w:r>
        <w:rPr>
          <w:rFonts w:hint="eastAsia" w:ascii="仿宋" w:hAnsi="仿宋" w:eastAsia="仿宋" w:cs="仿宋"/>
          <w:sz w:val="24"/>
        </w:rPr>
        <w:t>2023年7月14日</w:t>
      </w:r>
    </w:p>
    <w:p/>
    <w:p/>
    <w:sectPr>
      <w:headerReference r:id="rId3" w:type="default"/>
      <w:pgSz w:w="11906" w:h="16838"/>
      <w:pgMar w:top="2551" w:right="1803" w:bottom="2551"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0000000000000000000"/>
    <w:charset w:val="86"/>
    <w:family w:val="roman"/>
    <w:pitch w:val="default"/>
    <w:sig w:usb0="00000000" w:usb1="00000000" w:usb2="0000000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41D4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4"/>
    <w:unhideWhenUsed/>
    <w:qFormat/>
    <w:uiPriority w:val="0"/>
    <w:pPr>
      <w:keepNext/>
      <w:keepLines/>
      <w:spacing w:line="400" w:lineRule="exact"/>
      <w:jc w:val="left"/>
      <w:outlineLvl w:val="1"/>
    </w:pPr>
    <w:rPr>
      <w:rFonts w:ascii="Arial" w:hAnsi="Arial" w:eastAsia="宋体"/>
      <w:b/>
    </w:rPr>
  </w:style>
  <w:style w:type="paragraph" w:styleId="3">
    <w:name w:val="heading 3"/>
    <w:basedOn w:val="1"/>
    <w:next w:val="1"/>
    <w:link w:val="15"/>
    <w:unhideWhenUsed/>
    <w:qFormat/>
    <w:uiPriority w:val="0"/>
    <w:pPr>
      <w:keepNext/>
      <w:keepLines/>
      <w:spacing w:line="400" w:lineRule="exact"/>
      <w:jc w:val="left"/>
      <w:outlineLvl w:val="2"/>
    </w:pPr>
    <w:rPr>
      <w:rFonts w:ascii="Times New Roman" w:hAnsi="Times New Roman" w:eastAsia="宋体"/>
      <w:b/>
    </w:rPr>
  </w:style>
  <w:style w:type="character" w:default="1" w:styleId="13">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4">
    <w:name w:val="Body Text"/>
    <w:basedOn w:val="1"/>
    <w:link w:val="16"/>
    <w:unhideWhenUsed/>
    <w:qFormat/>
    <w:uiPriority w:val="0"/>
    <w:pPr>
      <w:spacing w:after="120"/>
    </w:pPr>
    <w:rPr>
      <w:rFonts w:ascii="Times New Roman" w:hAnsi="Times New Roman" w:eastAsia="方正仿宋简体" w:cs="Times New Roman"/>
      <w:sz w:val="32"/>
      <w:szCs w:val="20"/>
    </w:rPr>
  </w:style>
  <w:style w:type="paragraph" w:styleId="5">
    <w:name w:val="toc 3"/>
    <w:basedOn w:val="1"/>
    <w:next w:val="1"/>
    <w:semiHidden/>
    <w:unhideWhenUsed/>
    <w:uiPriority w:val="39"/>
    <w:pPr>
      <w:ind w:left="840" w:leftChars="400"/>
    </w:pPr>
  </w:style>
  <w:style w:type="paragraph" w:styleId="6">
    <w:name w:val="Balloon Text"/>
    <w:basedOn w:val="1"/>
    <w:link w:val="19"/>
    <w:semiHidden/>
    <w:unhideWhenUsed/>
    <w:uiPriority w:val="99"/>
    <w:rPr>
      <w:sz w:val="18"/>
      <w:szCs w:val="18"/>
    </w:rPr>
  </w:style>
  <w:style w:type="paragraph" w:styleId="7">
    <w:name w:val="footer"/>
    <w:basedOn w:val="1"/>
    <w:link w:val="18"/>
    <w:unhideWhenUsed/>
    <w:uiPriority w:val="99"/>
    <w:pPr>
      <w:tabs>
        <w:tab w:val="center" w:pos="4153"/>
        <w:tab w:val="right" w:pos="8306"/>
      </w:tabs>
      <w:snapToGrid w:val="0"/>
      <w:jc w:val="left"/>
    </w:pPr>
    <w:rPr>
      <w:sz w:val="18"/>
      <w:szCs w:val="18"/>
    </w:rPr>
  </w:style>
  <w:style w:type="paragraph" w:styleId="8">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2"/>
    <w:basedOn w:val="1"/>
    <w:next w:val="1"/>
    <w:semiHidden/>
    <w:unhideWhenUsed/>
    <w:uiPriority w:val="39"/>
    <w:pPr>
      <w:ind w:left="420" w:leftChars="200"/>
    </w:pPr>
  </w:style>
  <w:style w:type="paragraph" w:styleId="10">
    <w:name w:val="Normal (Web)"/>
    <w:basedOn w:val="1"/>
    <w:unhideWhenUsed/>
    <w:qFormat/>
    <w:uiPriority w:val="0"/>
    <w:pPr>
      <w:widowControl/>
      <w:spacing w:before="100" w:beforeAutospacing="1" w:after="100" w:afterAutospacing="1"/>
    </w:pPr>
    <w:rPr>
      <w:rFonts w:ascii="宋体" w:hAnsi="宋体" w:eastAsia="宋体" w:cs="Times New Roman"/>
      <w:kern w:val="0"/>
      <w:sz w:val="24"/>
      <w:szCs w:val="20"/>
    </w:rPr>
  </w:style>
  <w:style w:type="table" w:styleId="12">
    <w:name w:val="Table Grid"/>
    <w:basedOn w:val="11"/>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4">
    <w:name w:val="标题 2 字符"/>
    <w:basedOn w:val="13"/>
    <w:link w:val="2"/>
    <w:uiPriority w:val="0"/>
    <w:rPr>
      <w:rFonts w:ascii="Arial" w:hAnsi="Arial" w:eastAsia="宋体"/>
      <w:b/>
    </w:rPr>
  </w:style>
  <w:style w:type="character" w:customStyle="1" w:styleId="15">
    <w:name w:val="标题 3 字符"/>
    <w:basedOn w:val="13"/>
    <w:link w:val="3"/>
    <w:uiPriority w:val="0"/>
    <w:rPr>
      <w:rFonts w:ascii="Times New Roman" w:hAnsi="Times New Roman" w:eastAsia="宋体"/>
      <w:b/>
    </w:rPr>
  </w:style>
  <w:style w:type="character" w:customStyle="1" w:styleId="16">
    <w:name w:val="正文文本 字符"/>
    <w:basedOn w:val="13"/>
    <w:link w:val="4"/>
    <w:qFormat/>
    <w:uiPriority w:val="0"/>
    <w:rPr>
      <w:rFonts w:ascii="Times New Roman" w:hAnsi="Times New Roman" w:eastAsia="方正仿宋简体" w:cs="Times New Roman"/>
      <w:sz w:val="32"/>
      <w:szCs w:val="20"/>
    </w:rPr>
  </w:style>
  <w:style w:type="character" w:customStyle="1" w:styleId="17">
    <w:name w:val="页眉 字符"/>
    <w:basedOn w:val="13"/>
    <w:link w:val="8"/>
    <w:uiPriority w:val="0"/>
    <w:rPr>
      <w:sz w:val="18"/>
    </w:rPr>
  </w:style>
  <w:style w:type="character" w:customStyle="1" w:styleId="18">
    <w:name w:val="页脚 字符"/>
    <w:basedOn w:val="13"/>
    <w:link w:val="7"/>
    <w:qFormat/>
    <w:uiPriority w:val="99"/>
    <w:rPr>
      <w:kern w:val="2"/>
      <w:sz w:val="18"/>
      <w:szCs w:val="18"/>
    </w:rPr>
  </w:style>
  <w:style w:type="character" w:customStyle="1" w:styleId="19">
    <w:name w:val="批注框文本 字符"/>
    <w:basedOn w:val="13"/>
    <w:link w:val="6"/>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365</Words>
  <Characters>2086</Characters>
  <Lines>17</Lines>
  <Paragraphs>4</Paragraphs>
  <TotalTime>0</TotalTime>
  <ScaleCrop>false</ScaleCrop>
  <LinksUpToDate>false</LinksUpToDate>
  <CharactersWithSpaces>2447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2023-04-14T06:44:00Z</dcterms:created>
  <dc:creator>s c</dc:creator>
  <cp:lastModifiedBy>未定义</cp:lastModifiedBy>
  <dcterms:modified xsi:type="dcterms:W3CDTF">2023-07-17T02:43:22Z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2052-11.8.2.8411</vt:lpwstr>
  </property>
</Properties>
</file>