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丰裕固收23060期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丰裕固收23060期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FYG23060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Z7002223000068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2023年3月28日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2024年4月29日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570,589,629.42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122.49%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570,589,629.42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565,205,189.00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1.0095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1,876,617.24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472,477,052.73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丰裕固收23060期D款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FYG23060D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1.0097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96,235,959.45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丰裕固收23060期B款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丰裕固收23060期D款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受益于2季度信用债和利率债收益率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60.18%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60.17%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39.52%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39.52%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23六横国资01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101,180,768.31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17.73%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23嘉兴高新02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101,117,720.22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23诸暨交通02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55,720,794.84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22开泰城建PPN001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50,540,914.41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21肥西城乡PPN001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41,152,120.55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21永嘉投资PPN001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40,707,734.91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21玉城01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40,516,154.46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21海仰01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29,453,394.86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21江阴城投PPN004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20,574,383.56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21仲恺01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20,412,618.44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3.58%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127,114,458.81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22.28%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舟山市六横国有资产投资经营有限公司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23六横国资01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20240401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101,180,768.31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诸暨市交通基础设施建设有限公司(2023年度第二期)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23诸暨交通02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55,720,794.84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如东县东泰社会发展投资有限责任公司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23如东东泰07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20240318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11,144,213.43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嘉兴高新集团有限公司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23嘉兴高新02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20240404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101,117,720.22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义乌市城市投资建设集团有限公司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23义乌城建01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20240412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7,076,356.84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565,205,189.00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565,205,189.00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23嘉兴高新02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23义乌城建01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7,000,000.00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21西湖投资PPN002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20,348,028.77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杭银理财幸福99丰裕固收23060期（稳利低波款）理财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3301040160015309811-5123060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