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丰裕固收23018期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Z7002223000020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2023年2月1日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2023年10月30日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308,587,235.83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114.94%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308,587,235.83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303,740,249.00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1.0160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2,510,169.33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222,455,699.33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80,591,286.05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丰裕固收23018期E款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FYG23018E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1.0165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3,030,081.12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3.99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丰裕固收23018期E款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本产品主要配置固收类资产，债券部分以信用债为主，受益于2季度信用债和利率债收益率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99.54%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99.54%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20宁运01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28,037,536.08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20富通02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25,770,169.73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21靖城03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20,995,667.39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19申太01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20,975,405.54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20红胜01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20,712,292.24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21金坛建设PPN001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20,700,800.80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20渝枢08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20,697,509.92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20淳安02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20,688,155.22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20青田债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20,665,708.54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G20嵊交1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20,660,495.67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45,011,610.94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14.59%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303,740,249.00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303,740,249.00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杭银理财幸福99丰裕固收23018期理财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3301040160015309811-5123018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