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丰裕固收22065期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627,677,729.89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105.22%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627,677,729.89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619,163,379.00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丰裕固收22065期B款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FYG22065B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104,261,004.65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丰裕固收22065期C款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496,145,714.81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14,567,132.32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丰裕固收22065期E款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FYG22065E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12,703,878.11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丰裕固收22065期B款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丰裕固收22065期C款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丰裕固收22065期E款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24.88%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48.21%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47.15%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47.15%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27.70%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22定海城乡02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207,006,936.99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104,410,349.40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21溧阳城建PPN004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51,995,342.47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19高淳经开MTN004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21,210,273.97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21即墨03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20,578,186.30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23淮安交通CP002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20,290,602.74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22余姚高铁PPN001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20,179,232.40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22皋通01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10,526,958.52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21威海中城PPN002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10,335,208.04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22联达01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9,814,041.10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1.56%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30,006,613.70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4.78%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舟山市定海区城乡建设集团有限公司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22定海城乡02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207,006,936.99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台州市黄岩国有资本投资运营集团有限公司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104,410,349.40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619,163,379.00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619,163,379.00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杭银理财幸福99丰裕固收22065期理财计划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3301040160015309811-5122065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