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兴银理财【稳利丰收封闭式固收类】</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 xml:space="preserve">理财产品 </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w:t>
      </w:r>
      <w:r>
        <w:rPr>
          <w:rStyle w:val="27"/>
          <w:rFonts w:ascii="宋体" w:hAnsi="宋体" w:cs="Times New Roman"/>
          <w:sz w:val="32"/>
          <w:szCs w:val="32"/>
        </w:rPr>
        <w:t>023</w:t>
      </w:r>
      <w:r>
        <w:rPr>
          <w:rStyle w:val="27"/>
          <w:rFonts w:hint="eastAsia" w:ascii="宋体" w:hAnsi="宋体" w:cs="Times New Roman"/>
          <w:sz w:val="32"/>
          <w:szCs w:val="32"/>
        </w:rPr>
        <w:t>】年【</w:t>
      </w:r>
      <w:r>
        <w:rPr>
          <w:rStyle w:val="27"/>
          <w:rFonts w:ascii="宋体" w:hAnsi="宋体" w:cs="Times New Roman"/>
          <w:sz w:val="32"/>
          <w:szCs w:val="32"/>
        </w:rPr>
        <w:t>7</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"_Toc88747120"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_Toc88747120 \h </w:instrText>
          </w:r>
          <w:r>
            <w:fldChar w:fldCharType="separate"/>
          </w:r>
          <w:r>
            <w:t>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"_Toc88747121"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_Toc88747121 \h </w:instrText>
          </w:r>
          <w:r>
            <w:fldChar w:fldCharType="separate"/>
          </w:r>
          <w:r>
            <w:t>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"_Toc88747122"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_Toc88747122 \h </w:instrText>
          </w:r>
          <w:r>
            <w:fldChar w:fldCharType="separate"/>
          </w:r>
          <w:r>
            <w:t>8</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"_Toc88747123"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_Toc88747123 \h </w:instrText>
          </w:r>
          <w:r>
            <w:fldChar w:fldCharType="separate"/>
          </w:r>
          <w:r>
            <w:t>10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"_Toc88747124"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_Toc88747124 \h </w:instrText>
          </w:r>
          <w:r>
            <w:fldChar w:fldCharType="separate"/>
          </w:r>
          <w:r>
            <w:t>11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"_Toc88747125"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_Toc88747125 \h </w:instrText>
          </w:r>
          <w:r>
            <w:fldChar w:fldCharType="separate"/>
          </w:r>
          <w:r>
            <w:t>14</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"_Toc88747126"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_Toc88747126 \h </w:instrText>
          </w:r>
          <w:r>
            <w:fldChar w:fldCharType="separate"/>
          </w:r>
          <w:r>
            <w:t>15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"_Toc88747127"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_Toc88747127 \h </w:instrText>
          </w:r>
          <w:r>
            <w:fldChar w:fldCharType="separate"/>
          </w:r>
          <w:r>
            <w:t>19</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"_Toc88747128"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_Toc88747128 \h </w:instrText>
          </w:r>
          <w:r>
            <w:fldChar w:fldCharType="separate"/>
          </w:r>
          <w:r>
            <w:t>20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"_Toc88747129"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_Toc88747129 \h </w:instrText>
          </w:r>
          <w:r>
            <w:fldChar w:fldCharType="separate"/>
          </w:r>
          <w:r>
            <w:t>23</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"_Toc88747130"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_Toc88747130 \h </w:instrText>
          </w:r>
          <w:r>
            <w:fldChar w:fldCharType="separate"/>
          </w:r>
          <w:r>
            <w:t>25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"_Toc88747131"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_Toc88747131 \h </w:instrText>
          </w:r>
          <w:r>
            <w:fldChar w:fldCharType="separate"/>
          </w:r>
          <w:r>
            <w:t>27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headerReference r:id="rId3" w:type="default"/>
          <w:footerReference r:id="rId4"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1" w:name="_Toc8874712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：指产品管理人向投资者提供的，用于描述产品特征，约定权利义务的文件。具体指《兴银理财【稳利丰收封闭式固收类】理财产品 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《投资协议书》：指管理人统一编制的《兴银理财【稳利丰收封闭式固收类】理财产品 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）《产品说明书》：指管理人统一编制的《兴银理财【稳利丰收封闭式固收类】理财产品 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（4）《（代理）销售协议书》：指管理人统一编制的《兴银理财【稳利丰收封闭式固收类】理财产品 （代理）销售协议书》或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）《风险揭示书》：指管理人统一编制的《兴银理财【稳利丰收封闭式固收类】理财产品 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）《投资者权益须知》：指管理人统一编制的《兴银理财【稳利丰收封闭式固收类】理财产品 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《兴银理财【稳利丰收封闭式固收类】理财产品 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理财产品份额净值指当前理财产品份额净值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即产品目前的净值</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指产品当前份额净值及产品成立到现在理财产品分红之和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14</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16）期间分配：指在理财产品终止日（不含当日）前的理财产品利益分配。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88747121"/>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828"/>
        <w:gridCol w:w="78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兴银理财稳利丰收封闭式3</w:t>
            </w:r>
            <w:r>
              <w:rPr>
                <w:rFonts w:hint="eastAsia" w:asciiTheme="minorEastAsia" w:hAnsiTheme="minorEastAsia"/>
                <w:sz w:val="18"/>
                <w:szCs w:val="18"/>
                <w:lang w:val="en-US" w:eastAsia="zh-CN"/>
              </w:rPr>
              <w:t>3</w:t>
            </w:r>
            <w:bookmarkStart w:id="156" w:name="_GoBack"/>
            <w:bookmarkEnd w:id="156"/>
            <w:r>
              <w:rPr>
                <w:rFonts w:hint="eastAsia" w:asciiTheme="minorEastAsia" w:hAnsiTheme="minorEastAsia"/>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816" w:type="dxa"/>
            <w:shd w:val="solid" w:color="FFFFFF" w:fill="FFFFFF"/>
          </w:tcPr>
          <w:p>
            <w:pPr>
              <w:widowControl/>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稳利丰收封闭式3</w:t>
            </w:r>
            <w:r>
              <w:rPr>
                <w:rFonts w:hint="eastAsia" w:asciiTheme="minorEastAsia" w:hAnsiTheme="minorEastAsia"/>
                <w:sz w:val="18"/>
                <w:szCs w:val="18"/>
                <w:lang w:val="en-US" w:eastAsia="zh-CN"/>
              </w:rPr>
              <w:t>3</w:t>
            </w:r>
            <w:r>
              <w:rPr>
                <w:rFonts w:hint="eastAsia" w:asciiTheme="minorEastAsia" w:hAnsiTheme="minorEastAsia"/>
                <w:sz w:val="18"/>
                <w:szCs w:val="18"/>
              </w:rPr>
              <w:t>号A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Z7002022000</w:t>
            </w:r>
            <w:r>
              <w:rPr>
                <w:rFonts w:hint="eastAsia" w:asciiTheme="minorEastAsia" w:hAnsiTheme="minorEastAsia"/>
                <w:sz w:val="18"/>
                <w:szCs w:val="18"/>
                <w:lang w:val="en-US" w:eastAsia="zh-CN"/>
              </w:rPr>
              <w:t>464</w:t>
            </w:r>
            <w:r>
              <w:rPr>
                <w:rFonts w:hint="eastAsia" w:asciiTheme="minorEastAsia" w:hAnsiTheme="minorEastAsia"/>
                <w:sz w:val="18"/>
                <w:szCs w:val="18"/>
              </w:rPr>
              <w:t>】投资者可依据理财产品登记编码在中国理财网</w:t>
            </w:r>
            <w:r>
              <w:rPr>
                <w:rFonts w:asciiTheme="minorEastAsia" w:hAnsiTheme="minorEastAsia"/>
                <w:sz w:val="18"/>
                <w:szCs w:val="18"/>
              </w:rPr>
              <w:t>(</w:t>
            </w:r>
            <w:r>
              <w:fldChar w:fldCharType="begin"/>
            </w:r>
            <w:r>
              <w:instrText xml:space="preserve"> HYPERLINK "http://www.chinawealth.com.cn" </w:instrText>
            </w:r>
            <w:r>
              <w:fldChar w:fldCharType="separate"/>
            </w:r>
            <w:r>
              <w:rPr>
                <w:rFonts w:asciiTheme="minorEastAsia" w:hAnsiTheme="minorEastAsia"/>
                <w:sz w:val="18"/>
                <w:szCs w:val="18"/>
              </w:rPr>
              <w:t>www.chinawealth.com.cn</w:t>
            </w:r>
            <w:r>
              <w:rPr>
                <w:rFonts w:asciiTheme="minorEastAsia" w:hAnsiTheme="minorEastAsia"/>
                <w:sz w:val="18"/>
                <w:szCs w:val="18"/>
              </w:rPr>
              <w:fldChar w:fldCharType="end"/>
            </w:r>
            <w:r>
              <w:rPr>
                <w:rFonts w:asciiTheme="minorEastAsia" w:hAnsiTheme="minorEastAsia"/>
                <w:sz w:val="18"/>
                <w:szCs w:val="18"/>
              </w:rPr>
              <w:t>）</w:t>
            </w:r>
            <w:r>
              <w:rPr>
                <w:rFonts w:hint="eastAsia" w:asciiTheme="minorEastAsia" w:hAnsiTheme="min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【9C3103</w:t>
            </w:r>
            <w:r>
              <w:rPr>
                <w:rFonts w:hint="eastAsia" w:asciiTheme="minorEastAsia" w:hAnsiTheme="minorEastAsia"/>
                <w:sz w:val="18"/>
                <w:szCs w:val="18"/>
                <w:lang w:val="en-US" w:eastAsia="zh-CN"/>
              </w:rPr>
              <w:t>3</w:t>
            </w:r>
            <w:r>
              <w:rPr>
                <w:rFonts w:asciiTheme="minorEastAsia" w:hAnsiTheme="minorEastAsia"/>
                <w:sz w:val="18"/>
                <w:szCs w:val="18"/>
              </w:rPr>
              <w:t>0</w:t>
            </w:r>
            <w:r>
              <w:rPr>
                <w:rFonts w:hint="eastAsia" w:asciiTheme="minorEastAsia" w:hAnsi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 w:hRule="atLeast"/>
          <w:jc w:val="center"/>
        </w:trPr>
        <w:tc>
          <w:tcPr>
            <w:tcW w:w="1828"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【9C3103</w:t>
            </w:r>
            <w:r>
              <w:rPr>
                <w:rFonts w:hint="eastAsia" w:asciiTheme="minorEastAsia" w:hAnsiTheme="minorEastAsia"/>
                <w:sz w:val="18"/>
                <w:szCs w:val="18"/>
                <w:lang w:val="en-US" w:eastAsia="zh-CN"/>
              </w:rPr>
              <w:t>3</w:t>
            </w:r>
            <w:r>
              <w:rPr>
                <w:rFonts w:asciiTheme="minorEastAsia" w:hAnsiTheme="minorEastAsia"/>
                <w:sz w:val="18"/>
                <w:szCs w:val="18"/>
              </w:rPr>
              <w:t>A】</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816"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816"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816"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816"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w:t>
            </w:r>
            <w:r>
              <w:rPr>
                <w:rFonts w:cs="仿宋_GB2312" w:asciiTheme="majorEastAsia" w:hAnsiTheme="majorEastAsia" w:eastAsiaTheme="majorEastAsia"/>
                <w:kern w:val="0"/>
                <w:sz w:val="18"/>
                <w:szCs w:val="18"/>
              </w:rPr>
              <w:t>365</w:t>
            </w:r>
            <w:r>
              <w:rPr>
                <w:rFonts w:hint="eastAsia" w:cs="仿宋_GB2312" w:asciiTheme="majorEastAsia" w:hAnsiTheme="majorEastAsia" w:eastAsiaTheme="major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 xml:space="preserve"> 本产品认购期/募集期为</w:t>
            </w:r>
            <w:r>
              <w:rPr>
                <w:rFonts w:hint="eastAsia" w:asciiTheme="minorEastAsia" w:hAnsiTheme="minorEastAsia"/>
                <w:bCs/>
                <w:sz w:val="18"/>
                <w:szCs w:val="18"/>
              </w:rPr>
              <w:t>：【202</w:t>
            </w:r>
            <w:r>
              <w:rPr>
                <w:rFonts w:asciiTheme="minorEastAsia" w:hAnsiTheme="minorEastAsia"/>
                <w:bCs/>
                <w:sz w:val="18"/>
                <w:szCs w:val="18"/>
              </w:rPr>
              <w:t>3</w:t>
            </w:r>
            <w:r>
              <w:rPr>
                <w:rFonts w:hint="eastAsia" w:asciiTheme="minorEastAsia" w:hAnsiTheme="minorEastAsia"/>
                <w:bCs/>
                <w:sz w:val="18"/>
                <w:szCs w:val="18"/>
              </w:rPr>
              <w:t>】年【</w:t>
            </w:r>
            <w:r>
              <w:rPr>
                <w:rFonts w:asciiTheme="minorEastAsia" w:hAnsiTheme="minorEastAsia"/>
                <w:bCs/>
                <w:sz w:val="18"/>
                <w:szCs w:val="18"/>
              </w:rPr>
              <w:t>7</w:t>
            </w:r>
            <w:r>
              <w:rPr>
                <w:rFonts w:hint="eastAsia" w:asciiTheme="minorEastAsia" w:hAnsiTheme="minorEastAsia"/>
                <w:bCs/>
                <w:sz w:val="18"/>
                <w:szCs w:val="18"/>
              </w:rPr>
              <w:t>】月【</w:t>
            </w:r>
            <w:r>
              <w:rPr>
                <w:rFonts w:hint="eastAsia" w:asciiTheme="minorEastAsia" w:hAnsiTheme="minorEastAsia"/>
                <w:bCs/>
                <w:sz w:val="18"/>
                <w:szCs w:val="18"/>
                <w:lang w:val="en-US" w:eastAsia="zh-CN"/>
              </w:rPr>
              <w:t>12</w:t>
            </w:r>
            <w:r>
              <w:rPr>
                <w:rFonts w:hint="eastAsia" w:asciiTheme="minorEastAsia" w:hAnsiTheme="minorEastAsia"/>
                <w:bCs/>
                <w:sz w:val="18"/>
                <w:szCs w:val="18"/>
              </w:rPr>
              <w:t>】日</w:t>
            </w:r>
            <w:r>
              <w:rPr>
                <w:rFonts w:asciiTheme="minorEastAsia" w:hAnsiTheme="minorEastAsia"/>
                <w:bCs/>
                <w:sz w:val="18"/>
                <w:szCs w:val="18"/>
              </w:rPr>
              <w:t>9</w:t>
            </w:r>
            <w:r>
              <w:rPr>
                <w:rFonts w:hint="eastAsia" w:asciiTheme="minorEastAsia" w:hAnsiTheme="minorEastAsia"/>
                <w:bCs/>
                <w:sz w:val="18"/>
                <w:szCs w:val="18"/>
              </w:rPr>
              <w:t>:00至【202</w:t>
            </w:r>
            <w:r>
              <w:rPr>
                <w:rFonts w:asciiTheme="minorEastAsia" w:hAnsiTheme="minorEastAsia"/>
                <w:bCs/>
                <w:sz w:val="18"/>
                <w:szCs w:val="18"/>
              </w:rPr>
              <w:t>3</w:t>
            </w:r>
            <w:r>
              <w:rPr>
                <w:rFonts w:hint="eastAsia" w:asciiTheme="minorEastAsia" w:hAnsiTheme="minorEastAsia"/>
                <w:bCs/>
                <w:sz w:val="18"/>
                <w:szCs w:val="18"/>
              </w:rPr>
              <w:t>】年【</w:t>
            </w:r>
            <w:r>
              <w:rPr>
                <w:rFonts w:asciiTheme="minorEastAsia" w:hAnsiTheme="minorEastAsia"/>
                <w:bCs/>
                <w:sz w:val="18"/>
                <w:szCs w:val="18"/>
              </w:rPr>
              <w:t>7</w:t>
            </w:r>
            <w:r>
              <w:rPr>
                <w:rFonts w:hint="eastAsia" w:asciiTheme="minorEastAsia" w:hAnsiTheme="minorEastAsia"/>
                <w:bCs/>
                <w:sz w:val="18"/>
                <w:szCs w:val="18"/>
              </w:rPr>
              <w:t>】月【</w:t>
            </w:r>
            <w:r>
              <w:rPr>
                <w:rFonts w:asciiTheme="minorEastAsia" w:hAnsiTheme="minorEastAsia"/>
                <w:bCs/>
                <w:sz w:val="18"/>
                <w:szCs w:val="18"/>
              </w:rPr>
              <w:t>1</w:t>
            </w:r>
            <w:r>
              <w:rPr>
                <w:rFonts w:hint="eastAsia" w:asciiTheme="minorEastAsia" w:hAnsiTheme="minorEastAsia"/>
                <w:bCs/>
                <w:sz w:val="18"/>
                <w:szCs w:val="18"/>
                <w:lang w:val="en-US" w:eastAsia="zh-CN"/>
              </w:rPr>
              <w:t>8</w:t>
            </w:r>
            <w:r>
              <w:rPr>
                <w:rFonts w:hint="eastAsia" w:asciiTheme="minorEastAsia" w:hAnsiTheme="minorEastAsia"/>
                <w:bCs/>
                <w:sz w:val="18"/>
                <w:szCs w:val="18"/>
              </w:rPr>
              <w:t>】日17:00。</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023】年【7</w:t>
            </w:r>
            <w:r>
              <w:rPr>
                <w:rFonts w:hint="eastAsia" w:cs="Times New Roman" w:asciiTheme="minorEastAsia" w:hAnsiTheme="minorEastAsia"/>
                <w:sz w:val="18"/>
                <w:szCs w:val="18"/>
              </w:rPr>
              <w:t>】月【</w:t>
            </w:r>
            <w:r>
              <w:rPr>
                <w:rFonts w:cs="Times New Roman" w:asciiTheme="minorEastAsia" w:hAnsiTheme="minorEastAsia"/>
                <w:sz w:val="18"/>
                <w:szCs w:val="18"/>
              </w:rPr>
              <w:t>1</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024】年【7</w:t>
            </w:r>
            <w:r>
              <w:rPr>
                <w:rFonts w:hint="eastAsia" w:cs="Times New Roman" w:asciiTheme="minorEastAsia" w:hAnsiTheme="minorEastAsia"/>
                <w:sz w:val="18"/>
                <w:szCs w:val="18"/>
              </w:rPr>
              <w:t>】月【</w:t>
            </w:r>
            <w:r>
              <w:rPr>
                <w:rFonts w:cs="Times New Roman" w:asciiTheme="minorEastAsia" w:hAnsiTheme="minorEastAsia"/>
                <w:sz w:val="18"/>
                <w:szCs w:val="18"/>
              </w:rPr>
              <w:t>1</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购买起点金额为【1】元；超出起点金额的部分以【0</w:t>
            </w:r>
            <w:r>
              <w:rPr>
                <w:rFonts w:asciiTheme="majorEastAsia" w:hAnsiTheme="majorEastAsia" w:eastAsiaTheme="majorEastAsia"/>
                <w:bCs/>
                <w:sz w:val="18"/>
                <w:szCs w:val="18"/>
              </w:rPr>
              <w:t>.01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816"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（适用【A】类份额）</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w:t>
            </w:r>
            <w:r>
              <w:rPr>
                <w:rFonts w:asciiTheme="minorEastAsia" w:hAnsiTheme="minorEastAsia" w:eastAsiaTheme="minorEastAsia"/>
                <w:sz w:val="18"/>
                <w:szCs w:val="18"/>
              </w:rPr>
              <w:t>存续期间，</w:t>
            </w:r>
            <w:r>
              <w:rPr>
                <w:rFonts w:hint="eastAsia" w:asciiTheme="minorEastAsia" w:hAnsiTheme="minorEastAsia" w:eastAsiaTheme="minorEastAsia"/>
                <w:sz w:val="18"/>
                <w:szCs w:val="18"/>
              </w:rPr>
              <w:t>投资者</w:t>
            </w:r>
            <w:r>
              <w:rPr>
                <w:rFonts w:asciiTheme="minorEastAsia" w:hAnsiTheme="minorEastAsia" w:eastAsiaTheme="minorEastAsia"/>
                <w:sz w:val="18"/>
                <w:szCs w:val="18"/>
              </w:rPr>
              <w:t>最高</w:t>
            </w:r>
            <w:r>
              <w:rPr>
                <w:rFonts w:hint="eastAsia" w:asciiTheme="minorEastAsia" w:hAnsiTheme="minorEastAsia" w:eastAsiaTheme="minorEastAsia"/>
                <w:sz w:val="18"/>
                <w:szCs w:val="18"/>
              </w:rPr>
              <w:t>持有</w:t>
            </w:r>
            <w:r>
              <w:rPr>
                <w:rFonts w:asciiTheme="minorEastAsia" w:hAnsiTheme="minorEastAsia" w:eastAsiaTheme="minorEastAsia"/>
                <w:sz w:val="18"/>
                <w:szCs w:val="18"/>
              </w:rPr>
              <w:t>份额上限为</w:t>
            </w:r>
            <w:r>
              <w:rPr>
                <w:rFonts w:hint="eastAsia" w:asciiTheme="minorEastAsia" w:hAnsiTheme="minorEastAsia" w:eastAsiaTheme="minorEastAsia"/>
                <w:sz w:val="18"/>
                <w:szCs w:val="18"/>
              </w:rPr>
              <w:t>【/】份，符合产品管理人流动性管理的稳定资金除外。如需突破最高持有上限，请与产品管理人或销售机构客户经理联系。</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816"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816"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w:t>
            </w:r>
            <w:r>
              <w:rPr>
                <w:rFonts w:hint="eastAsia" w:asciiTheme="majorEastAsia" w:hAnsiTheme="majorEastAsia" w:eastAsiaTheme="majorEastAsia"/>
                <w:bCs/>
                <w:sz w:val="18"/>
                <w:szCs w:val="18"/>
              </w:rPr>
              <w:t>各</w:t>
            </w:r>
            <w:r>
              <w:rPr>
                <w:rFonts w:asciiTheme="majorEastAsia" w:hAnsiTheme="majorEastAsia" w:eastAsiaTheme="majorEastAsia"/>
                <w:bCs/>
                <w:sz w:val="18"/>
                <w:szCs w:val="18"/>
              </w:rPr>
              <w:t>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816" w:type="dxa"/>
            <w:shd w:val="solid" w:color="FFFFFF" w:fill="FFFFFF"/>
            <w:vAlign w:val="center"/>
          </w:tcPr>
          <w:p>
            <w:pPr>
              <w:autoSpaceDE w:val="0"/>
              <w:autoSpaceDN w:val="0"/>
              <w:adjustRightInd w:val="0"/>
              <w:spacing w:line="360" w:lineRule="auto"/>
              <w:jc w:val="left"/>
              <w:rPr>
                <w:rFonts w:asciiTheme="majorEastAsia" w:hAnsiTheme="majorEastAsia" w:eastAsiaTheme="majorEastAsia"/>
                <w:b/>
                <w:bCs/>
                <w:sz w:val="18"/>
                <w:szCs w:val="18"/>
              </w:rPr>
            </w:pPr>
            <w:r>
              <w:rPr>
                <w:rFonts w:hint="eastAsia" w:ascii="宋体" w:hAnsi="宋体"/>
                <w:b/>
                <w:bCs/>
                <w:sz w:val="18"/>
                <w:szCs w:val="18"/>
              </w:rPr>
              <w:t>1.业绩</w:t>
            </w:r>
            <w:r>
              <w:rPr>
                <w:rFonts w:ascii="宋体" w:hAnsi="宋体"/>
                <w:b/>
                <w:bCs/>
                <w:sz w:val="18"/>
                <w:szCs w:val="18"/>
              </w:rPr>
              <w:t>比较基准的说明：</w:t>
            </w:r>
            <w:r>
              <w:rPr>
                <w:rFonts w:hint="eastAsia" w:ascii="宋体" w:hAnsi="宋体"/>
                <w:b/>
                <w:bCs/>
                <w:sz w:val="18"/>
                <w:szCs w:val="18"/>
              </w:rPr>
              <w:t>【</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hint="eastAsia" w:asciiTheme="majorEastAsia" w:hAnsiTheme="majorEastAsia" w:eastAsiaTheme="majorEastAsia"/>
                <w:b/>
                <w:bCs/>
                <w:sz w:val="18"/>
                <w:szCs w:val="18"/>
              </w:rPr>
              <w:t>。</w:t>
            </w:r>
          </w:p>
          <w:p>
            <w:pPr>
              <w:spacing w:line="360" w:lineRule="auto"/>
              <w:jc w:val="left"/>
              <w:rPr>
                <w:rFonts w:asciiTheme="majorEastAsia" w:hAnsiTheme="majorEastAsia"/>
                <w:b/>
                <w:sz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w:t>
            </w:r>
            <w:r>
              <w:rPr>
                <w:rFonts w:asciiTheme="majorEastAsia" w:hAnsiTheme="majorEastAsia" w:eastAsiaTheme="majorEastAsia"/>
                <w:b/>
                <w:bCs/>
                <w:sz w:val="18"/>
                <w:szCs w:val="18"/>
              </w:rPr>
              <w:t>比较基准的设定：</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p>
          <w:p>
            <w:pPr>
              <w:spacing w:line="360" w:lineRule="auto"/>
              <w:jc w:val="left"/>
              <w:rPr>
                <w:rFonts w:ascii="宋体" w:hAnsi="宋体"/>
                <w:bCs/>
                <w:sz w:val="18"/>
                <w:szCs w:val="18"/>
              </w:rPr>
            </w:pPr>
            <w:r>
              <w:rPr>
                <w:rFonts w:hint="eastAsia" w:ascii="宋体" w:hAnsi="宋体"/>
                <w:bCs/>
                <w:sz w:val="18"/>
                <w:szCs w:val="18"/>
              </w:rPr>
              <w:t>年化</w:t>
            </w:r>
            <w:r>
              <w:rPr>
                <w:rFonts w:ascii="宋体" w:hAnsi="宋体"/>
                <w:bCs/>
                <w:sz w:val="18"/>
                <w:szCs w:val="18"/>
              </w:rPr>
              <w:t>【3.4%</w:t>
            </w:r>
            <w:r>
              <w:rPr>
                <w:rFonts w:hint="eastAsia" w:ascii="宋体" w:hAnsi="宋体"/>
                <w:bCs/>
                <w:sz w:val="18"/>
                <w:szCs w:val="18"/>
              </w:rPr>
              <w:t>-</w:t>
            </w:r>
            <w:r>
              <w:rPr>
                <w:rFonts w:ascii="宋体" w:hAnsi="宋体"/>
                <w:bCs/>
                <w:sz w:val="18"/>
                <w:szCs w:val="18"/>
              </w:rPr>
              <w:t>4.2</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。（适用【A】类份额）</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pPr>
              <w:spacing w:line="360" w:lineRule="auto"/>
              <w:jc w:val="left"/>
              <w:rPr>
                <w:rFonts w:ascii="宋体" w:hAnsi="宋体"/>
                <w:b/>
                <w:bCs/>
                <w:sz w:val="18"/>
                <w:szCs w:val="18"/>
              </w:rPr>
            </w:pPr>
            <w:r>
              <w:rPr>
                <w:rFonts w:hint="eastAsia" w:hAnsi="宋体"/>
                <w:bCs/>
                <w:sz w:val="18"/>
                <w:szCs w:val="18"/>
              </w:rPr>
              <w:t>本产品不设置业绩报酬计提基准。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w:t>
            </w:r>
            <w:r>
              <w:rPr>
                <w:rFonts w:hint="eastAsia" w:ascii="宋体" w:hAnsi="宋体"/>
                <w:b/>
                <w:bCs/>
                <w:color w:val="000000" w:themeColor="text1"/>
                <w:sz w:val="18"/>
                <w:szCs w:val="18"/>
                <w14:textFill>
                  <w14:solidFill>
                    <w14:schemeClr w14:val="tx1"/>
                  </w14:solidFill>
                </w14:textFill>
              </w:rPr>
              <w:t>认购费：</w:t>
            </w:r>
            <w:r>
              <w:rPr>
                <w:rFonts w:hint="eastAsia" w:ascii="宋体" w:hAnsi="宋体"/>
                <w:bCs/>
                <w:color w:val="000000" w:themeColor="text1"/>
                <w:sz w:val="18"/>
                <w:szCs w:val="18"/>
                <w14:textFill>
                  <w14:solidFill>
                    <w14:schemeClr w14:val="tx1"/>
                  </w14:solidFill>
                </w14:textFill>
              </w:rPr>
              <w:t>【0】。</w:t>
            </w:r>
          </w:p>
          <w:p>
            <w:pPr>
              <w:spacing w:line="360" w:lineRule="auto"/>
              <w:rPr>
                <w:rFonts w:ascii="宋体" w:hAnsi="宋体"/>
                <w:b/>
                <w:bCs/>
                <w:color w:val="000000" w:themeColor="text1"/>
                <w:sz w:val="18"/>
                <w:szCs w:val="18"/>
                <w14:textFill>
                  <w14:solidFill>
                    <w14:schemeClr w14:val="tx1"/>
                  </w14:solidFill>
                </w14:textFill>
              </w:rPr>
            </w:pPr>
            <w:r>
              <w:rPr>
                <w:rFonts w:asciiTheme="majorEastAsia" w:hAnsiTheme="majorEastAsia" w:eastAsiaTheme="majorEastAsia"/>
                <w:b/>
                <w:bCs/>
                <w:color w:val="000000" w:themeColor="text1"/>
                <w:sz w:val="18"/>
                <w:szCs w:val="18"/>
                <w14:textFill>
                  <w14:solidFill>
                    <w14:schemeClr w14:val="tx1"/>
                  </w14:solidFill>
                </w14:textFill>
              </w:rPr>
              <w:t>2.销售服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宋体" w:hAnsi="宋体"/>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.25</w:t>
            </w:r>
            <w:r>
              <w:rPr>
                <w:rFonts w:hint="eastAsia" w:asciiTheme="majorEastAsia" w:hAnsiTheme="majorEastAsia" w:eastAsiaTheme="majorEastAsia"/>
                <w:sz w:val="18"/>
                <w:szCs w:val="18"/>
              </w:rPr>
              <w:t>】%（</w:t>
            </w:r>
            <w:r>
              <w:rPr>
                <w:rFonts w:hint="eastAsia" w:hAnsi="宋体"/>
                <w:bCs/>
                <w:sz w:val="18"/>
                <w:szCs w:val="18"/>
              </w:rPr>
              <w:t>适用【A】类份额</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3.</w:t>
            </w:r>
            <w:r>
              <w:rPr>
                <w:rFonts w:hint="eastAsia" w:ascii="宋体" w:hAnsi="宋体"/>
                <w:b/>
                <w:bCs/>
                <w:color w:val="000000" w:themeColor="text1"/>
                <w:sz w:val="18"/>
                <w:szCs w:val="18"/>
                <w14:textFill>
                  <w14:solidFill>
                    <w14:schemeClr w14:val="tx1"/>
                  </w14:solidFill>
                </w14:textFill>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4.</w:t>
            </w:r>
            <w:r>
              <w:rPr>
                <w:rFonts w:hint="eastAsia" w:ascii="宋体" w:hAnsi="宋体"/>
                <w:b/>
                <w:bCs/>
                <w:color w:val="000000" w:themeColor="text1"/>
                <w:sz w:val="18"/>
                <w:szCs w:val="18"/>
                <w14:textFill>
                  <w14:solidFill>
                    <w14:schemeClr w14:val="tx1"/>
                  </w14:solidFill>
                </w14:textFill>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w:t>
            </w:r>
            <w:r>
              <w:rPr>
                <w:rFonts w:hint="eastAsia" w:asciiTheme="majorEastAsia" w:hAnsiTheme="majorEastAsia" w:eastAsiaTheme="majorEastAsia"/>
                <w:sz w:val="18"/>
                <w:szCs w:val="18"/>
              </w:rPr>
              <w:t>3</w:t>
            </w:r>
            <w:r>
              <w:rPr>
                <w:rFonts w:asciiTheme="majorEastAsia" w:hAnsiTheme="majorEastAsia" w:eastAsiaTheme="majorEastAsia"/>
                <w:sz w:val="18"/>
                <w:szCs w:val="18"/>
              </w:rPr>
              <w:t>】</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5.</w:t>
            </w:r>
            <w:r>
              <w:rPr>
                <w:rFonts w:hint="eastAsia" w:ascii="宋体" w:hAnsi="宋体"/>
                <w:b/>
                <w:bCs/>
                <w:color w:val="000000" w:themeColor="text1"/>
                <w:sz w:val="18"/>
                <w:szCs w:val="18"/>
                <w14:textFill>
                  <w14:solidFill>
                    <w14:schemeClr w14:val="tx1"/>
                  </w14:solidFill>
                </w14:textFill>
              </w:rPr>
              <w:t>超额业绩报酬：无</w:t>
            </w:r>
          </w:p>
          <w:p>
            <w:pPr>
              <w:spacing w:line="360" w:lineRule="auto"/>
              <w:rPr>
                <w:rFonts w:ascii="黑体" w:hAnsi="黑体" w:eastAsia="黑体"/>
                <w:bCs/>
                <w:sz w:val="18"/>
                <w:szCs w:val="18"/>
              </w:rPr>
            </w:pPr>
            <w:r>
              <w:rPr>
                <w:rFonts w:ascii="宋体" w:hAnsi="宋体"/>
                <w:bCs/>
                <w:sz w:val="18"/>
                <w:szCs w:val="18"/>
              </w:rPr>
              <w:t>6</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2"/>
        <w:spacing w:before="0" w:after="0" w:line="360" w:lineRule="auto"/>
        <w:jc w:val="center"/>
        <w:rPr>
          <w:rFonts w:ascii="Times New Roman"/>
          <w:sz w:val="30"/>
        </w:rPr>
      </w:pPr>
      <w:bookmarkStart w:id="4" w:name="_Toc88747122"/>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投资者认购资金在产品认购期内按照活期存款利率计息，但在产品认购期所产生的利息不作为理财资金进入理财运作，不计算理财利益。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88747123"/>
      <w:bookmarkStart w:id="10" w:name="_Toc4771"/>
      <w:bookmarkStart w:id="11" w:name="_Toc7151"/>
      <w:bookmarkStart w:id="12" w:name="_Toc3266"/>
      <w:bookmarkStart w:id="13" w:name="_Toc90742390"/>
      <w:bookmarkStart w:id="14" w:name="_Toc29948"/>
      <w:bookmarkStart w:id="15" w:name="_Toc74065741"/>
      <w:bookmarkStart w:id="16" w:name="_Toc16265"/>
      <w:bookmarkStart w:id="17" w:name="_Toc90742688"/>
      <w:bookmarkStart w:id="18" w:name="_Toc6714"/>
      <w:bookmarkStart w:id="19" w:name="_Toc79154668"/>
      <w:bookmarkStart w:id="20" w:name="_Toc90742321"/>
      <w:bookmarkStart w:id="21" w:name="_Toc29784"/>
      <w:bookmarkStart w:id="22" w:name="_Toc27189"/>
      <w:bookmarkStart w:id="23" w:name="_Toc15203"/>
      <w:bookmarkStart w:id="24" w:name="_Toc27226"/>
      <w:bookmarkStart w:id="25" w:name="_Toc2207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88747124"/>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w:t>
      </w:r>
      <w:r>
        <w:rPr>
          <w:rFonts w:hint="eastAsia" w:ascii="宋体" w:hAnsi="宋体"/>
          <w:bCs/>
          <w:sz w:val="18"/>
          <w:szCs w:val="18"/>
        </w:rPr>
        <w:t>债权类</w:t>
      </w:r>
      <w:r>
        <w:rPr>
          <w:rFonts w:hint="eastAsia" w:asciiTheme="majorEastAsia" w:hAnsiTheme="majorEastAsia" w:eastAsiaTheme="majorEastAsia"/>
          <w:bCs/>
          <w:sz w:val="18"/>
          <w:szCs w:val="18"/>
        </w:rPr>
        <w:t>资产的比例不低于产品总资产的80%。</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3</w:t>
      </w:r>
      <w:r>
        <w:rPr>
          <w:rFonts w:hint="eastAsia" w:asciiTheme="majorEastAsia" w:hAnsiTheme="majorEastAsia" w:eastAsiaTheme="majorEastAsia"/>
          <w:bCs/>
          <w:kern w:val="0"/>
          <w:sz w:val="18"/>
          <w:szCs w:val="18"/>
        </w:rPr>
        <w:t>）本产品因为流动性需要可开展存单质押、债券正回购等融资业务，本产品总资产不超过净资产的200%。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spacing w:line="360" w:lineRule="auto"/>
        <w:ind w:firstLine="360" w:firstLineChars="200"/>
        <w:rPr>
          <w:rFonts w:ascii="宋体" w:hAnsi="宋体"/>
          <w:bCs/>
          <w:sz w:val="18"/>
          <w:szCs w:val="18"/>
        </w:rPr>
      </w:pPr>
      <w:r>
        <w:rPr>
          <w:rFonts w:hint="eastAsia" w:ascii="宋体"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sz w:val="18"/>
          <w:szCs w:val="18"/>
        </w:rPr>
        <w:t xml:space="preserve"> </w:t>
      </w:r>
      <w:r>
        <w:rPr>
          <w:rFonts w:hint="eastAsia" w:asciiTheme="majorEastAsia" w:hAnsiTheme="majorEastAsia" w:eastAsiaTheme="majorEastAsia"/>
          <w:bCs/>
          <w:sz w:val="18"/>
          <w:szCs w:val="18"/>
        </w:rPr>
        <w:t>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产品管理人不设立业绩比较基准。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w:t>
      </w:r>
      <w:r>
        <w:rPr>
          <w:rFonts w:asciiTheme="majorEastAsia" w:hAnsiTheme="majorEastAsia" w:eastAsiaTheme="majorEastAsia"/>
          <w:b/>
          <w:kern w:val="0"/>
          <w:sz w:val="18"/>
          <w:szCs w:val="18"/>
        </w:rPr>
        <w:t>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w:t>
      </w:r>
      <w:r>
        <w:rPr>
          <w:rFonts w:asciiTheme="majorEastAsia" w:hAnsiTheme="majorEastAsia" w:eastAsiaTheme="majorEastAsia"/>
          <w:sz w:val="18"/>
          <w:szCs w:val="18"/>
        </w:rPr>
        <w:t>基准</w:t>
      </w:r>
      <w:r>
        <w:rPr>
          <w:rFonts w:hint="eastAsia" w:asciiTheme="majorEastAsia" w:hAnsiTheme="majorEastAsia" w:eastAsiaTheme="majorEastAsia"/>
          <w:sz w:val="18"/>
          <w:szCs w:val="18"/>
        </w:rPr>
        <w:t>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w:t>
      </w:r>
      <w:r>
        <w:rPr>
          <w:rFonts w:ascii="黑体" w:hAnsi="黑体" w:eastAsia="黑体"/>
          <w:sz w:val="18"/>
          <w:szCs w:val="18"/>
        </w:rPr>
        <w:t>基准</w:t>
      </w:r>
      <w:r>
        <w:rPr>
          <w:rFonts w:hint="eastAsia" w:ascii="黑体" w:hAnsi="黑体" w:eastAsia="黑体"/>
          <w:sz w:val="18"/>
          <w:szCs w:val="18"/>
        </w:rPr>
        <w:t>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适用于本产品时，经产品管理人和产品托管人协商一致后，本产品可以变更业绩报酬计提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并及时公告。</w:t>
      </w:r>
    </w:p>
    <w:p>
      <w:pPr>
        <w:autoSpaceDE w:val="0"/>
        <w:autoSpaceDN w:val="0"/>
        <w:adjustRightInd w:val="0"/>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产品管理人不设立业绩报酬计提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526"/>
      <w:bookmarkStart w:id="28" w:name="_Toc26986"/>
      <w:bookmarkStart w:id="29" w:name="_Toc14893"/>
      <w:bookmarkStart w:id="30" w:name="_Toc18329"/>
      <w:bookmarkStart w:id="31" w:name="_Toc79154669"/>
      <w:bookmarkStart w:id="32" w:name="_Toc1823"/>
      <w:bookmarkStart w:id="33" w:name="_Toc7848"/>
      <w:bookmarkStart w:id="34" w:name="_Toc88747125"/>
      <w:bookmarkStart w:id="35" w:name="_Toc17912"/>
      <w:bookmarkStart w:id="36" w:name="_Toc74065742"/>
      <w:bookmarkStart w:id="37" w:name="_Toc4741"/>
      <w:bookmarkStart w:id="38" w:name="_Toc18797"/>
      <w:bookmarkStart w:id="39" w:name="_Toc21988"/>
      <w:bookmarkStart w:id="40" w:name="_Toc139991735"/>
      <w:bookmarkStart w:id="41" w:name="_Toc14170388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4065743"/>
      <w:bookmarkStart w:id="44" w:name="_Toc23261"/>
      <w:bookmarkStart w:id="45" w:name="_Toc20733"/>
      <w:bookmarkStart w:id="46" w:name="_Toc10463"/>
      <w:bookmarkStart w:id="47" w:name="_Toc123102453"/>
      <w:bookmarkStart w:id="48" w:name="_Toc79154670"/>
      <w:bookmarkStart w:id="49" w:name="_Toc98560352"/>
      <w:bookmarkStart w:id="50" w:name="_Toc79392606"/>
      <w:bookmarkStart w:id="51" w:name="_Toc1427"/>
      <w:bookmarkStart w:id="52" w:name="_Toc141703886"/>
      <w:bookmarkStart w:id="53" w:name="_Toc17244"/>
      <w:bookmarkStart w:id="54" w:name="_Toc139991736"/>
      <w:bookmarkStart w:id="55" w:name="_Toc123051452"/>
      <w:bookmarkStart w:id="56" w:name="_Toc1270"/>
      <w:bookmarkStart w:id="57" w:name="_Toc23822"/>
      <w:bookmarkStart w:id="58" w:name="_Toc610"/>
      <w:bookmarkStart w:id="59" w:name="_Toc7920"/>
      <w:bookmarkStart w:id="60" w:name="_Toc48649707"/>
      <w:bookmarkStart w:id="61" w:name="_Toc123112234"/>
      <w:bookmarkStart w:id="62" w:name="_Toc88747126"/>
      <w:bookmarkStart w:id="63" w:name="_Toc400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r>
        <w:rPr>
          <w:rFonts w:hint="eastAsia" w:hAnsi="宋体"/>
          <w:sz w:val="18"/>
          <w:szCs w:val="18"/>
        </w:rPr>
        <w:t>本产品存续期间，每周进行一次估值。如遇产品到期日、季末、半年度、年度末等时间节点管理人将增加估值日。</w:t>
      </w:r>
    </w:p>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452" w:firstLineChars="250"/>
        <w:rPr>
          <w:rFonts w:hAnsi="宋体"/>
          <w:b/>
          <w:bCs/>
          <w:sz w:val="18"/>
          <w:szCs w:val="18"/>
        </w:rPr>
      </w:pPr>
      <w:r>
        <w:rPr>
          <w:rFonts w:hint="eastAsia" w:hAnsi="宋体"/>
          <w:b/>
          <w:bCs/>
          <w:sz w:val="18"/>
          <w:szCs w:val="18"/>
        </w:rPr>
        <w:t>本理财产品实际持仓依据前述投资范围约定，实际持仓资产参照下述具体品类资产估值方法估值。</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835"/>
      <w:bookmarkStart w:id="66" w:name="_Toc6405"/>
      <w:bookmarkStart w:id="67" w:name="_Toc31653"/>
      <w:bookmarkStart w:id="68" w:name="_Toc31644"/>
      <w:bookmarkStart w:id="69" w:name="_Toc12245"/>
      <w:bookmarkStart w:id="70" w:name="_Toc74065744"/>
      <w:bookmarkStart w:id="71" w:name="_Toc29251"/>
      <w:bookmarkStart w:id="72" w:name="_Toc26207"/>
      <w:bookmarkStart w:id="73" w:name="_Toc15143"/>
      <w:bookmarkStart w:id="74" w:name="_Toc31235"/>
      <w:bookmarkStart w:id="75" w:name="_Toc98560353"/>
      <w:bookmarkStart w:id="76" w:name="_Toc141703887"/>
      <w:bookmarkStart w:id="77" w:name="_Toc123102454"/>
      <w:bookmarkStart w:id="78" w:name="_Toc139991737"/>
      <w:bookmarkStart w:id="79" w:name="_Toc123112235"/>
      <w:bookmarkStart w:id="80" w:name="_Toc79154671"/>
      <w:bookmarkStart w:id="81" w:name="_Toc123051453"/>
      <w:bookmarkStart w:id="82" w:name="_Toc88747127"/>
      <w:bookmarkStart w:id="83" w:name="_Toc360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15118234"/>
      <w:bookmarkStart w:id="87" w:name="_Toc523711668"/>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9706"/>
      <w:bookmarkStart w:id="92" w:name="_Toc74065745"/>
      <w:bookmarkStart w:id="93" w:name="_Toc3771"/>
      <w:bookmarkStart w:id="94" w:name="_Toc6447"/>
      <w:bookmarkStart w:id="95" w:name="_Toc123102455"/>
      <w:bookmarkStart w:id="96" w:name="_Toc4559"/>
      <w:bookmarkStart w:id="97" w:name="_Toc141703888"/>
      <w:bookmarkStart w:id="98" w:name="_Toc10650"/>
      <w:bookmarkStart w:id="99" w:name="_Toc18567"/>
      <w:bookmarkStart w:id="100" w:name="_Toc25783"/>
      <w:bookmarkStart w:id="101" w:name="_Toc79154672"/>
      <w:bookmarkStart w:id="102" w:name="_Toc123112236"/>
      <w:bookmarkStart w:id="103" w:name="_Toc3321"/>
      <w:bookmarkStart w:id="104" w:name="_Toc79392583"/>
      <w:bookmarkStart w:id="105" w:name="_Toc7058"/>
      <w:bookmarkStart w:id="106" w:name="_Toc123051454"/>
      <w:bookmarkStart w:id="107" w:name="_Toc139991738"/>
      <w:bookmarkStart w:id="108" w:name="_Toc88747128"/>
      <w:bookmarkStart w:id="109" w:name="_Toc11030"/>
      <w:bookmarkStart w:id="110" w:name="_Toc98560354"/>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在产品终止日时，若理财资产扣除销售服务费、产品托管费和投资管理费等相关费用后，产品终止日产品份额净值折算的年化收益率超过业绩报酬计提基准，则产品管理人收取超出部分的一定比例作为超额业绩报酬。由此造成产品终止日产品份额净值调整的，以调整后的产品份额净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超额业绩报酬依照上述约定，从理财财产中支付。超额业绩报酬的具体比例数值以《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②在产品终止日，本产品对符合超额业绩报酬提取条件的产品份额计提超额业绩报酬；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产品份额超额业绩报酬计提日为产品终止日。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份额年化收益率（R）超过业绩报酬计提基准的部分，按比例（N）以及产品份额持有天数（D）提取超额业绩报酬，计算方法如下：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当R＞业绩报酬计提基准，超额业绩报酬=产品份额数量×产品成立日产品份额净值×（R-业绩报酬计提基准）×N×D/365；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8206"/>
      <w:bookmarkStart w:id="114" w:name="_Toc31821"/>
      <w:bookmarkStart w:id="115" w:name="_Toc139991739"/>
      <w:bookmarkStart w:id="116" w:name="_Toc141703889"/>
      <w:bookmarkStart w:id="117" w:name="_Toc3572"/>
      <w:bookmarkStart w:id="118" w:name="_Toc123112237"/>
      <w:bookmarkStart w:id="119" w:name="_Toc88747129"/>
      <w:bookmarkStart w:id="120" w:name="_Toc10398"/>
      <w:bookmarkStart w:id="121" w:name="_Toc74065746"/>
      <w:bookmarkStart w:id="122" w:name="_Toc123102456"/>
      <w:bookmarkStart w:id="123" w:name="_Toc123051455"/>
      <w:bookmarkStart w:id="124" w:name="_Toc98560355"/>
      <w:bookmarkStart w:id="125" w:name="_Toc79154673"/>
      <w:bookmarkStart w:id="126" w:name="_Toc725"/>
      <w:bookmarkStart w:id="127" w:name="_Toc16164"/>
      <w:bookmarkStart w:id="128" w:name="_Toc3080"/>
      <w:bookmarkStart w:id="129" w:name="_Toc2173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7920"/>
      <w:bookmarkStart w:id="134" w:name="_Toc88747130"/>
      <w:bookmarkStart w:id="135" w:name="_Toc32584"/>
      <w:bookmarkStart w:id="136" w:name="_Toc21237"/>
      <w:bookmarkStart w:id="137" w:name="_Toc123112238"/>
      <w:bookmarkStart w:id="138" w:name="_Toc141703890"/>
      <w:bookmarkStart w:id="139" w:name="_Toc48649708"/>
      <w:bookmarkStart w:id="140" w:name="_Toc8791"/>
      <w:bookmarkStart w:id="141" w:name="_Toc139991740"/>
      <w:bookmarkStart w:id="142" w:name="_Toc123102457"/>
      <w:bookmarkStart w:id="143" w:name="_Toc32092"/>
      <w:bookmarkStart w:id="144" w:name="_Toc79392622"/>
      <w:bookmarkStart w:id="145" w:name="_Toc123051456"/>
      <w:bookmarkStart w:id="146" w:name="_Toc74065747"/>
      <w:bookmarkStart w:id="147" w:name="_Toc739"/>
      <w:bookmarkStart w:id="148" w:name="_Toc79154674"/>
      <w:bookmarkStart w:id="149" w:name="_Toc29408"/>
      <w:bookmarkStart w:id="150" w:name="_Toc3329"/>
      <w:bookmarkStart w:id="151" w:name="_Toc17198"/>
      <w:bookmarkStart w:id="152" w:name="_Toc98560356"/>
      <w:bookmarkStart w:id="153" w:name="_Toc517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88747131"/>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ascii="宋体" w:hAnsi="宋体"/>
          <w:b/>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w:t>
      </w:r>
      <w:r>
        <w:rPr>
          <w:rFonts w:ascii="宋体" w:hAnsi="宋体"/>
          <w:sz w:val="18"/>
          <w:szCs w:val="18"/>
        </w:rPr>
        <w:t>流动性风险：</w:t>
      </w: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5.★</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4"/>
        <w:spacing w:line="360" w:lineRule="auto"/>
        <w:rPr>
          <w:rFonts w:hAnsi="宋体"/>
          <w:sz w:val="18"/>
          <w:szCs w:val="18"/>
        </w:rPr>
      </w:pPr>
      <w:r>
        <w:rPr>
          <w:rFonts w:hAnsi="宋体"/>
          <w:sz w:val="18"/>
          <w:szCs w:val="18"/>
        </w:rPr>
        <w:br w:type="page"/>
      </w: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
        <w:gridCol w:w="76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522" w:type="dxa"/>
            <w:gridSpan w:val="2"/>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360" w:lineRule="auto"/>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82" w:type="dxa"/>
          </w:tcPr>
          <w:p>
            <w:pPr>
              <w:spacing w:line="360" w:lineRule="auto"/>
              <w:rPr>
                <w:b/>
                <w:sz w:val="18"/>
                <w:szCs w:val="18"/>
              </w:rPr>
            </w:pPr>
            <w:r>
              <w:rPr>
                <w:rFonts w:hint="eastAsia"/>
                <w:b/>
                <w:sz w:val="18"/>
                <w:szCs w:val="18"/>
              </w:rPr>
              <w:t>个人投资者适用</w:t>
            </w:r>
          </w:p>
        </w:tc>
        <w:tc>
          <w:tcPr>
            <w:tcW w:w="7640" w:type="dxa"/>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82" w:type="dxa"/>
          </w:tcPr>
          <w:p>
            <w:pPr>
              <w:spacing w:line="360" w:lineRule="auto"/>
              <w:rPr>
                <w:b/>
                <w:sz w:val="18"/>
                <w:szCs w:val="18"/>
              </w:rPr>
            </w:pPr>
            <w:r>
              <w:rPr>
                <w:rFonts w:hint="eastAsia"/>
                <w:b/>
                <w:sz w:val="18"/>
                <w:szCs w:val="18"/>
              </w:rPr>
              <w:t>机构投资者适用</w:t>
            </w:r>
          </w:p>
        </w:tc>
        <w:tc>
          <w:tcPr>
            <w:tcW w:w="7640" w:type="dxa"/>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ind w:firstLine="361" w:firstLineChars="200"/>
        <w:rPr>
          <w:rFonts w:ascii="黑体" w:hAnsi="黑体" w:eastAsia="黑体"/>
          <w:sz w:val="18"/>
          <w:szCs w:val="18"/>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2"/>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12"/>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56C4F65"/>
    <w:rsid w:val="06F4696E"/>
    <w:rsid w:val="07245E56"/>
    <w:rsid w:val="0AD5214B"/>
    <w:rsid w:val="0C023D8C"/>
    <w:rsid w:val="0E94232E"/>
    <w:rsid w:val="0F1306D5"/>
    <w:rsid w:val="11295396"/>
    <w:rsid w:val="123D50EA"/>
    <w:rsid w:val="15096404"/>
    <w:rsid w:val="163E2FB7"/>
    <w:rsid w:val="187A0D22"/>
    <w:rsid w:val="1A48157B"/>
    <w:rsid w:val="1BD70953"/>
    <w:rsid w:val="1BF87698"/>
    <w:rsid w:val="1E585AB7"/>
    <w:rsid w:val="1EB160C2"/>
    <w:rsid w:val="1FF145B9"/>
    <w:rsid w:val="20B54A10"/>
    <w:rsid w:val="2193546F"/>
    <w:rsid w:val="26F50BA9"/>
    <w:rsid w:val="29026D00"/>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9D1319D"/>
    <w:rsid w:val="4D39606F"/>
    <w:rsid w:val="4F8E3D4D"/>
    <w:rsid w:val="50440547"/>
    <w:rsid w:val="525166CF"/>
    <w:rsid w:val="53B3493A"/>
    <w:rsid w:val="5481363B"/>
    <w:rsid w:val="5537323C"/>
    <w:rsid w:val="55855837"/>
    <w:rsid w:val="56503211"/>
    <w:rsid w:val="598B567E"/>
    <w:rsid w:val="5C624734"/>
    <w:rsid w:val="5FE91ABC"/>
    <w:rsid w:val="628E734C"/>
    <w:rsid w:val="648D5239"/>
    <w:rsid w:val="6580603B"/>
    <w:rsid w:val="68C7223A"/>
    <w:rsid w:val="68EF6886"/>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108FF18-8EC8-4170-A536-1AA8E39CC797}">
  <ds:schemaRefs/>
</ds:datastoreItem>
</file>

<file path=customXml/itemProps11.xml><?xml version="1.0" encoding="utf-8"?>
<ds:datastoreItem xmlns:ds="http://schemas.openxmlformats.org/officeDocument/2006/customXml" ds:itemID="{D902962D-C8CC-43BF-804A-CD60AE6D7475}">
  <ds:schemaRefs/>
</ds:datastoreItem>
</file>

<file path=customXml/itemProps12.xml><?xml version="1.0" encoding="utf-8"?>
<ds:datastoreItem xmlns:ds="http://schemas.openxmlformats.org/officeDocument/2006/customXml" ds:itemID="{1AFD950A-C976-4DE8-981B-89ABD0D84CC1}">
  <ds:schemaRefs/>
</ds:datastoreItem>
</file>

<file path=customXml/itemProps13.xml><?xml version="1.0" encoding="utf-8"?>
<ds:datastoreItem xmlns:ds="http://schemas.openxmlformats.org/officeDocument/2006/customXml" ds:itemID="{3A3C3A8D-C5E4-45AF-8B48-C3BF528808AD}">
  <ds:schemaRefs/>
</ds:datastoreItem>
</file>

<file path=customXml/itemProps14.xml><?xml version="1.0" encoding="utf-8"?>
<ds:datastoreItem xmlns:ds="http://schemas.openxmlformats.org/officeDocument/2006/customXml" ds:itemID="{CF487381-D648-48A1-B1E4-A4540B0D3650}">
  <ds:schemaRefs/>
</ds:datastoreItem>
</file>

<file path=customXml/itemProps15.xml><?xml version="1.0" encoding="utf-8"?>
<ds:datastoreItem xmlns:ds="http://schemas.openxmlformats.org/officeDocument/2006/customXml" ds:itemID="{BEEE0313-55EB-45FA-BBBD-C0232D367255}">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EC45DDBE-A426-47CA-BC62-D025DE29F1BC}">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A06CD169-7F5C-4082-81B2-6ECAA9AF6149}">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7E5C9D84-6DB6-48FB-8632-D5279FC233C8}">
  <ds:schemaRefs/>
</ds:datastoreItem>
</file>

<file path=customXml/itemProps7.xml><?xml version="1.0" encoding="utf-8"?>
<ds:datastoreItem xmlns:ds="http://schemas.openxmlformats.org/officeDocument/2006/customXml" ds:itemID="{509BA638-9D3A-4AA3-A169-FF78BC0E4BE9}">
  <ds:schemaRefs/>
</ds:datastoreItem>
</file>

<file path=customXml/itemProps8.xml><?xml version="1.0" encoding="utf-8"?>
<ds:datastoreItem xmlns:ds="http://schemas.openxmlformats.org/officeDocument/2006/customXml" ds:itemID="{79B37214-9E52-4241-8DD2-9E9CD9442006}">
  <ds:schemaRefs/>
</ds:datastoreItem>
</file>

<file path=customXml/itemProps9.xml><?xml version="1.0" encoding="utf-8"?>
<ds:datastoreItem xmlns:ds="http://schemas.openxmlformats.org/officeDocument/2006/customXml" ds:itemID="{1990A2D8-324F-45D5-B9CD-07245ED286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3582</Words>
  <Characters>20419</Characters>
  <Lines>170</Lines>
  <Paragraphs>47</Paragraphs>
  <TotalTime>202</TotalTime>
  <ScaleCrop>false</ScaleCrop>
  <LinksUpToDate>false</LinksUpToDate>
  <CharactersWithSpaces>23954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2021-09-06T06:01:00Z</dcterms:created>
  <dc:creator>张淼雯</dc:creator>
  <cp:lastModifiedBy>cib</cp:lastModifiedBy>
  <cp:lastPrinted>2020-09-21T06:35:00Z</cp:lastPrinted>
  <dcterms:modified xsi:type="dcterms:W3CDTF">2023-07-03T02:05:22Z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