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Times New Roman"/>
          <w:b/>
          <w:bCs/>
          <w:sz w:val="28"/>
          <w:szCs w:val="28"/>
        </w:rPr>
      </w:pPr>
      <w:r>
        <w:rPr>
          <w:rFonts w:hint="eastAsia" w:ascii="微软雅黑" w:hAnsi="微软雅黑" w:eastAsia="微软雅黑" w:cs="微软雅黑"/>
          <w:b/>
          <w:bCs/>
          <w:sz w:val="28"/>
          <w:szCs w:val="28"/>
        </w:rPr>
        <w:t>瑞丰银行理财产品总协议书</w:t>
      </w:r>
    </w:p>
    <w:p>
      <w:pPr>
        <w:rPr>
          <w:rFonts w:ascii="微软雅黑" w:hAnsi="微软雅黑" w:eastAsia="微软雅黑" w:cs="Times New Roman"/>
          <w:b/>
          <w:bCs/>
          <w:sz w:val="18"/>
          <w:szCs w:val="18"/>
        </w:rPr>
      </w:pPr>
    </w:p>
    <w:p>
      <w:pPr>
        <w:rPr>
          <w:rFonts w:ascii="微软雅黑" w:hAnsi="微软雅黑" w:eastAsia="微软雅黑" w:cs="Times New Roman"/>
          <w:b/>
          <w:bCs/>
          <w:sz w:val="18"/>
          <w:szCs w:val="18"/>
        </w:rPr>
      </w:pPr>
      <w:r>
        <w:rPr>
          <w:rFonts w:hint="eastAsia" w:ascii="微软雅黑" w:hAnsi="微软雅黑" w:eastAsia="微软雅黑" w:cs="微软雅黑"/>
          <w:b/>
          <w:bCs/>
          <w:sz w:val="18"/>
          <w:szCs w:val="18"/>
        </w:rPr>
        <w:t>甲方：</w:t>
      </w:r>
    </w:p>
    <w:p>
      <w:pPr>
        <w:rPr>
          <w:rFonts w:ascii="微软雅黑" w:hAnsi="微软雅黑" w:eastAsia="微软雅黑" w:cs="Times New Roman"/>
          <w:b/>
          <w:bCs/>
          <w:sz w:val="18"/>
          <w:szCs w:val="18"/>
        </w:rPr>
      </w:pPr>
      <w:r>
        <w:rPr>
          <w:rFonts w:hint="eastAsia" w:ascii="微软雅黑" w:hAnsi="微软雅黑" w:eastAsia="微软雅黑" w:cs="微软雅黑"/>
          <w:b/>
          <w:bCs/>
          <w:sz w:val="18"/>
          <w:szCs w:val="18"/>
        </w:rPr>
        <w:t>个人投资者填写</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姓名：</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证件类型：</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 xml:space="preserve">  </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证件号码：</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通讯地址：</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 xml:space="preserve"> 邮编：</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移动电话：</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固定电话：</w:t>
      </w:r>
    </w:p>
    <w:p>
      <w:pPr>
        <w:rPr>
          <w:rFonts w:ascii="微软雅黑" w:hAnsi="微软雅黑" w:eastAsia="微软雅黑" w:cs="Times New Roman"/>
          <w:sz w:val="18"/>
          <w:szCs w:val="18"/>
        </w:rPr>
      </w:pPr>
    </w:p>
    <w:p>
      <w:pPr>
        <w:rPr>
          <w:rFonts w:ascii="微软雅黑" w:hAnsi="微软雅黑" w:eastAsia="微软雅黑" w:cs="Times New Roman"/>
          <w:b/>
          <w:bCs/>
          <w:sz w:val="18"/>
          <w:szCs w:val="18"/>
        </w:rPr>
      </w:pPr>
      <w:r>
        <w:rPr>
          <w:rFonts w:hint="eastAsia" w:ascii="微软雅黑" w:hAnsi="微软雅黑" w:eastAsia="微软雅黑" w:cs="微软雅黑"/>
          <w:b/>
          <w:bCs/>
          <w:sz w:val="18"/>
          <w:szCs w:val="18"/>
        </w:rPr>
        <w:t>机构投资者填写</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名称：</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通讯地址：</w:t>
      </w:r>
      <w:r>
        <w:rPr>
          <w:rFonts w:hint="eastAsia" w:ascii="微软雅黑" w:hAnsi="微软雅黑" w:eastAsia="微软雅黑" w:cs="Times New Roman"/>
          <w:sz w:val="18"/>
          <w:szCs w:val="18"/>
        </w:rPr>
        <w:t xml:space="preserve">                          </w:t>
      </w:r>
      <w:r>
        <w:rPr>
          <w:rFonts w:hint="eastAsia" w:ascii="微软雅黑" w:hAnsi="微软雅黑" w:eastAsia="微软雅黑" w:cs="微软雅黑"/>
          <w:sz w:val="18"/>
          <w:szCs w:val="18"/>
        </w:rPr>
        <w:t>邮编：</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法定代表人</w:t>
      </w:r>
      <w:r>
        <w:rPr>
          <w:rFonts w:ascii="微软雅黑" w:hAnsi="微软雅黑" w:eastAsia="微软雅黑" w:cs="微软雅黑"/>
          <w:sz w:val="18"/>
          <w:szCs w:val="18"/>
        </w:rPr>
        <w:t>/</w:t>
      </w:r>
      <w:r>
        <w:rPr>
          <w:rFonts w:hint="eastAsia" w:ascii="微软雅黑" w:hAnsi="微软雅黑" w:eastAsia="微软雅黑" w:cs="微软雅黑"/>
          <w:sz w:val="18"/>
          <w:szCs w:val="18"/>
        </w:rPr>
        <w:t>负责人：</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住所地：</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电话：</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 xml:space="preserve">    </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传真：</w:t>
      </w:r>
    </w:p>
    <w:p>
      <w:pPr>
        <w:rPr>
          <w:rFonts w:ascii="微软雅黑" w:hAnsi="微软雅黑" w:eastAsia="微软雅黑" w:cs="Times New Roman"/>
          <w:b/>
          <w:bCs/>
          <w:sz w:val="18"/>
          <w:szCs w:val="18"/>
        </w:rPr>
      </w:pPr>
    </w:p>
    <w:p>
      <w:pPr>
        <w:rPr>
          <w:rFonts w:ascii="微软雅黑" w:hAnsi="微软雅黑" w:eastAsia="微软雅黑" w:cs="Times New Roman"/>
          <w:b/>
          <w:bCs/>
          <w:sz w:val="18"/>
          <w:szCs w:val="18"/>
        </w:rPr>
      </w:pPr>
      <w:r>
        <w:rPr>
          <w:rFonts w:hint="eastAsia" w:ascii="微软雅黑" w:hAnsi="微软雅黑" w:eastAsia="微软雅黑" w:cs="微软雅黑"/>
          <w:b/>
          <w:bCs/>
          <w:sz w:val="18"/>
          <w:szCs w:val="18"/>
        </w:rPr>
        <w:t>乙方：浙江绍兴瑞丰农村商业银行股份有限公司</w:t>
      </w:r>
    </w:p>
    <w:p>
      <w:pPr>
        <w:rPr>
          <w:rFonts w:ascii="微软雅黑" w:hAnsi="微软雅黑" w:eastAsia="微软雅黑" w:cs="Times New Roman"/>
          <w:sz w:val="18"/>
          <w:szCs w:val="18"/>
        </w:rPr>
      </w:pP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根据相关法律法规和监管规定，经甲方与乙方协商一致，就甲方向乙方购买人民币理财产品（以下简称“理财产品”），达成协议如下：</w:t>
      </w:r>
    </w:p>
    <w:p>
      <w:pPr>
        <w:rPr>
          <w:rFonts w:ascii="微软雅黑" w:hAnsi="微软雅黑" w:eastAsia="微软雅黑" w:cs="微软雅黑"/>
          <w:sz w:val="18"/>
          <w:szCs w:val="18"/>
        </w:rPr>
      </w:pPr>
      <w:r>
        <w:rPr>
          <w:rFonts w:hint="eastAsia" w:ascii="微软雅黑" w:hAnsi="微软雅黑" w:eastAsia="微软雅黑" w:cs="微软雅黑"/>
          <w:sz w:val="18"/>
          <w:szCs w:val="18"/>
        </w:rPr>
        <w:t>一、甲方首次在乙方购买理财产品时应签署本协议，本协议生效后，除双方另有约定外，在本协议有效期内甲方在乙方购买任何理财产品均适用本协议。本协议的签署并不作为甲方认购、申购或持有理财产品的凭证，甲方在购买每一具体理财产品时还应与乙方签署相应理财产品的《理财产品及风险和客户权益说明书》（以下简称《产品说明书》，包含“风险揭示书专页”、“产品说明专页”、“理财客户权益须知专页”三部分）、《瑞丰银行投资客户风险评估问卷》、《人民币理财业务协议书》、相</w:t>
      </w:r>
      <w:r>
        <w:rPr>
          <w:rFonts w:ascii="微软雅黑" w:hAnsi="微软雅黑" w:eastAsia="微软雅黑" w:cs="微软雅黑"/>
          <w:sz w:val="18"/>
          <w:szCs w:val="18"/>
        </w:rPr>
        <w:t>关</w:t>
      </w:r>
      <w:r>
        <w:rPr>
          <w:rFonts w:hint="eastAsia" w:ascii="微软雅黑" w:hAnsi="微软雅黑" w:eastAsia="微软雅黑" w:cs="微软雅黑"/>
          <w:sz w:val="18"/>
          <w:szCs w:val="18"/>
        </w:rPr>
        <w:t>业务凭证等，按乙方相关业务规则办理购买理财产品的手续。</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本协议、《产品说明书》、《瑞丰银行投资客户风险评估问卷》、《人民币理财业务协议书》以及相</w:t>
      </w:r>
      <w:r>
        <w:rPr>
          <w:rFonts w:ascii="微软雅黑" w:hAnsi="微软雅黑" w:eastAsia="微软雅黑" w:cs="微软雅黑"/>
          <w:sz w:val="18"/>
          <w:szCs w:val="18"/>
        </w:rPr>
        <w:t>关</w:t>
      </w:r>
      <w:r>
        <w:rPr>
          <w:rFonts w:hint="eastAsia" w:ascii="微软雅黑" w:hAnsi="微软雅黑" w:eastAsia="微软雅黑" w:cs="微软雅黑"/>
          <w:sz w:val="18"/>
          <w:szCs w:val="18"/>
        </w:rPr>
        <w:t>业务凭证共同构成一份完整的、关于甲方所购某一理财产品的理财产品法律文件（以下简称“理财产品文件”）。本协议与《产品说明书》不一致的，以《产品说明书》为准。</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甲方购买多个银行理财产品时，每一份针对某一理财产品的《产品说明书》及相关业务凭证与本协议共同构成一份独立的理财产品文件，该理财产品文件的效力和履行情况均独立于其他理财产品文件。</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二、甲方声明和保证</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（一）个人投资者声明和保证</w:t>
      </w:r>
    </w:p>
    <w:p>
      <w:pPr>
        <w:ind w:firstLine="360" w:firstLineChars="200"/>
        <w:rPr>
          <w:rFonts w:ascii="微软雅黑" w:hAnsi="微软雅黑" w:eastAsia="微软雅黑" w:cs="Times New Roman"/>
          <w:sz w:val="18"/>
          <w:szCs w:val="18"/>
        </w:rPr>
      </w:pPr>
      <w:r>
        <w:rPr>
          <w:rFonts w:ascii="微软雅黑" w:hAnsi="微软雅黑" w:eastAsia="微软雅黑" w:cs="微软雅黑"/>
          <w:sz w:val="18"/>
          <w:szCs w:val="18"/>
        </w:rPr>
        <w:t>1</w:t>
      </w:r>
      <w:r>
        <w:rPr>
          <w:rFonts w:hint="eastAsia" w:ascii="微软雅黑" w:hAnsi="微软雅黑" w:eastAsia="微软雅黑" w:cs="微软雅黑"/>
          <w:sz w:val="18"/>
          <w:szCs w:val="18"/>
        </w:rPr>
        <w:t>、甲方具有完全民事行为能力，以本人合法所有的资金购买理财产品；</w:t>
      </w:r>
    </w:p>
    <w:p>
      <w:pPr>
        <w:ind w:firstLine="360" w:firstLineChars="200"/>
        <w:rPr>
          <w:rFonts w:ascii="微软雅黑" w:hAnsi="微软雅黑" w:eastAsia="微软雅黑" w:cs="Times New Roman"/>
          <w:sz w:val="18"/>
          <w:szCs w:val="18"/>
        </w:rPr>
      </w:pPr>
      <w:r>
        <w:rPr>
          <w:rFonts w:ascii="微软雅黑" w:hAnsi="微软雅黑" w:eastAsia="微软雅黑" w:cs="微软雅黑"/>
          <w:sz w:val="18"/>
          <w:szCs w:val="18"/>
        </w:rPr>
        <w:t>2</w:t>
      </w:r>
      <w:r>
        <w:rPr>
          <w:rFonts w:hint="eastAsia" w:ascii="微软雅黑" w:hAnsi="微软雅黑" w:eastAsia="微软雅黑" w:cs="微软雅黑"/>
          <w:sz w:val="18"/>
          <w:szCs w:val="18"/>
        </w:rPr>
        <w:t>、甲方为港、澳、台人士或外籍人士的，其购买理财产品的资质及资金符合法律法规、监管规定的相关要求；</w:t>
      </w:r>
    </w:p>
    <w:p>
      <w:pPr>
        <w:ind w:firstLine="360" w:firstLineChars="200"/>
        <w:rPr>
          <w:rFonts w:ascii="微软雅黑" w:hAnsi="微软雅黑" w:eastAsia="微软雅黑" w:cs="Times New Roman"/>
          <w:sz w:val="18"/>
          <w:szCs w:val="18"/>
        </w:rPr>
      </w:pPr>
      <w:r>
        <w:rPr>
          <w:rFonts w:ascii="微软雅黑" w:hAnsi="微软雅黑" w:eastAsia="微软雅黑" w:cs="微软雅黑"/>
          <w:sz w:val="18"/>
          <w:szCs w:val="18"/>
        </w:rPr>
        <w:t>3</w:t>
      </w:r>
      <w:r>
        <w:rPr>
          <w:rFonts w:hint="eastAsia" w:ascii="微软雅黑" w:hAnsi="微软雅黑" w:eastAsia="微软雅黑" w:cs="微软雅黑"/>
          <w:sz w:val="18"/>
          <w:szCs w:val="18"/>
        </w:rPr>
        <w:t>、甲方已如实向乙方披露其风险承受能力状况及相关信息，并已签署、确认《瑞丰银行投资客户风险评估问卷》、《产品说明书》；如发生可能影响自身风险承受能力的情况，甲方应及时告知乙方，并配合乙方对其进行风险承受能力持续评估；</w:t>
      </w:r>
    </w:p>
    <w:p>
      <w:pPr>
        <w:ind w:firstLine="360" w:firstLineChars="200"/>
        <w:rPr>
          <w:rFonts w:ascii="微软雅黑" w:hAnsi="微软雅黑" w:eastAsia="微软雅黑" w:cs="Times New Roman"/>
          <w:sz w:val="18"/>
          <w:szCs w:val="18"/>
        </w:rPr>
      </w:pPr>
      <w:r>
        <w:rPr>
          <w:rFonts w:ascii="微软雅黑" w:hAnsi="微软雅黑" w:eastAsia="微软雅黑" w:cs="微软雅黑"/>
          <w:sz w:val="18"/>
          <w:szCs w:val="18"/>
        </w:rPr>
        <w:t>4</w:t>
      </w:r>
      <w:r>
        <w:rPr>
          <w:rFonts w:hint="eastAsia" w:ascii="微软雅黑" w:hAnsi="微软雅黑" w:eastAsia="微软雅黑" w:cs="微软雅黑"/>
          <w:sz w:val="18"/>
          <w:szCs w:val="18"/>
        </w:rPr>
        <w:t>、甲方清楚知晓、接受并承诺遵守理财产品文件，对其条款内容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投资决策风险由甲方自行承担。</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（二）机构投资者声明和保证</w:t>
      </w:r>
    </w:p>
    <w:p>
      <w:pPr>
        <w:ind w:firstLine="360" w:firstLineChars="200"/>
        <w:rPr>
          <w:rFonts w:ascii="微软雅黑" w:hAnsi="微软雅黑" w:eastAsia="微软雅黑" w:cs="Times New Roman"/>
          <w:sz w:val="18"/>
          <w:szCs w:val="18"/>
        </w:rPr>
      </w:pPr>
      <w:r>
        <w:rPr>
          <w:rFonts w:ascii="微软雅黑" w:hAnsi="微软雅黑" w:eastAsia="微软雅黑" w:cs="微软雅黑"/>
          <w:sz w:val="18"/>
          <w:szCs w:val="18"/>
        </w:rPr>
        <w:t>1</w:t>
      </w:r>
      <w:r>
        <w:rPr>
          <w:rFonts w:hint="eastAsia" w:ascii="微软雅黑" w:hAnsi="微软雅黑" w:eastAsia="微软雅黑" w:cs="微软雅黑"/>
          <w:sz w:val="18"/>
          <w:szCs w:val="18"/>
        </w:rPr>
        <w:t>、甲方为依法设立并合法存续的企业法人、事业法人、社会团体或其他组织，具有依据法律法规投资理财产品的资格；</w:t>
      </w:r>
    </w:p>
    <w:p>
      <w:pPr>
        <w:ind w:firstLine="360" w:firstLineChars="200"/>
        <w:rPr>
          <w:rFonts w:ascii="微软雅黑" w:hAnsi="微软雅黑" w:eastAsia="微软雅黑" w:cs="Times New Roman"/>
          <w:sz w:val="18"/>
          <w:szCs w:val="18"/>
        </w:rPr>
      </w:pPr>
      <w:r>
        <w:rPr>
          <w:rFonts w:ascii="微软雅黑" w:hAnsi="微软雅黑" w:eastAsia="微软雅黑" w:cs="微软雅黑"/>
          <w:sz w:val="18"/>
          <w:szCs w:val="18"/>
        </w:rPr>
        <w:t>2</w:t>
      </w:r>
      <w:r>
        <w:rPr>
          <w:rFonts w:hint="eastAsia" w:ascii="微软雅黑" w:hAnsi="微软雅黑" w:eastAsia="微软雅黑" w:cs="微软雅黑"/>
          <w:sz w:val="18"/>
          <w:szCs w:val="18"/>
        </w:rPr>
        <w:t>、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w:t>
      </w:r>
    </w:p>
    <w:p>
      <w:pPr>
        <w:ind w:firstLine="360" w:firstLineChars="200"/>
        <w:rPr>
          <w:rFonts w:ascii="微软雅黑" w:hAnsi="微软雅黑" w:eastAsia="微软雅黑" w:cs="Times New Roman"/>
          <w:sz w:val="18"/>
          <w:szCs w:val="18"/>
        </w:rPr>
      </w:pPr>
      <w:r>
        <w:rPr>
          <w:rFonts w:ascii="微软雅黑" w:hAnsi="微软雅黑" w:eastAsia="微软雅黑" w:cs="微软雅黑"/>
          <w:sz w:val="18"/>
          <w:szCs w:val="18"/>
        </w:rPr>
        <w:t>3</w:t>
      </w:r>
      <w:r>
        <w:rPr>
          <w:rFonts w:hint="eastAsia" w:ascii="微软雅黑" w:hAnsi="微软雅黑" w:eastAsia="微软雅黑" w:cs="微软雅黑"/>
          <w:sz w:val="18"/>
          <w:szCs w:val="18"/>
        </w:rPr>
        <w:t>、甲方用于购买理财产品的资金为其合法所有并具有完全的占有、使用、收益、处分权，该资金可合法地投资于理财产品而不存在任何禁止或限制情形；</w:t>
      </w:r>
    </w:p>
    <w:p>
      <w:pPr>
        <w:ind w:firstLine="360" w:firstLineChars="200"/>
        <w:rPr>
          <w:rFonts w:ascii="微软雅黑" w:hAnsi="微软雅黑" w:eastAsia="微软雅黑" w:cs="Times New Roman"/>
          <w:sz w:val="18"/>
          <w:szCs w:val="18"/>
        </w:rPr>
      </w:pPr>
      <w:r>
        <w:rPr>
          <w:rFonts w:ascii="微软雅黑" w:hAnsi="微软雅黑" w:eastAsia="微软雅黑" w:cs="微软雅黑"/>
          <w:sz w:val="18"/>
          <w:szCs w:val="18"/>
        </w:rPr>
        <w:t>4</w:t>
      </w:r>
      <w:r>
        <w:rPr>
          <w:rFonts w:hint="eastAsia" w:ascii="微软雅黑" w:hAnsi="微软雅黑" w:eastAsia="微软雅黑" w:cs="微软雅黑"/>
          <w:sz w:val="18"/>
          <w:szCs w:val="18"/>
        </w:rPr>
        <w:t>、甲方已如实、完整向乙方披露其风险承受能力状况及相关信息；</w:t>
      </w:r>
    </w:p>
    <w:p>
      <w:pPr>
        <w:ind w:firstLine="360" w:firstLineChars="200"/>
        <w:rPr>
          <w:rFonts w:ascii="微软雅黑" w:hAnsi="微软雅黑" w:eastAsia="微软雅黑" w:cs="Times New Roman"/>
          <w:sz w:val="18"/>
          <w:szCs w:val="18"/>
        </w:rPr>
      </w:pPr>
      <w:r>
        <w:rPr>
          <w:rFonts w:ascii="微软雅黑" w:hAnsi="微软雅黑" w:eastAsia="微软雅黑" w:cs="微软雅黑"/>
          <w:sz w:val="18"/>
          <w:szCs w:val="18"/>
        </w:rPr>
        <w:t>5</w:t>
      </w:r>
      <w:r>
        <w:rPr>
          <w:rFonts w:hint="eastAsia" w:ascii="微软雅黑" w:hAnsi="微软雅黑" w:eastAsia="微软雅黑" w:cs="微软雅黑"/>
          <w:sz w:val="18"/>
          <w:szCs w:val="18"/>
        </w:rPr>
        <w:t>、甲方授权签字人已得到签署理财产品文件的充分有效授权。甲方的法定代表人或授权签字人具有完全的民事行为能力并已详细阅读本协议、《产品说明书》等理财产品文件，清楚知晓、接受并承诺遵守理财产品文件，对其条款内容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三、风险提示</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乙方销售的理财产品与存款存在明显区别，具有不同的期限、结构、收益和风险特征。投资理财产品可能面临信用风险、市场风险、流动性风险等，具体风险详见《产品说明书》中“风险揭示书专页”。甲方在购买理财产品前，应仔细阅读并充分理解与该理财产品《产品说明书》的详细条款及可能发生的风险。</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保本浮动收益理财产品存在投资风险，只保障甲方理财资金本金安全，不保证甲方可以获得理财收益，甲方应充分认识投资风险，谨慎投资。</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非保本浮动收益理财产品不保证甲方理财资金本金和收益，甲方可能会因理财产品风险评级的不同和市场的变动蒙受不同程度的损失（包括不同程度本金的损失），净值型理财产品为非保本浮动收益理财产品。甲方应充分认识投资风险，谨慎投资。</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在理财产品允许甲方提前赎回情形下，甲方提前赎回理财产品属于双方关于收益及本金约定条件之外的交易，因此乙方不承诺甲方提前赎回时理财产品享有收益保证或本金保证，甲方可能出现产品收益或本金损失。</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乙方向甲方介绍的预期投资收益率或业绩比较基准仅供甲方参考，不代表乙方获得的实际收益，不代表理财产品的未来表现，亦不构成乙方保证甲方取得该预期收益率及业绩比较基准反映的收益率的承诺，甲方应充分认识投资风险，谨慎投资。甲方凭借自身判断独立、自愿购买理财产品，乙方及其工作人员在任何情况下提供的意见和表述的观点仅供参考。</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四、双方权利与义务</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（一）甲方有权依照理财产品文件约定获取理财收益，在约定的投资期内，理财资金本金不另计存款利息。</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（二）甲方有权充分了解理财产品文件的条款以及可能发生的风险，充分了解理财产品的管理、运用、处分及收支情况，并有权要求乙方按照有关程序做出说明。</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（三）甲方有义务保证理财资金的来源合法，购买理财产品的行为符合法律法规、监管规定及国家政策。</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四）甲方有义务保证所提供的信息、资料真实有效，如变更，应及时到乙方办理变更登记，因甲方未及时办理相关变更手续而造成的损失，乙方不承担责任。本协议履行过程中乙方需联系甲方时，乙方按照本协议中约定的联系或通知方式联系甲方，其中对其代理人的通知视为对甲方的通知。</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（五）甲方有义务在其资金账户（下称“甲方资金账户”）中预留足额的认</w:t>
      </w:r>
      <w:r>
        <w:rPr>
          <w:rFonts w:ascii="微软雅黑" w:hAnsi="微软雅黑" w:eastAsia="微软雅黑" w:cs="微软雅黑"/>
          <w:sz w:val="18"/>
          <w:szCs w:val="18"/>
        </w:rPr>
        <w:t>/</w:t>
      </w:r>
      <w:r>
        <w:rPr>
          <w:rFonts w:hint="eastAsia" w:ascii="微软雅黑" w:hAnsi="微软雅黑" w:eastAsia="微软雅黑" w:cs="微软雅黑"/>
          <w:sz w:val="18"/>
          <w:szCs w:val="18"/>
        </w:rPr>
        <w:t>申购资金，并按照理财产品文件和乙方业务规则办理认</w:t>
      </w:r>
      <w:r>
        <w:rPr>
          <w:rFonts w:ascii="微软雅黑" w:hAnsi="微软雅黑" w:eastAsia="微软雅黑" w:cs="微软雅黑"/>
          <w:sz w:val="18"/>
          <w:szCs w:val="18"/>
        </w:rPr>
        <w:t>/</w:t>
      </w:r>
      <w:r>
        <w:rPr>
          <w:rFonts w:hint="eastAsia" w:ascii="微软雅黑" w:hAnsi="微软雅黑" w:eastAsia="微软雅黑" w:cs="微软雅黑"/>
          <w:sz w:val="18"/>
          <w:szCs w:val="18"/>
        </w:rPr>
        <w:t>申购、赎回、转换理财产品，缴纳认</w:t>
      </w:r>
      <w:r>
        <w:rPr>
          <w:rFonts w:ascii="微软雅黑" w:hAnsi="微软雅黑" w:eastAsia="微软雅黑" w:cs="微软雅黑"/>
          <w:sz w:val="18"/>
          <w:szCs w:val="18"/>
        </w:rPr>
        <w:t>/</w:t>
      </w:r>
      <w:r>
        <w:rPr>
          <w:rFonts w:hint="eastAsia" w:ascii="微软雅黑" w:hAnsi="微软雅黑" w:eastAsia="微软雅黑" w:cs="微软雅黑"/>
          <w:sz w:val="18"/>
          <w:szCs w:val="18"/>
        </w:rPr>
        <w:t>申购、赎回、转换理财产品的资金和费用等理财款项。如因甲方资金账户冻结、挂失、换卡、销户、长期不动户、变更或其他甲方原因导致理财款项不能从其资金账户足额划转的，认</w:t>
      </w:r>
      <w:r>
        <w:rPr>
          <w:rFonts w:ascii="微软雅黑" w:hAnsi="微软雅黑" w:eastAsia="微软雅黑" w:cs="微软雅黑"/>
          <w:sz w:val="18"/>
          <w:szCs w:val="18"/>
        </w:rPr>
        <w:t>/</w:t>
      </w:r>
      <w:r>
        <w:rPr>
          <w:rFonts w:hint="eastAsia" w:ascii="微软雅黑" w:hAnsi="微软雅黑" w:eastAsia="微软雅黑" w:cs="微软雅黑"/>
          <w:sz w:val="18"/>
          <w:szCs w:val="18"/>
        </w:rPr>
        <w:t>申购、赎回、转换等行为无效，乙方不承担责任。</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六）甲方有义务承诺在理财产品到期日前，除非按照《产品说明书》约定行权终止或者转让理财产品，否则不得提前支取本金、收益或要求乙方提前退还被扣划款项，且不得将用于购买理财产品或返还本金、收益的甲方资金账户销户。</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七）甲方为个人投资者的，有义务妥善保管本人的存折、银行卡、有价凭证、密码等重要私人物品及信息，不得将上述信息、物品向任何第三方披露或委托第三方保管，亦不得私下将上述信息、物品委托乙方人员代为保管。</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甲方为机构投资者的，有义务妥善保管本公司（机构投资者）的账户信息、印鉴章、支票等重要凭证及信息，不得将上述信息、物品向任何第三方披露或委托第三方保管，亦不得私下将上述信息、物品委托乙方人员代为保管。</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八）甲方有义务仔细阅读并充分了解理财产品文件的详细条款以及可能发生的风险，按照理财产品文件的约定履行义务、并合理善意的行使理财份额持有人的权利，不得损害其他理财产品当事人的合法权利和利益。</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（九）除双方另有书面约定外，甲方在此愿意选择通过乙方网点柜台外的其他渠道</w:t>
      </w:r>
      <w:r>
        <w:rPr>
          <w:rFonts w:ascii="微软雅黑" w:hAnsi="微软雅黑" w:eastAsia="微软雅黑" w:cs="微软雅黑"/>
          <w:sz w:val="18"/>
          <w:szCs w:val="18"/>
        </w:rPr>
        <w:t>(</w:t>
      </w:r>
      <w:r>
        <w:rPr>
          <w:rFonts w:hint="eastAsia" w:ascii="微软雅黑" w:hAnsi="微软雅黑" w:eastAsia="微软雅黑" w:cs="微软雅黑"/>
          <w:sz w:val="18"/>
          <w:szCs w:val="18"/>
        </w:rPr>
        <w:t>包括但不限于网上银行、手机银行等渠道</w:t>
      </w:r>
      <w:r>
        <w:rPr>
          <w:rFonts w:ascii="微软雅黑" w:hAnsi="微软雅黑" w:eastAsia="微软雅黑" w:cs="微软雅黑"/>
          <w:sz w:val="18"/>
          <w:szCs w:val="18"/>
        </w:rPr>
        <w:t>)</w:t>
      </w:r>
      <w:r>
        <w:rPr>
          <w:rFonts w:hint="eastAsia" w:ascii="微软雅黑" w:hAnsi="微软雅黑" w:eastAsia="微软雅黑" w:cs="微软雅黑"/>
          <w:sz w:val="18"/>
          <w:szCs w:val="18"/>
        </w:rPr>
        <w:t>并按照乙方相关业务规则进行。</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（十）乙方有权确定理财产品的销售渠道（包括但不限于网点柜台、网上银行、手机银行等渠道）及其覆盖范围。</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（十一）乙方有权依据理财产品文件根据管理、运用和处分理财计划财产的需要，独立对理财资金进行投资管理。乙方可委托经相关监管机构批准或认可的其他金融机构对理财资金进行投资管理。</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（十二）甲方在乙方销售渠道</w:t>
      </w:r>
      <w:r>
        <w:rPr>
          <w:rFonts w:ascii="微软雅黑" w:hAnsi="微软雅黑" w:eastAsia="微软雅黑" w:cs="微软雅黑"/>
          <w:sz w:val="18"/>
          <w:szCs w:val="18"/>
        </w:rPr>
        <w:t>(</w:t>
      </w:r>
      <w:r>
        <w:rPr>
          <w:rFonts w:hint="eastAsia" w:ascii="微软雅黑" w:hAnsi="微软雅黑" w:eastAsia="微软雅黑" w:cs="微软雅黑"/>
          <w:sz w:val="18"/>
          <w:szCs w:val="18"/>
        </w:rPr>
        <w:t>包括但不限于网点柜台、网上银行、手机银行等渠道</w:t>
      </w:r>
      <w:r>
        <w:rPr>
          <w:rFonts w:ascii="微软雅黑" w:hAnsi="微软雅黑" w:eastAsia="微软雅黑" w:cs="微软雅黑"/>
          <w:sz w:val="18"/>
          <w:szCs w:val="18"/>
        </w:rPr>
        <w:t>)</w:t>
      </w:r>
      <w:r>
        <w:rPr>
          <w:rFonts w:hint="eastAsia" w:ascii="微软雅黑" w:hAnsi="微软雅黑" w:eastAsia="微软雅黑" w:cs="微软雅黑"/>
          <w:sz w:val="18"/>
          <w:szCs w:val="18"/>
        </w:rPr>
        <w:t>签署或确认本协议并购买理财产品，即表示乙方有权从甲方资金账户扣划本协议项下理财产品相应认</w:t>
      </w:r>
      <w:r>
        <w:rPr>
          <w:rFonts w:ascii="微软雅黑" w:hAnsi="微软雅黑" w:eastAsia="微软雅黑" w:cs="微软雅黑"/>
          <w:sz w:val="18"/>
          <w:szCs w:val="18"/>
        </w:rPr>
        <w:t>/</w:t>
      </w:r>
      <w:r>
        <w:rPr>
          <w:rFonts w:hint="eastAsia" w:ascii="微软雅黑" w:hAnsi="微软雅黑" w:eastAsia="微软雅黑" w:cs="微软雅黑"/>
          <w:sz w:val="18"/>
          <w:szCs w:val="18"/>
        </w:rPr>
        <w:t>申购资金等理财款项，或将相应资金币种转换后进行境外投资；除非双方另有书面约定，在甲方购买风险较高或单笔金额较大的理财产品情形下，乙方进行上述资金扣划时无须与甲方再进行电话等任何方式的最后确认。如甲方不同意购买该理财产品且《产品说明书》约定可以撤销购买，甲方应在乙方规定的交易截止时点前及时通知乙方。</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（十三）乙方有权依据理财产品文件决定理财资金本金和收益分配方案；乙方有权向甲方收取一定的理财产品管理费、销售费、托管费等相关费用，具体收费项目、条件、方式和标准详见《产品说明书》。</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十四）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十五）乙方依约定将理财资金的本金及收益划入甲方资金账户（以乙方在划入前收到的甲方最后一次以乙方认可的方式所办理的变更手续中指定的资金账户为准）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理财资金本金误扣划以及理财资金本金与收益无法入账，甲方承担全部责任。通过其他渠道（包括但不限于网上银行、电话银行等渠道）购买理财产品应按乙方相关业务规则办理。</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（十六）如甲方对浙江绍兴瑞丰农村商业银行股份有限公司及</w:t>
      </w:r>
      <w:r>
        <w:rPr>
          <w:rFonts w:ascii="微软雅黑" w:hAnsi="微软雅黑" w:eastAsia="微软雅黑" w:cs="微软雅黑"/>
          <w:sz w:val="18"/>
          <w:szCs w:val="18"/>
        </w:rPr>
        <w:t>/</w:t>
      </w:r>
      <w:r>
        <w:rPr>
          <w:rFonts w:hint="eastAsia" w:ascii="微软雅黑" w:hAnsi="微软雅黑" w:eastAsia="微软雅黑" w:cs="微软雅黑"/>
          <w:sz w:val="18"/>
          <w:szCs w:val="18"/>
        </w:rPr>
        <w:t>或其任何分支机构负有到期未偿债务，乙方有权终止办理本协议项下的任何业务，宣布本协议项下的各款理财产品立即到期并进行清算，以所得资金抵偿甲方所欠债务。</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十七）鉴于理财产品投资可能涉及复杂的金融交易，乙方应在遵循相关法律法规、监管规定并尽可能维护甲方利益的前提下，乙方有权对该类交易中涉及的、双方未能在理财产品文件中约定的事宜按照相关交易惯例处理。</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（十八）乙方有义务根据恪守信用、勤勉尽责的原则管理和运用理财产品财产，保证理财资金投向符合法律法规、监管规定及国家政策，维护甲方利益。</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（十九）乙方有义务按照《产品说明书》中“理财客户权益须知专页”的规定在门户网站等渠道上披露理财产品相关信息。</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（二十）除另有约定外，乙方不负责代扣代缴甲方应缴纳的税款。</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（二十一）甲、乙双方对本协议及其条款负有保密义务。除法律法规、监管规定另有要求外，未经一方书面认可，另一方不得向任何组织、个人提供或泄漏与对方有关的资料和信息。</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（二十二）法律法规、监管规定和理财产品文件规定的其他权利和义务。</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五、理财产品类型</w:t>
      </w:r>
    </w:p>
    <w:p>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（一）根据乙方募集方式的不同，理财产品可分为公募理财产品和私募理财产品。</w:t>
      </w:r>
    </w:p>
    <w:p>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公募理财产品是指商业银行面向不特定社会公众公开发行的理财产品，私募理财产品是指商业银行面向合格投资者非公开发行的理财产品。</w:t>
      </w:r>
    </w:p>
    <w:p>
      <w:pPr>
        <w:numPr>
          <w:ilvl w:val="0"/>
          <w:numId w:val="1"/>
        </w:num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根据投资性质的不同，理财产品分可为固定收益类理财产品、权益类理财产品、商品及金融衍生品类理财产品和混合类理财产品。</w:t>
      </w:r>
    </w:p>
    <w:p>
      <w:pPr>
        <w:numPr>
          <w:ilvl w:val="0"/>
          <w:numId w:val="1"/>
        </w:num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根据运作方式的不同，理财产品可分为封闭式理财产品和开放式理财产品。</w:t>
      </w:r>
    </w:p>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     根据资管新规要求，过渡期结束后所有理财产品都为净值型理财产品（非保本），不保证客户的本金及收益，详见产品说明书。</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六、理财产品认购、申购、赎回、转换与兑付等具体事宜</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甲方应按照乙方业务规定进行理财产品的认购、申购、赎回、转换与兑付等，具体详见《产品说明书》。</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甲方认</w:t>
      </w:r>
      <w:r>
        <w:rPr>
          <w:rFonts w:ascii="微软雅黑" w:hAnsi="微软雅黑" w:eastAsia="微软雅黑" w:cs="微软雅黑"/>
          <w:sz w:val="18"/>
          <w:szCs w:val="18"/>
        </w:rPr>
        <w:t>/</w:t>
      </w:r>
      <w:r>
        <w:rPr>
          <w:rFonts w:hint="eastAsia" w:ascii="微软雅黑" w:hAnsi="微软雅黑" w:eastAsia="微软雅黑" w:cs="微软雅黑"/>
          <w:sz w:val="18"/>
          <w:szCs w:val="18"/>
        </w:rPr>
        <w:t>申购及赎回申请在申请日乙方规定的交易截止时点后不得撤销；甲方应在乙方规定期间后按乙方规定及时确认认</w:t>
      </w:r>
      <w:r>
        <w:rPr>
          <w:rFonts w:ascii="微软雅黑" w:hAnsi="微软雅黑" w:eastAsia="微软雅黑" w:cs="微软雅黑"/>
          <w:sz w:val="18"/>
          <w:szCs w:val="18"/>
        </w:rPr>
        <w:t>/</w:t>
      </w:r>
      <w:r>
        <w:rPr>
          <w:rFonts w:hint="eastAsia" w:ascii="微软雅黑" w:hAnsi="微软雅黑" w:eastAsia="微软雅黑" w:cs="微软雅黑"/>
          <w:sz w:val="18"/>
          <w:szCs w:val="18"/>
        </w:rPr>
        <w:t>申购及赎回的有效性。</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七、理财产品的信息披露</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具体详见《产品说明书》中“理财客户权益须知专页”。</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八、违约及争议解决</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（一）一方不能履行或者不能完全履行理财产品文件的，应承担违约责任。</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三）非因乙方原因（包括但不限于本协议遗失或被盗、甲方资金账户及相关交易账户被有权机关冻结或扣划、甲方将本协议中所指卡、折等重要物品或信息交由乙方人员保管或向第三方披露等原因）造成的甲方损失，乙方不承担责任。</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（四）本协议及理财产品文件均适用中华人民共和国法律。本协议项下的任何争议，双方应通过友好协商解决；若协商不成，依法向甲方具体办理理财产品交易的乙方分支机构所在地人民法院提起诉讼。</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在争议解决期间，若该争议不影响本协议及理财产品文件其他条款的履行，则该其他条款应继续履行。</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九、协议生效、终止及其他</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（一）甲方为个人投资者的，本协议经甲方签字，乙方盖章后生效；</w:t>
      </w:r>
    </w:p>
    <w:p>
      <w:pPr>
        <w:ind w:firstLine="900" w:firstLineChars="500"/>
        <w:rPr>
          <w:rFonts w:ascii="微软雅黑" w:hAnsi="微软雅黑" w:eastAsia="微软雅黑" w:cs="Times New Roman"/>
          <w:sz w:val="18"/>
          <w:szCs w:val="18"/>
        </w:rPr>
      </w:pPr>
      <w:r>
        <w:rPr>
          <w:rFonts w:hint="eastAsia" w:ascii="微软雅黑" w:hAnsi="微软雅黑" w:eastAsia="微软雅黑" w:cs="微软雅黑"/>
          <w:sz w:val="18"/>
          <w:szCs w:val="18"/>
        </w:rPr>
        <w:t>甲方为机构投资者的，本协议经甲方法定代表人或授权签字人签字并加盖法人公章，乙方盖章后生效；</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（二）</w:t>
      </w:r>
      <w:r>
        <w:rPr>
          <w:rFonts w:hint="eastAsia" w:ascii="微软雅黑" w:hAnsi="微软雅黑" w:eastAsia="微软雅黑" w:cs="微软雅黑"/>
          <w:color w:val="auto"/>
          <w:sz w:val="18"/>
          <w:szCs w:val="18"/>
        </w:rPr>
        <w:t>如出现《产品说明书》约定的提前终止产品情形，甲</w:t>
      </w:r>
      <w:r>
        <w:rPr>
          <w:rFonts w:hint="eastAsia" w:ascii="微软雅黑" w:hAnsi="微软雅黑" w:eastAsia="微软雅黑" w:cs="微软雅黑"/>
          <w:sz w:val="18"/>
          <w:szCs w:val="18"/>
        </w:rPr>
        <w:t>方有违约行为或甲方资金账户被有权机关冻结、扣划时，乙方有权提前终止本协议。</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（三）除非甲乙双方签署新的协议替换本协议，本协议长期有效，乙方将在购买某理财产品的《产品说明书》或其它法律文件中定期与甲方确认本协议，甲方应予配合。</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四）乙方按照法律法规、监管规定和理财产品文件的约定调整投资范围、投资品种、投资比例、收费项目、收费条件、收费标准、收费方式等理财产品文件的内容及条款的，除双方另有约定外，调整后的内容及条款对调整生效前甲方已经成交的交易不发生效力；甲方不接受上述调整的，如理财产品允许甲方提前赎回，甲方有权按照理财产品文件的约定提前赎回。</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五）如甲乙双方在本协议生效前就理财产品已签署理财类总协议或仅就某理财产品单独签署理财协议（下称“已签协议”），本协议生效后，甲方向乙方新购买的任何理财产品，除双方另有约定外，均适用本协议，不适用已签协议。</w:t>
      </w: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（七）本协议一式二份，具有同等法律效力，甲方执一份，乙方执一份。</w:t>
      </w:r>
    </w:p>
    <w:p>
      <w:pPr>
        <w:rPr>
          <w:rFonts w:ascii="微软雅黑" w:hAnsi="微软雅黑" w:eastAsia="微软雅黑" w:cs="Times New Roman"/>
          <w:sz w:val="18"/>
          <w:szCs w:val="18"/>
        </w:rPr>
      </w:pPr>
    </w:p>
    <w:p>
      <w:pPr>
        <w:rPr>
          <w:rFonts w:ascii="微软雅黑" w:hAnsi="微软雅黑" w:eastAsia="微软雅黑" w:cs="Times New Roman"/>
          <w:sz w:val="18"/>
          <w:szCs w:val="18"/>
        </w:rPr>
      </w:pPr>
    </w:p>
    <w:p>
      <w:pPr>
        <w:rPr>
          <w:rFonts w:ascii="微软雅黑" w:hAnsi="微软雅黑" w:eastAsia="微软雅黑" w:cs="Times New Roman"/>
          <w:sz w:val="18"/>
          <w:szCs w:val="18"/>
        </w:rPr>
      </w:pPr>
    </w:p>
    <w:p>
      <w:pPr>
        <w:ind w:firstLine="360" w:firstLineChars="200"/>
        <w:rPr>
          <w:rFonts w:ascii="微软雅黑" w:hAnsi="微软雅黑" w:eastAsia="微软雅黑" w:cs="Times New Roman"/>
          <w:sz w:val="18"/>
          <w:szCs w:val="18"/>
        </w:rPr>
      </w:pPr>
      <w:r>
        <w:rPr>
          <w:rFonts w:hint="eastAsia" w:ascii="微软雅黑" w:hAnsi="微软雅黑" w:eastAsia="微软雅黑" w:cs="微软雅黑"/>
          <w:sz w:val="18"/>
          <w:szCs w:val="18"/>
        </w:rPr>
        <w:t>甲方声明：甲方已详细阅读本协议相关条款，充分了解并清楚知晓购买理财产品的风险，愿意承担相关风险。甲方保证填写的信息资料的正确性，并确认银行打印的交易内容正确无误。</w:t>
      </w:r>
    </w:p>
    <w:p>
      <w:pPr>
        <w:rPr>
          <w:rFonts w:ascii="微软雅黑" w:hAnsi="微软雅黑" w:eastAsia="微软雅黑" w:cs="Times New Roman"/>
          <w:sz w:val="18"/>
          <w:szCs w:val="18"/>
        </w:rPr>
      </w:pPr>
    </w:p>
    <w:p>
      <w:pPr>
        <w:rPr>
          <w:rFonts w:ascii="微软雅黑" w:hAnsi="微软雅黑" w:eastAsia="微软雅黑" w:cs="Times New Roman"/>
          <w:b/>
          <w:bCs/>
          <w:sz w:val="18"/>
          <w:szCs w:val="18"/>
        </w:rPr>
      </w:pPr>
      <w:r>
        <w:rPr>
          <w:rFonts w:hint="eastAsia" w:ascii="微软雅黑" w:hAnsi="微软雅黑" w:eastAsia="微软雅黑" w:cs="微软雅黑"/>
          <w:b/>
          <w:bCs/>
          <w:sz w:val="18"/>
          <w:szCs w:val="18"/>
        </w:rPr>
        <w:t>个人投资者</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甲方（签字）：</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签署时间：</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年</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月</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日</w:t>
      </w:r>
    </w:p>
    <w:p>
      <w:pPr>
        <w:rPr>
          <w:rFonts w:ascii="微软雅黑" w:hAnsi="微软雅黑" w:eastAsia="微软雅黑" w:cs="Times New Roman"/>
          <w:sz w:val="18"/>
          <w:szCs w:val="18"/>
        </w:rPr>
      </w:pPr>
    </w:p>
    <w:p>
      <w:pPr>
        <w:rPr>
          <w:rFonts w:ascii="微软雅黑" w:hAnsi="微软雅黑" w:eastAsia="微软雅黑" w:cs="Times New Roman"/>
          <w:sz w:val="18"/>
          <w:szCs w:val="18"/>
        </w:rPr>
      </w:pPr>
    </w:p>
    <w:p>
      <w:pPr>
        <w:rPr>
          <w:rFonts w:ascii="微软雅黑" w:hAnsi="微软雅黑" w:eastAsia="微软雅黑" w:cs="Times New Roman"/>
          <w:b/>
          <w:bCs/>
          <w:sz w:val="18"/>
          <w:szCs w:val="18"/>
        </w:rPr>
      </w:pPr>
      <w:r>
        <w:rPr>
          <w:rFonts w:hint="eastAsia" w:ascii="微软雅黑" w:hAnsi="微软雅黑" w:eastAsia="微软雅黑" w:cs="微软雅黑"/>
          <w:b/>
          <w:bCs/>
          <w:sz w:val="18"/>
          <w:szCs w:val="18"/>
        </w:rPr>
        <w:t>机构投资者</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甲方名称：</w:t>
      </w:r>
    </w:p>
    <w:p>
      <w:pPr>
        <w:rPr>
          <w:rFonts w:ascii="微软雅黑" w:hAnsi="微软雅黑" w:eastAsia="微软雅黑" w:cs="Times New Roman"/>
          <w:sz w:val="18"/>
          <w:szCs w:val="18"/>
        </w:rPr>
      </w:pPr>
    </w:p>
    <w:p>
      <w:pPr>
        <w:rPr>
          <w:rFonts w:ascii="微软雅黑" w:hAnsi="微软雅黑" w:eastAsia="微软雅黑" w:cs="Times New Roman"/>
          <w:sz w:val="18"/>
          <w:szCs w:val="18"/>
        </w:rPr>
      </w:pPr>
      <w:r>
        <w:rPr>
          <w:rFonts w:hint="eastAsia" w:ascii="微软雅黑" w:hAnsi="微软雅黑" w:eastAsia="微软雅黑" w:cs="微软雅黑"/>
          <w:sz w:val="18"/>
          <w:szCs w:val="18"/>
        </w:rPr>
        <w:t>甲方公章：</w:t>
      </w:r>
    </w:p>
    <w:p>
      <w:pPr>
        <w:rPr>
          <w:rFonts w:ascii="微软雅黑" w:hAnsi="微软雅黑" w:eastAsia="微软雅黑" w:cs="Times New Roman"/>
          <w:sz w:val="18"/>
          <w:szCs w:val="18"/>
        </w:rPr>
      </w:pPr>
    </w:p>
    <w:p>
      <w:pPr>
        <w:rPr>
          <w:rFonts w:ascii="微软雅黑" w:hAnsi="微软雅黑" w:eastAsia="微软雅黑" w:cs="Times New Roman"/>
          <w:sz w:val="18"/>
          <w:szCs w:val="18"/>
        </w:rPr>
      </w:pPr>
      <w:r>
        <w:rPr>
          <w:rFonts w:hint="eastAsia" w:ascii="微软雅黑" w:hAnsi="微软雅黑" w:eastAsia="微软雅黑" w:cs="微软雅黑"/>
          <w:sz w:val="18"/>
          <w:szCs w:val="18"/>
        </w:rPr>
        <w:t>法定代表人或授权签字人（签章）</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签署时间：</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年</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月</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日</w:t>
      </w:r>
    </w:p>
    <w:p>
      <w:pPr>
        <w:rPr>
          <w:rFonts w:ascii="微软雅黑" w:hAnsi="微软雅黑" w:eastAsia="微软雅黑" w:cs="Times New Roman"/>
          <w:sz w:val="18"/>
          <w:szCs w:val="18"/>
        </w:rPr>
      </w:pPr>
    </w:p>
    <w:p>
      <w:pPr>
        <w:rPr>
          <w:rFonts w:ascii="微软雅黑" w:hAnsi="微软雅黑" w:eastAsia="微软雅黑" w:cs="Times New Roman"/>
          <w:sz w:val="18"/>
          <w:szCs w:val="18"/>
        </w:rPr>
      </w:pPr>
    </w:p>
    <w:p>
      <w:pPr>
        <w:rPr>
          <w:rFonts w:ascii="微软雅黑" w:hAnsi="微软雅黑" w:eastAsia="微软雅黑" w:cs="Times New Roman"/>
          <w:b/>
          <w:bCs/>
          <w:sz w:val="18"/>
          <w:szCs w:val="18"/>
        </w:rPr>
      </w:pPr>
      <w:r>
        <w:rPr>
          <w:rFonts w:hint="eastAsia" w:ascii="微软雅黑" w:hAnsi="微软雅黑" w:eastAsia="微软雅黑" w:cs="微软雅黑"/>
          <w:b/>
          <w:bCs/>
          <w:sz w:val="18"/>
          <w:szCs w:val="18"/>
        </w:rPr>
        <w:t>乙方名称：浙江绍兴瑞丰农村商业银行股份有限公司</w:t>
      </w:r>
    </w:p>
    <w:p>
      <w:pPr>
        <w:rPr>
          <w:rFonts w:ascii="微软雅黑" w:hAnsi="微软雅黑" w:eastAsia="微软雅黑" w:cs="Times New Roman"/>
          <w:sz w:val="18"/>
          <w:szCs w:val="18"/>
        </w:rPr>
      </w:pPr>
      <w:r>
        <w:rPr>
          <w:rFonts w:hint="eastAsia" w:ascii="微软雅黑" w:hAnsi="微软雅黑" w:eastAsia="微软雅黑" w:cs="微软雅黑"/>
          <w:sz w:val="18"/>
          <w:szCs w:val="18"/>
        </w:rPr>
        <w:t>乙方盖章：</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签署时间：</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年</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月</w:t>
      </w:r>
      <w:r>
        <w:rPr>
          <w:rFonts w:ascii="微软雅黑" w:hAnsi="微软雅黑" w:eastAsia="微软雅黑" w:cs="微软雅黑"/>
          <w:sz w:val="18"/>
          <w:szCs w:val="18"/>
        </w:rPr>
        <w:t xml:space="preserve">       </w:t>
      </w:r>
      <w:r>
        <w:rPr>
          <w:rFonts w:hint="eastAsia" w:ascii="微软雅黑" w:hAnsi="微软雅黑" w:eastAsia="微软雅黑" w:cs="微软雅黑"/>
          <w:sz w:val="18"/>
          <w:szCs w:val="18"/>
        </w:rPr>
        <w:t>日</w:t>
      </w:r>
    </w:p>
    <w:p>
      <w:pPr>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 xml:space="preserve">                                                                       </w:t>
      </w:r>
    </w:p>
    <w:p>
      <w:pPr>
        <w:jc w:val="right"/>
        <w:rPr>
          <w:rFonts w:hint="eastAsia" w:ascii="微软雅黑" w:hAnsi="微软雅黑" w:eastAsia="微软雅黑" w:cs="Times New Roman"/>
          <w:sz w:val="18"/>
          <w:szCs w:val="18"/>
          <w:lang w:eastAsia="zh-CN"/>
        </w:rPr>
      </w:pPr>
      <w:r>
        <w:rPr>
          <w:rFonts w:hint="eastAsia" w:ascii="微软雅黑" w:hAnsi="微软雅黑" w:eastAsia="微软雅黑" w:cs="Times New Roman"/>
          <w:sz w:val="18"/>
          <w:szCs w:val="18"/>
          <w:lang w:eastAsia="zh-CN"/>
        </w:rPr>
        <w:drawing>
          <wp:inline distT="0" distB="0" distL="114300" distR="114300">
            <wp:extent cx="375920" cy="1703070"/>
            <wp:effectExtent l="0" t="0" r="11430" b="5080"/>
            <wp:docPr id="5" name="图片 3" descr="凭证条形码图像_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凭证条形码图像_595"/>
                    <pic:cNvPicPr>
                      <a:picLocks noChangeAspect="1"/>
                    </pic:cNvPicPr>
                  </pic:nvPicPr>
                  <pic:blipFill>
                    <a:blip r:embed="rId6"/>
                    <a:stretch>
                      <a:fillRect/>
                    </a:stretch>
                  </pic:blipFill>
                  <pic:spPr>
                    <a:xfrm rot="5400000">
                      <a:off x="0" y="0"/>
                      <a:ext cx="375920" cy="1703070"/>
                    </a:xfrm>
                    <a:prstGeom prst="rect">
                      <a:avLst/>
                    </a:prstGeom>
                    <a:noFill/>
                    <a:ln>
                      <a:noFill/>
                    </a:ln>
                  </pic:spPr>
                </pic:pic>
              </a:graphicData>
            </a:graphic>
          </wp:inline>
        </w:drawing>
      </w:r>
      <w:r>
        <w:rPr>
          <w:rFonts w:hint="eastAsia" w:ascii="微软雅黑" w:hAnsi="微软雅黑" w:eastAsia="微软雅黑" w:cs="Times New Roman"/>
          <w:sz w:val="18"/>
          <w:szCs w:val="18"/>
          <w:lang w:val="en-US" w:eastAsia="zh-CN"/>
        </w:rPr>
        <w:t xml:space="preserve">                                                                         </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line="300" w:lineRule="exact"/>
        <w:jc w:val="center"/>
        <w:rPr>
          <w:rFonts w:hint="eastAsia" w:ascii="微软雅黑" w:hAnsi="微软雅黑" w:eastAsia="微软雅黑"/>
          <w:b/>
          <w:sz w:val="28"/>
          <w:szCs w:val="28"/>
        </w:rPr>
      </w:pPr>
      <w:r>
        <w:rPr>
          <w:rFonts w:ascii="宋体" w:hAnsi="宋体" w:cs="宋体"/>
          <w:kern w:val="0"/>
          <w:sz w:val="24"/>
          <w:szCs w:val="24"/>
        </w:rPr>
        <w:t> </w:t>
      </w:r>
      <w:r>
        <w:rPr>
          <w:rFonts w:hint="eastAsia" w:ascii="微软雅黑" w:hAnsi="微软雅黑" w:eastAsia="微软雅黑"/>
          <w:b/>
          <w:sz w:val="28"/>
          <w:szCs w:val="28"/>
        </w:rPr>
        <w:t>理财业务协议书</w:t>
      </w:r>
    </w:p>
    <w:p>
      <w:pPr>
        <w:widowControl/>
        <w:spacing w:line="300" w:lineRule="exact"/>
        <w:jc w:val="center"/>
        <w:rPr>
          <w:rFonts w:hint="eastAsia" w:ascii="微软雅黑" w:hAnsi="微软雅黑" w:eastAsia="微软雅黑"/>
          <w:b/>
          <w:sz w:val="28"/>
          <w:szCs w:val="28"/>
        </w:rPr>
      </w:pPr>
    </w:p>
    <w:p>
      <w:pPr>
        <w:widowControl/>
        <w:jc w:val="left"/>
        <w:rPr>
          <w:rFonts w:ascii="宋体" w:hAnsi="宋体" w:cs="宋体"/>
          <w:kern w:val="0"/>
          <w:sz w:val="24"/>
          <w:szCs w:val="24"/>
        </w:rPr>
      </w:pPr>
    </w:p>
    <w:tbl>
      <w:tblPr>
        <w:tblStyle w:val="7"/>
        <w:tblW w:w="11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
        <w:gridCol w:w="293"/>
        <w:gridCol w:w="142"/>
        <w:gridCol w:w="425"/>
        <w:gridCol w:w="850"/>
        <w:gridCol w:w="453"/>
        <w:gridCol w:w="460"/>
        <w:gridCol w:w="485"/>
        <w:gridCol w:w="2566"/>
        <w:gridCol w:w="992"/>
        <w:gridCol w:w="283"/>
        <w:gridCol w:w="1288"/>
        <w:gridCol w:w="81"/>
        <w:gridCol w:w="2175"/>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9" w:hRule="atLeast"/>
          <w:jc w:val="center"/>
        </w:trPr>
        <w:tc>
          <w:tcPr>
            <w:tcW w:w="321" w:type="dxa"/>
            <w:shd w:val="clear" w:color="auto" w:fill="D9D9D9"/>
            <w:noWrap w:val="0"/>
            <w:vAlign w:val="center"/>
          </w:tcPr>
          <w:p>
            <w:pPr>
              <w:spacing w:line="280" w:lineRule="exact"/>
              <w:jc w:val="center"/>
              <w:rPr>
                <w:rFonts w:hint="eastAsia" w:ascii="微软雅黑" w:hAnsi="微软雅黑" w:eastAsia="微软雅黑"/>
                <w:b/>
                <w:sz w:val="18"/>
                <w:szCs w:val="18"/>
              </w:rPr>
            </w:pPr>
          </w:p>
          <w:p>
            <w:pPr>
              <w:spacing w:line="280" w:lineRule="exact"/>
              <w:jc w:val="center"/>
              <w:rPr>
                <w:rFonts w:hint="eastAsia" w:ascii="微软雅黑" w:hAnsi="微软雅黑" w:eastAsia="微软雅黑"/>
                <w:b/>
                <w:sz w:val="18"/>
                <w:szCs w:val="18"/>
              </w:rPr>
            </w:pPr>
          </w:p>
          <w:p>
            <w:pPr>
              <w:spacing w:line="280" w:lineRule="exact"/>
              <w:jc w:val="center"/>
              <w:rPr>
                <w:rFonts w:hint="eastAsia" w:ascii="微软雅黑" w:hAnsi="微软雅黑" w:eastAsia="微软雅黑"/>
                <w:b/>
                <w:sz w:val="18"/>
                <w:szCs w:val="18"/>
              </w:rPr>
            </w:pPr>
          </w:p>
          <w:p>
            <w:pPr>
              <w:spacing w:line="280" w:lineRule="exact"/>
              <w:jc w:val="center"/>
              <w:rPr>
                <w:rFonts w:hint="eastAsia" w:ascii="微软雅黑" w:hAnsi="微软雅黑" w:eastAsia="微软雅黑"/>
                <w:b/>
                <w:sz w:val="18"/>
                <w:szCs w:val="18"/>
              </w:rPr>
            </w:pPr>
          </w:p>
          <w:p>
            <w:pPr>
              <w:spacing w:line="280" w:lineRule="exact"/>
              <w:jc w:val="center"/>
              <w:rPr>
                <w:rFonts w:hint="eastAsia" w:ascii="微软雅黑" w:hAnsi="微软雅黑" w:eastAsia="微软雅黑"/>
                <w:b/>
                <w:sz w:val="18"/>
                <w:szCs w:val="18"/>
              </w:rPr>
            </w:pPr>
          </w:p>
          <w:p>
            <w:pPr>
              <w:spacing w:line="280" w:lineRule="exact"/>
              <w:jc w:val="center"/>
              <w:rPr>
                <w:rFonts w:hint="eastAsia" w:ascii="微软雅黑" w:hAnsi="微软雅黑" w:eastAsia="微软雅黑"/>
                <w:b/>
                <w:sz w:val="18"/>
                <w:szCs w:val="18"/>
              </w:rPr>
            </w:pPr>
          </w:p>
          <w:p>
            <w:pPr>
              <w:spacing w:line="280" w:lineRule="exact"/>
              <w:jc w:val="center"/>
              <w:rPr>
                <w:rFonts w:hint="eastAsia" w:ascii="微软雅黑" w:hAnsi="微软雅黑" w:eastAsia="微软雅黑"/>
                <w:b/>
                <w:sz w:val="18"/>
                <w:szCs w:val="18"/>
              </w:rPr>
            </w:pPr>
          </w:p>
          <w:p>
            <w:pPr>
              <w:spacing w:line="280" w:lineRule="exact"/>
              <w:rPr>
                <w:rFonts w:hint="eastAsia" w:ascii="微软雅黑" w:hAnsi="微软雅黑" w:eastAsia="微软雅黑"/>
                <w:b/>
                <w:sz w:val="18"/>
                <w:szCs w:val="18"/>
              </w:rPr>
            </w:pPr>
          </w:p>
          <w:p>
            <w:pPr>
              <w:spacing w:line="280" w:lineRule="exact"/>
              <w:jc w:val="center"/>
              <w:rPr>
                <w:rFonts w:hint="eastAsia" w:ascii="微软雅黑" w:hAnsi="微软雅黑" w:eastAsia="微软雅黑"/>
                <w:sz w:val="18"/>
                <w:szCs w:val="18"/>
              </w:rPr>
            </w:pPr>
            <w:r>
              <w:rPr>
                <w:rFonts w:hint="eastAsia" w:ascii="微软雅黑" w:hAnsi="微软雅黑" w:eastAsia="微软雅黑"/>
                <w:b/>
                <w:sz w:val="18"/>
                <w:szCs w:val="18"/>
              </w:rPr>
              <w:t>交易内容</w:t>
            </w:r>
          </w:p>
          <w:p>
            <w:pPr>
              <w:spacing w:line="280" w:lineRule="exact"/>
              <w:jc w:val="center"/>
              <w:rPr>
                <w:rFonts w:hint="eastAsia" w:ascii="微软雅黑" w:hAnsi="微软雅黑" w:eastAsia="微软雅黑"/>
                <w:sz w:val="18"/>
                <w:szCs w:val="18"/>
              </w:rPr>
            </w:pPr>
          </w:p>
          <w:p>
            <w:pPr>
              <w:spacing w:line="280" w:lineRule="exact"/>
              <w:jc w:val="center"/>
              <w:rPr>
                <w:rFonts w:hint="eastAsia" w:ascii="微软雅黑" w:hAnsi="微软雅黑" w:eastAsia="微软雅黑"/>
                <w:sz w:val="18"/>
                <w:szCs w:val="18"/>
              </w:rPr>
            </w:pPr>
          </w:p>
          <w:p>
            <w:pPr>
              <w:spacing w:line="280" w:lineRule="exact"/>
              <w:jc w:val="center"/>
              <w:rPr>
                <w:rFonts w:hint="eastAsia" w:ascii="微软雅黑" w:hAnsi="微软雅黑" w:eastAsia="微软雅黑"/>
                <w:sz w:val="18"/>
                <w:szCs w:val="18"/>
              </w:rPr>
            </w:pPr>
          </w:p>
          <w:p>
            <w:pPr>
              <w:spacing w:line="280" w:lineRule="exact"/>
              <w:rPr>
                <w:rFonts w:hint="eastAsia" w:ascii="微软雅黑" w:hAnsi="微软雅黑" w:eastAsia="微软雅黑"/>
                <w:sz w:val="18"/>
                <w:szCs w:val="18"/>
              </w:rPr>
            </w:pPr>
          </w:p>
        </w:tc>
        <w:tc>
          <w:tcPr>
            <w:tcW w:w="11271" w:type="dxa"/>
            <w:gridSpan w:val="14"/>
            <w:shd w:val="clear" w:color="auto" w:fill="FFFFFF"/>
            <w:noWrap w:val="0"/>
            <w:vAlign w:val="center"/>
          </w:tcPr>
          <w:p>
            <w:pPr>
              <w:spacing w:line="280" w:lineRule="exact"/>
              <w:jc w:val="left"/>
              <w:rPr>
                <w:rFonts w:hint="eastAsia" w:ascii="微软雅黑" w:hAnsi="微软雅黑" w:eastAsia="微软雅黑"/>
                <w:b/>
                <w:sz w:val="18"/>
                <w:szCs w:val="18"/>
              </w:rPr>
            </w:pPr>
          </w:p>
          <w:p>
            <w:pPr>
              <w:spacing w:line="280" w:lineRule="exact"/>
              <w:jc w:val="left"/>
              <w:rPr>
                <w:rFonts w:hint="eastAsia" w:ascii="微软雅黑" w:hAnsi="微软雅黑" w:eastAsia="微软雅黑"/>
                <w:b/>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p>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客户声明：确认以上银行打印的交易内容正确无误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2484" w:type="dxa"/>
            <w:gridSpan w:val="6"/>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客户姓名*：</w:t>
            </w:r>
          </w:p>
        </w:tc>
        <w:tc>
          <w:tcPr>
            <w:tcW w:w="3511" w:type="dxa"/>
            <w:gridSpan w:val="3"/>
            <w:noWrap w:val="0"/>
            <w:vAlign w:val="center"/>
          </w:tcPr>
          <w:p>
            <w:pPr>
              <w:spacing w:line="280" w:lineRule="exact"/>
              <w:jc w:val="left"/>
              <w:rPr>
                <w:rFonts w:ascii="微软雅黑" w:hAnsi="微软雅黑" w:eastAsia="微软雅黑"/>
                <w:sz w:val="18"/>
                <w:szCs w:val="18"/>
              </w:rPr>
            </w:pPr>
            <w:r>
              <w:rPr>
                <w:rFonts w:hint="eastAsia" w:ascii="微软雅黑" w:hAnsi="微软雅黑" w:eastAsia="微软雅黑"/>
                <w:sz w:val="18"/>
                <w:szCs w:val="18"/>
              </w:rPr>
              <w:t>证件类型*：</w:t>
            </w:r>
          </w:p>
        </w:tc>
        <w:tc>
          <w:tcPr>
            <w:tcW w:w="2644" w:type="dxa"/>
            <w:gridSpan w:val="4"/>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证件号码*：</w:t>
            </w:r>
          </w:p>
        </w:tc>
        <w:tc>
          <w:tcPr>
            <w:tcW w:w="2953" w:type="dxa"/>
            <w:gridSpan w:val="2"/>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5995" w:type="dxa"/>
            <w:gridSpan w:val="9"/>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银行账号*：</w:t>
            </w:r>
          </w:p>
        </w:tc>
        <w:tc>
          <w:tcPr>
            <w:tcW w:w="5597" w:type="dxa"/>
            <w:gridSpan w:val="6"/>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客户地址*：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2484" w:type="dxa"/>
            <w:gridSpan w:val="6"/>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经办人姓名*：</w:t>
            </w:r>
          </w:p>
        </w:tc>
        <w:tc>
          <w:tcPr>
            <w:tcW w:w="3511" w:type="dxa"/>
            <w:gridSpan w:val="3"/>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证件类型及号码*：</w:t>
            </w:r>
          </w:p>
        </w:tc>
        <w:tc>
          <w:tcPr>
            <w:tcW w:w="2563" w:type="dxa"/>
            <w:gridSpan w:val="3"/>
            <w:noWrap w:val="0"/>
            <w:vAlign w:val="center"/>
          </w:tcPr>
          <w:p>
            <w:pPr>
              <w:spacing w:line="280" w:lineRule="exact"/>
              <w:rPr>
                <w:rFonts w:hint="eastAsia" w:ascii="微软雅黑" w:hAnsi="微软雅黑" w:eastAsia="微软雅黑"/>
                <w:sz w:val="18"/>
                <w:szCs w:val="18"/>
              </w:rPr>
            </w:pPr>
            <w:r>
              <w:rPr>
                <w:rFonts w:hint="eastAsia" w:ascii="微软雅黑" w:hAnsi="微软雅黑" w:eastAsia="微软雅黑"/>
                <w:sz w:val="18"/>
                <w:szCs w:val="18"/>
              </w:rPr>
              <w:t>法定代表姓名*：</w:t>
            </w:r>
          </w:p>
        </w:tc>
        <w:tc>
          <w:tcPr>
            <w:tcW w:w="3034" w:type="dxa"/>
            <w:gridSpan w:val="3"/>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证件类型及号码*：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995" w:type="dxa"/>
            <w:gridSpan w:val="9"/>
            <w:shd w:val="clear" w:color="auto" w:fill="FFFFFF"/>
            <w:noWrap w:val="0"/>
            <w:vAlign w:val="center"/>
          </w:tcPr>
          <w:p>
            <w:pPr>
              <w:spacing w:line="280" w:lineRule="exact"/>
              <w:jc w:val="center"/>
              <w:rPr>
                <w:rFonts w:hint="eastAsia" w:ascii="微软雅黑" w:hAnsi="微软雅黑" w:eastAsia="微软雅黑"/>
                <w:sz w:val="18"/>
                <w:szCs w:val="18"/>
              </w:rPr>
            </w:pPr>
            <w:r>
              <w:rPr>
                <w:rFonts w:hint="eastAsia" w:ascii="微软雅黑" w:hAnsi="微软雅黑" w:eastAsia="微软雅黑"/>
                <w:sz w:val="18"/>
                <w:szCs w:val="18"/>
              </w:rPr>
              <w:t>□</w:t>
            </w:r>
            <w:r>
              <w:rPr>
                <w:rFonts w:hint="eastAsia" w:ascii="微软雅黑" w:hAnsi="微软雅黑" w:eastAsia="微软雅黑"/>
                <w:kern w:val="0"/>
                <w:sz w:val="18"/>
                <w:szCs w:val="18"/>
              </w:rPr>
              <w:t xml:space="preserve">签约   </w:t>
            </w:r>
            <w:r>
              <w:rPr>
                <w:rFonts w:hint="eastAsia" w:ascii="微软雅黑" w:hAnsi="微软雅黑" w:eastAsia="微软雅黑"/>
                <w:sz w:val="18"/>
                <w:szCs w:val="18"/>
              </w:rPr>
              <w:t>□解约  □</w:t>
            </w:r>
            <w:r>
              <w:rPr>
                <w:rFonts w:hint="eastAsia" w:ascii="微软雅黑" w:hAnsi="微软雅黑" w:eastAsia="微软雅黑"/>
                <w:kern w:val="0"/>
                <w:sz w:val="18"/>
                <w:szCs w:val="18"/>
              </w:rPr>
              <w:t xml:space="preserve">风险测评  </w:t>
            </w:r>
            <w:r>
              <w:rPr>
                <w:rFonts w:hint="eastAsia" w:ascii="微软雅黑" w:hAnsi="微软雅黑" w:eastAsia="微软雅黑"/>
                <w:sz w:val="18"/>
                <w:szCs w:val="18"/>
              </w:rPr>
              <w:t>□客户信息</w:t>
            </w:r>
            <w:r>
              <w:rPr>
                <w:rFonts w:hint="eastAsia" w:ascii="微软雅黑" w:hAnsi="微软雅黑" w:eastAsia="微软雅黑"/>
                <w:kern w:val="0"/>
                <w:sz w:val="18"/>
                <w:szCs w:val="18"/>
              </w:rPr>
              <w:t xml:space="preserve">变更  </w:t>
            </w:r>
            <w:r>
              <w:rPr>
                <w:rFonts w:hint="eastAsia" w:ascii="微软雅黑" w:hAnsi="微软雅黑" w:eastAsia="微软雅黑"/>
                <w:sz w:val="18"/>
                <w:szCs w:val="18"/>
              </w:rPr>
              <w:t>□理财资产时点证明</w:t>
            </w:r>
          </w:p>
        </w:tc>
        <w:tc>
          <w:tcPr>
            <w:tcW w:w="2563" w:type="dxa"/>
            <w:gridSpan w:val="3"/>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合格投资者： □</w:t>
            </w:r>
            <w:r>
              <w:rPr>
                <w:rFonts w:hint="eastAsia" w:ascii="微软雅黑" w:hAnsi="微软雅黑" w:eastAsia="微软雅黑"/>
                <w:kern w:val="0"/>
                <w:sz w:val="18"/>
                <w:szCs w:val="18"/>
              </w:rPr>
              <w:t xml:space="preserve">是   </w:t>
            </w:r>
            <w:r>
              <w:rPr>
                <w:rFonts w:hint="eastAsia" w:ascii="微软雅黑" w:hAnsi="微软雅黑" w:eastAsia="微软雅黑"/>
                <w:sz w:val="18"/>
                <w:szCs w:val="18"/>
              </w:rPr>
              <w:t>□否</w:t>
            </w:r>
          </w:p>
        </w:tc>
        <w:tc>
          <w:tcPr>
            <w:tcW w:w="3034" w:type="dxa"/>
            <w:gridSpan w:val="3"/>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投资经验： □</w:t>
            </w:r>
            <w:r>
              <w:rPr>
                <w:rFonts w:hint="eastAsia" w:ascii="微软雅黑" w:hAnsi="微软雅黑" w:eastAsia="微软雅黑"/>
                <w:kern w:val="0"/>
                <w:sz w:val="18"/>
                <w:szCs w:val="18"/>
              </w:rPr>
              <w:t xml:space="preserve">有   </w:t>
            </w:r>
            <w:r>
              <w:rPr>
                <w:rFonts w:hint="eastAsia" w:ascii="微软雅黑" w:hAnsi="微软雅黑" w:eastAsia="微软雅黑"/>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3429" w:type="dxa"/>
            <w:gridSpan w:val="8"/>
            <w:shd w:val="clear" w:color="auto" w:fill="FFFFFF"/>
            <w:noWrap w:val="0"/>
            <w:vAlign w:val="center"/>
          </w:tcPr>
          <w:p>
            <w:pPr>
              <w:spacing w:line="280" w:lineRule="exact"/>
              <w:jc w:val="left"/>
              <w:rPr>
                <w:rFonts w:ascii="微软雅黑" w:hAnsi="微软雅黑" w:eastAsia="微软雅黑"/>
                <w:sz w:val="18"/>
                <w:szCs w:val="18"/>
              </w:rPr>
            </w:pPr>
            <w:r>
              <w:rPr>
                <w:rFonts w:hint="eastAsia" w:ascii="微软雅黑" w:hAnsi="微软雅黑" w:eastAsia="微软雅黑"/>
                <w:sz w:val="18"/>
                <w:szCs w:val="18"/>
              </w:rPr>
              <w:t>投资者类别：</w:t>
            </w:r>
          </w:p>
        </w:tc>
        <w:tc>
          <w:tcPr>
            <w:tcW w:w="2566" w:type="dxa"/>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非居民标识：□</w:t>
            </w:r>
            <w:r>
              <w:rPr>
                <w:rFonts w:hint="eastAsia" w:ascii="微软雅黑" w:hAnsi="微软雅黑" w:eastAsia="微软雅黑"/>
                <w:kern w:val="0"/>
                <w:sz w:val="18"/>
                <w:szCs w:val="18"/>
              </w:rPr>
              <w:t xml:space="preserve">否  </w:t>
            </w:r>
            <w:r>
              <w:rPr>
                <w:rFonts w:hint="eastAsia" w:ascii="微软雅黑" w:hAnsi="微软雅黑" w:eastAsia="微软雅黑"/>
                <w:sz w:val="18"/>
                <w:szCs w:val="18"/>
              </w:rPr>
              <w:t>□是</w:t>
            </w:r>
          </w:p>
        </w:tc>
        <w:tc>
          <w:tcPr>
            <w:tcW w:w="5597" w:type="dxa"/>
            <w:gridSpan w:val="6"/>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交易渠道：□</w:t>
            </w:r>
            <w:r>
              <w:rPr>
                <w:rFonts w:hint="eastAsia" w:ascii="微软雅黑" w:hAnsi="微软雅黑" w:eastAsia="微软雅黑"/>
                <w:kern w:val="0"/>
                <w:sz w:val="18"/>
                <w:szCs w:val="18"/>
              </w:rPr>
              <w:t xml:space="preserve">全部 </w:t>
            </w:r>
            <w:r>
              <w:rPr>
                <w:rFonts w:hint="eastAsia" w:ascii="微软雅黑" w:hAnsi="微软雅黑" w:eastAsia="微软雅黑"/>
                <w:sz w:val="18"/>
                <w:szCs w:val="18"/>
              </w:rPr>
              <w:t>□</w:t>
            </w:r>
            <w:r>
              <w:rPr>
                <w:rFonts w:hint="eastAsia" w:ascii="微软雅黑" w:hAnsi="微软雅黑" w:eastAsia="微软雅黑"/>
                <w:kern w:val="0"/>
                <w:sz w:val="18"/>
                <w:szCs w:val="18"/>
              </w:rPr>
              <w:t xml:space="preserve">柜台 </w:t>
            </w:r>
            <w:r>
              <w:rPr>
                <w:rFonts w:hint="eastAsia" w:ascii="微软雅黑" w:hAnsi="微软雅黑" w:eastAsia="微软雅黑"/>
                <w:sz w:val="18"/>
                <w:szCs w:val="18"/>
              </w:rPr>
              <w:t>□</w:t>
            </w:r>
            <w:r>
              <w:rPr>
                <w:rFonts w:hint="eastAsia" w:ascii="微软雅黑" w:hAnsi="微软雅黑" w:eastAsia="微软雅黑"/>
                <w:kern w:val="0"/>
                <w:sz w:val="18"/>
                <w:szCs w:val="18"/>
              </w:rPr>
              <w:t xml:space="preserve">网银 </w:t>
            </w:r>
            <w:r>
              <w:rPr>
                <w:rFonts w:hint="eastAsia" w:ascii="微软雅黑" w:hAnsi="微软雅黑" w:eastAsia="微软雅黑"/>
                <w:sz w:val="18"/>
                <w:szCs w:val="18"/>
              </w:rPr>
              <w:t>□</w:t>
            </w:r>
            <w:r>
              <w:rPr>
                <w:rFonts w:hint="eastAsia" w:ascii="微软雅黑" w:hAnsi="微软雅黑" w:eastAsia="微软雅黑"/>
                <w:kern w:val="0"/>
                <w:sz w:val="18"/>
                <w:szCs w:val="18"/>
              </w:rPr>
              <w:t xml:space="preserve">丰收互联 </w:t>
            </w:r>
            <w:r>
              <w:rPr>
                <w:rFonts w:hint="eastAsia" w:ascii="微软雅黑" w:hAnsi="微软雅黑" w:eastAsia="微软雅黑"/>
                <w:sz w:val="18"/>
                <w:szCs w:val="18"/>
              </w:rPr>
              <w:t>□</w:t>
            </w:r>
            <w:r>
              <w:rPr>
                <w:rFonts w:hint="eastAsia" w:ascii="微软雅黑" w:hAnsi="微软雅黑" w:eastAsia="微软雅黑"/>
                <w:kern w:val="0"/>
                <w:sz w:val="18"/>
                <w:szCs w:val="18"/>
              </w:rPr>
              <w:t>自助设备</w:t>
            </w:r>
            <w:r>
              <w:rPr>
                <w:rFonts w:hint="eastAsia" w:ascii="微软雅黑" w:hAnsi="微软雅黑" w:eastAsia="微软雅黑"/>
                <w:sz w:val="18"/>
                <w:szCs w:val="18"/>
              </w:rPr>
              <w:t>□</w:t>
            </w:r>
            <w:r>
              <w:rPr>
                <w:rFonts w:hint="eastAsia" w:ascii="微软雅黑" w:hAnsi="微软雅黑" w:eastAsia="微软雅黑"/>
                <w:kern w:val="0"/>
                <w:sz w:val="18"/>
                <w:szCs w:val="18"/>
              </w:rPr>
              <w:t>财富E站通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995" w:type="dxa"/>
            <w:gridSpan w:val="9"/>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更换银行卡：原账号：             新账号：</w:t>
            </w:r>
          </w:p>
        </w:tc>
        <w:tc>
          <w:tcPr>
            <w:tcW w:w="2563" w:type="dxa"/>
            <w:gridSpan w:val="3"/>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理财对账单日期：</w:t>
            </w:r>
          </w:p>
        </w:tc>
        <w:tc>
          <w:tcPr>
            <w:tcW w:w="3034" w:type="dxa"/>
            <w:gridSpan w:val="3"/>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签约关系重置：□正常  □注销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429" w:type="dxa"/>
            <w:gridSpan w:val="8"/>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贵宾级别：        有效期限：</w:t>
            </w:r>
          </w:p>
        </w:tc>
        <w:tc>
          <w:tcPr>
            <w:tcW w:w="8163" w:type="dxa"/>
            <w:gridSpan w:val="7"/>
            <w:tcBorders>
              <w:bottom w:val="single" w:color="auto" w:sz="4" w:space="0"/>
            </w:tcBorders>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份额转登记：</w:t>
            </w:r>
            <w:r>
              <w:rPr>
                <w:rFonts w:ascii="微软雅黑" w:hAnsi="微软雅黑" w:eastAsia="微软雅黑"/>
                <w:sz w:val="18"/>
                <w:szCs w:val="18"/>
              </w:rPr>
              <w:t>转出银行卡号/</w:t>
            </w:r>
            <w:r>
              <w:rPr>
                <w:rFonts w:hint="eastAsia" w:ascii="微软雅黑" w:hAnsi="微软雅黑" w:eastAsia="微软雅黑"/>
                <w:sz w:val="18"/>
                <w:szCs w:val="18"/>
              </w:rPr>
              <w:t>账</w:t>
            </w:r>
            <w:r>
              <w:rPr>
                <w:rFonts w:ascii="微软雅黑" w:hAnsi="微软雅黑" w:eastAsia="微软雅黑"/>
                <w:sz w:val="18"/>
                <w:szCs w:val="18"/>
              </w:rPr>
              <w:t>号</w:t>
            </w:r>
            <w:r>
              <w:rPr>
                <w:rFonts w:hint="eastAsia" w:ascii="微软雅黑" w:hAnsi="微软雅黑" w:eastAsia="微软雅黑"/>
                <w:sz w:val="18"/>
                <w:szCs w:val="18"/>
              </w:rPr>
              <w:t xml:space="preserve">:                   </w:t>
            </w:r>
            <w:r>
              <w:rPr>
                <w:rFonts w:ascii="微软雅黑" w:hAnsi="微软雅黑" w:eastAsia="微软雅黑"/>
                <w:sz w:val="18"/>
                <w:szCs w:val="18"/>
              </w:rPr>
              <w:t>转入银行卡号/</w:t>
            </w:r>
            <w:r>
              <w:rPr>
                <w:rFonts w:hint="eastAsia" w:ascii="微软雅黑" w:hAnsi="微软雅黑" w:eastAsia="微软雅黑"/>
                <w:sz w:val="18"/>
                <w:szCs w:val="18"/>
              </w:rPr>
              <w:t>账</w:t>
            </w:r>
            <w:r>
              <w:rPr>
                <w:rFonts w:ascii="微软雅黑" w:hAnsi="微软雅黑" w:eastAsia="微软雅黑"/>
                <w:sz w:val="18"/>
                <w:szCs w:val="18"/>
              </w:rPr>
              <w:t>号</w:t>
            </w:r>
            <w:r>
              <w:rPr>
                <w:rFonts w:hint="eastAsia" w:ascii="微软雅黑" w:hAnsi="微软雅黑" w:eastAsia="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1" w:type="dxa"/>
            <w:gridSpan w:val="4"/>
            <w:shd w:val="clear" w:color="auto" w:fill="FFFFFF"/>
            <w:noWrap w:val="0"/>
            <w:vAlign w:val="center"/>
          </w:tcPr>
          <w:p>
            <w:pPr>
              <w:spacing w:line="280" w:lineRule="exact"/>
              <w:jc w:val="left"/>
              <w:rPr>
                <w:rFonts w:ascii="微软雅黑" w:hAnsi="微软雅黑" w:eastAsia="微软雅黑"/>
                <w:sz w:val="18"/>
                <w:szCs w:val="18"/>
              </w:rPr>
            </w:pPr>
            <w:r>
              <w:rPr>
                <w:rFonts w:hint="eastAsia" w:ascii="微软雅黑" w:hAnsi="微软雅黑" w:eastAsia="微软雅黑"/>
                <w:sz w:val="18"/>
                <w:szCs w:val="18"/>
              </w:rPr>
              <w:t>经办人变更</w:t>
            </w:r>
          </w:p>
        </w:tc>
        <w:tc>
          <w:tcPr>
            <w:tcW w:w="4814" w:type="dxa"/>
            <w:gridSpan w:val="5"/>
            <w:shd w:val="clear" w:color="auto" w:fill="FFFFFF"/>
            <w:noWrap w:val="0"/>
            <w:vAlign w:val="center"/>
          </w:tcPr>
          <w:p>
            <w:pPr>
              <w:spacing w:line="280" w:lineRule="exact"/>
              <w:jc w:val="left"/>
              <w:rPr>
                <w:rFonts w:ascii="微软雅黑" w:hAnsi="微软雅黑" w:eastAsia="微软雅黑"/>
                <w:sz w:val="18"/>
                <w:szCs w:val="18"/>
              </w:rPr>
            </w:pPr>
            <w:r>
              <w:rPr>
                <w:rFonts w:hint="eastAsia" w:ascii="微软雅黑" w:hAnsi="微软雅黑" w:eastAsia="微软雅黑"/>
                <w:sz w:val="18"/>
                <w:szCs w:val="18"/>
              </w:rPr>
              <w:t>原经办人姓名：         证件类型及号码：</w:t>
            </w:r>
          </w:p>
        </w:tc>
        <w:tc>
          <w:tcPr>
            <w:tcW w:w="5597" w:type="dxa"/>
            <w:gridSpan w:val="6"/>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新经办人姓名：              证件类型及号码：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181" w:type="dxa"/>
            <w:gridSpan w:val="4"/>
            <w:vMerge w:val="restart"/>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经办人新增</w:t>
            </w:r>
          </w:p>
        </w:tc>
        <w:tc>
          <w:tcPr>
            <w:tcW w:w="4814" w:type="dxa"/>
            <w:gridSpan w:val="5"/>
            <w:vMerge w:val="restart"/>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经办人姓名：           证件类型及号码：</w:t>
            </w:r>
          </w:p>
        </w:tc>
        <w:tc>
          <w:tcPr>
            <w:tcW w:w="992" w:type="dxa"/>
            <w:vMerge w:val="restart"/>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 xml:space="preserve">经办人状态变更        </w:t>
            </w:r>
          </w:p>
        </w:tc>
        <w:tc>
          <w:tcPr>
            <w:tcW w:w="3827" w:type="dxa"/>
            <w:gridSpan w:val="4"/>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 xml:space="preserve">经办人姓名：      </w:t>
            </w:r>
          </w:p>
        </w:tc>
        <w:tc>
          <w:tcPr>
            <w:tcW w:w="778" w:type="dxa"/>
            <w:vMerge w:val="restart"/>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□正常</w:t>
            </w:r>
          </w:p>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181" w:type="dxa"/>
            <w:gridSpan w:val="4"/>
            <w:vMerge w:val="continue"/>
            <w:shd w:val="clear" w:color="auto" w:fill="FFFFFF"/>
            <w:noWrap w:val="0"/>
            <w:vAlign w:val="center"/>
          </w:tcPr>
          <w:p>
            <w:pPr>
              <w:spacing w:line="280" w:lineRule="exact"/>
              <w:jc w:val="left"/>
              <w:rPr>
                <w:rFonts w:hint="eastAsia" w:ascii="微软雅黑" w:hAnsi="微软雅黑" w:eastAsia="微软雅黑"/>
                <w:sz w:val="18"/>
                <w:szCs w:val="18"/>
              </w:rPr>
            </w:pPr>
          </w:p>
        </w:tc>
        <w:tc>
          <w:tcPr>
            <w:tcW w:w="4814" w:type="dxa"/>
            <w:gridSpan w:val="5"/>
            <w:vMerge w:val="continue"/>
            <w:shd w:val="clear" w:color="auto" w:fill="FFFFFF"/>
            <w:noWrap w:val="0"/>
            <w:vAlign w:val="center"/>
          </w:tcPr>
          <w:p>
            <w:pPr>
              <w:spacing w:line="280" w:lineRule="exact"/>
              <w:jc w:val="left"/>
              <w:rPr>
                <w:rFonts w:hint="eastAsia" w:ascii="微软雅黑" w:hAnsi="微软雅黑" w:eastAsia="微软雅黑"/>
                <w:sz w:val="18"/>
                <w:szCs w:val="18"/>
              </w:rPr>
            </w:pPr>
          </w:p>
        </w:tc>
        <w:tc>
          <w:tcPr>
            <w:tcW w:w="992" w:type="dxa"/>
            <w:vMerge w:val="continue"/>
            <w:shd w:val="clear" w:color="auto" w:fill="FFFFFF"/>
            <w:noWrap w:val="0"/>
            <w:vAlign w:val="center"/>
          </w:tcPr>
          <w:p>
            <w:pPr>
              <w:spacing w:line="280" w:lineRule="exact"/>
              <w:jc w:val="left"/>
              <w:rPr>
                <w:rFonts w:hint="eastAsia" w:ascii="微软雅黑" w:hAnsi="微软雅黑" w:eastAsia="微软雅黑"/>
                <w:sz w:val="18"/>
                <w:szCs w:val="18"/>
              </w:rPr>
            </w:pPr>
          </w:p>
        </w:tc>
        <w:tc>
          <w:tcPr>
            <w:tcW w:w="3827" w:type="dxa"/>
            <w:gridSpan w:val="4"/>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证件类型及号码：</w:t>
            </w:r>
          </w:p>
        </w:tc>
        <w:tc>
          <w:tcPr>
            <w:tcW w:w="778" w:type="dxa"/>
            <w:vMerge w:val="continue"/>
            <w:shd w:val="clear" w:color="auto" w:fill="FFFFFF"/>
            <w:noWrap w:val="0"/>
            <w:vAlign w:val="center"/>
          </w:tcPr>
          <w:p>
            <w:pPr>
              <w:spacing w:line="280" w:lineRule="exact"/>
              <w:jc w:val="left"/>
              <w:rPr>
                <w:rFonts w:hint="eastAsia"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31" w:type="dxa"/>
            <w:gridSpan w:val="5"/>
            <w:shd w:val="clear" w:color="auto" w:fill="FFFFFF"/>
            <w:noWrap w:val="0"/>
            <w:vAlign w:val="center"/>
          </w:tcPr>
          <w:p>
            <w:pPr>
              <w:spacing w:line="280" w:lineRule="exact"/>
              <w:jc w:val="left"/>
              <w:rPr>
                <w:rFonts w:ascii="微软雅黑" w:hAnsi="微软雅黑" w:eastAsia="微软雅黑"/>
                <w:sz w:val="18"/>
                <w:szCs w:val="18"/>
              </w:rPr>
            </w:pPr>
            <w:r>
              <w:rPr>
                <w:rFonts w:hint="eastAsia" w:ascii="微软雅黑" w:hAnsi="微软雅黑" w:eastAsia="微软雅黑"/>
                <w:sz w:val="18"/>
                <w:szCs w:val="18"/>
              </w:rPr>
              <w:t xml:space="preserve">□ </w:t>
            </w:r>
            <w:r>
              <w:rPr>
                <w:rFonts w:hint="eastAsia" w:ascii="微软雅黑" w:hAnsi="微软雅黑" w:eastAsia="微软雅黑"/>
                <w:kern w:val="0"/>
                <w:sz w:val="18"/>
                <w:szCs w:val="18"/>
              </w:rPr>
              <w:t xml:space="preserve">购买 </w:t>
            </w:r>
            <w:r>
              <w:rPr>
                <w:rFonts w:hint="eastAsia" w:ascii="微软雅黑" w:hAnsi="微软雅黑" w:eastAsia="微软雅黑"/>
                <w:sz w:val="18"/>
                <w:szCs w:val="18"/>
              </w:rPr>
              <w:t xml:space="preserve">□ </w:t>
            </w:r>
            <w:r>
              <w:rPr>
                <w:rFonts w:hint="eastAsia" w:ascii="微软雅黑" w:hAnsi="微软雅黑" w:eastAsia="微软雅黑"/>
                <w:kern w:val="0"/>
                <w:sz w:val="18"/>
                <w:szCs w:val="18"/>
              </w:rPr>
              <w:t xml:space="preserve">赎回 </w:t>
            </w:r>
            <w:r>
              <w:rPr>
                <w:rFonts w:hint="eastAsia" w:ascii="微软雅黑" w:hAnsi="微软雅黑" w:eastAsia="微软雅黑"/>
                <w:sz w:val="18"/>
                <w:szCs w:val="18"/>
              </w:rPr>
              <w:t>□</w:t>
            </w:r>
            <w:r>
              <w:rPr>
                <w:rFonts w:hint="eastAsia" w:ascii="微软雅黑" w:hAnsi="微软雅黑" w:eastAsia="微软雅黑"/>
                <w:kern w:val="0"/>
                <w:sz w:val="18"/>
                <w:szCs w:val="18"/>
              </w:rPr>
              <w:t>撤单</w:t>
            </w:r>
          </w:p>
        </w:tc>
        <w:tc>
          <w:tcPr>
            <w:tcW w:w="3964" w:type="dxa"/>
            <w:gridSpan w:val="4"/>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产品代码：         金额/份额：</w:t>
            </w:r>
          </w:p>
        </w:tc>
        <w:tc>
          <w:tcPr>
            <w:tcW w:w="1275" w:type="dxa"/>
            <w:gridSpan w:val="2"/>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□转让 □受让</w:t>
            </w:r>
          </w:p>
        </w:tc>
        <w:tc>
          <w:tcPr>
            <w:tcW w:w="4322" w:type="dxa"/>
            <w:gridSpan w:val="4"/>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 xml:space="preserve">产品代码：        金额：       有效天数：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614" w:type="dxa"/>
            <w:gridSpan w:val="2"/>
            <w:shd w:val="clear" w:color="auto" w:fill="FFFFFF"/>
            <w:noWrap w:val="0"/>
            <w:vAlign w:val="center"/>
          </w:tcPr>
          <w:p>
            <w:pPr>
              <w:spacing w:line="280" w:lineRule="exact"/>
              <w:jc w:val="left"/>
              <w:rPr>
                <w:rFonts w:ascii="微软雅黑" w:hAnsi="微软雅黑" w:eastAsia="微软雅黑"/>
                <w:sz w:val="18"/>
                <w:szCs w:val="18"/>
              </w:rPr>
            </w:pPr>
            <w:r>
              <w:rPr>
                <w:rFonts w:hint="eastAsia" w:ascii="微软雅黑" w:hAnsi="微软雅黑" w:eastAsia="微软雅黑"/>
                <w:sz w:val="18"/>
                <w:szCs w:val="18"/>
              </w:rPr>
              <w:t>冻结</w:t>
            </w:r>
          </w:p>
        </w:tc>
        <w:tc>
          <w:tcPr>
            <w:tcW w:w="10978" w:type="dxa"/>
            <w:gridSpan w:val="13"/>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产品代码：          冻结份额：      冻结原因：        法律文书号：              执行机构：         冻结截止日：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614" w:type="dxa"/>
            <w:gridSpan w:val="2"/>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解冻</w:t>
            </w:r>
          </w:p>
        </w:tc>
        <w:tc>
          <w:tcPr>
            <w:tcW w:w="10978" w:type="dxa"/>
            <w:gridSpan w:val="13"/>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 xml:space="preserve">原冻结流水号：                 解冻原因：             法律文书号：                  执行机构：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756" w:type="dxa"/>
            <w:gridSpan w:val="3"/>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 xml:space="preserve">质押 </w:t>
            </w:r>
          </w:p>
        </w:tc>
        <w:tc>
          <w:tcPr>
            <w:tcW w:w="10836" w:type="dxa"/>
            <w:gridSpan w:val="12"/>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产品代码：          回款账户：              质押份额：         指定份额明细：□</w:t>
            </w:r>
            <w:r>
              <w:rPr>
                <w:rFonts w:hint="eastAsia" w:ascii="微软雅黑" w:hAnsi="微软雅黑" w:eastAsia="微软雅黑"/>
                <w:kern w:val="0"/>
                <w:sz w:val="18"/>
                <w:szCs w:val="18"/>
              </w:rPr>
              <w:t xml:space="preserve">否  </w:t>
            </w:r>
            <w:r>
              <w:rPr>
                <w:rFonts w:hint="eastAsia" w:ascii="微软雅黑" w:hAnsi="微软雅黑" w:eastAsia="微软雅黑"/>
                <w:sz w:val="18"/>
                <w:szCs w:val="18"/>
              </w:rPr>
              <w:t xml:space="preserve">□是     质押合同号：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756" w:type="dxa"/>
            <w:gridSpan w:val="3"/>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解质押</w:t>
            </w:r>
          </w:p>
        </w:tc>
        <w:tc>
          <w:tcPr>
            <w:tcW w:w="10836" w:type="dxa"/>
            <w:gridSpan w:val="12"/>
            <w:shd w:val="clear" w:color="auto" w:fill="FFFFFF"/>
            <w:noWrap w:val="0"/>
            <w:vAlign w:val="center"/>
          </w:tcPr>
          <w:p>
            <w:pPr>
              <w:spacing w:line="280" w:lineRule="exact"/>
              <w:jc w:val="left"/>
              <w:rPr>
                <w:rFonts w:hint="eastAsia" w:ascii="微软雅黑" w:hAnsi="微软雅黑" w:eastAsia="微软雅黑"/>
                <w:sz w:val="18"/>
                <w:szCs w:val="18"/>
              </w:rPr>
            </w:pPr>
            <w:r>
              <w:rPr>
                <w:rFonts w:hint="eastAsia" w:ascii="微软雅黑" w:hAnsi="微软雅黑" w:eastAsia="微软雅黑"/>
                <w:sz w:val="18"/>
                <w:szCs w:val="18"/>
              </w:rPr>
              <w:t>质押编号：          产品代码：              产品份额：              质押日期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2944" w:type="dxa"/>
            <w:gridSpan w:val="7"/>
            <w:shd w:val="clear" w:color="auto" w:fill="FFFFFF"/>
            <w:noWrap w:val="0"/>
            <w:vAlign w:val="center"/>
          </w:tcPr>
          <w:p>
            <w:pPr>
              <w:spacing w:line="280" w:lineRule="exact"/>
              <w:jc w:val="left"/>
              <w:rPr>
                <w:rFonts w:ascii="微软雅黑" w:hAnsi="微软雅黑" w:eastAsia="微软雅黑"/>
                <w:sz w:val="18"/>
                <w:szCs w:val="18"/>
              </w:rPr>
            </w:pPr>
            <w:r>
              <w:rPr>
                <w:rFonts w:hint="eastAsia" w:ascii="微软雅黑" w:hAnsi="微软雅黑" w:eastAsia="微软雅黑"/>
                <w:sz w:val="18"/>
                <w:szCs w:val="18"/>
              </w:rPr>
              <w:t>□ 营销人员维护 □ 维护人员维护</w:t>
            </w:r>
          </w:p>
        </w:tc>
        <w:tc>
          <w:tcPr>
            <w:tcW w:w="8648" w:type="dxa"/>
            <w:gridSpan w:val="8"/>
            <w:shd w:val="clear" w:color="auto" w:fill="FFFFFF"/>
            <w:noWrap w:val="0"/>
            <w:vAlign w:val="center"/>
          </w:tcPr>
          <w:p>
            <w:pPr>
              <w:spacing w:line="280" w:lineRule="exact"/>
              <w:jc w:val="left"/>
              <w:rPr>
                <w:rFonts w:ascii="微软雅黑" w:hAnsi="微软雅黑" w:eastAsia="微软雅黑"/>
                <w:sz w:val="18"/>
                <w:szCs w:val="18"/>
              </w:rPr>
            </w:pPr>
            <w:r>
              <w:rPr>
                <w:rFonts w:hint="eastAsia" w:ascii="微软雅黑" w:hAnsi="微软雅黑" w:eastAsia="微软雅黑"/>
                <w:sz w:val="18"/>
                <w:szCs w:val="18"/>
              </w:rPr>
              <w:t>申请单编号：                交易类型：            新营销人员：          新理财经理：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1592" w:type="dxa"/>
            <w:gridSpan w:val="15"/>
            <w:noWrap w:val="0"/>
            <w:vAlign w:val="top"/>
          </w:tcPr>
          <w:p>
            <w:pPr>
              <w:spacing w:line="280" w:lineRule="exact"/>
              <w:rPr>
                <w:rFonts w:hint="eastAsia" w:ascii="微软雅黑" w:hAnsi="微软雅黑" w:eastAsia="微软雅黑"/>
                <w:b/>
                <w:sz w:val="18"/>
                <w:szCs w:val="18"/>
              </w:rPr>
            </w:pPr>
            <w:r>
              <w:rPr>
                <w:rFonts w:hint="eastAsia" w:ascii="微软雅黑" w:hAnsi="微软雅黑" w:eastAsia="微软雅黑"/>
                <w:sz w:val="18"/>
                <w:szCs w:val="18"/>
              </w:rPr>
              <w:t xml:space="preserve">    </w:t>
            </w:r>
            <w:r>
              <w:rPr>
                <w:rFonts w:hint="eastAsia" w:ascii="微软雅黑" w:hAnsi="微软雅黑" w:eastAsia="微软雅黑"/>
                <w:b/>
                <w:sz w:val="18"/>
                <w:szCs w:val="18"/>
              </w:rPr>
              <w:t>本人/机构保证所填写的信息真实有效，在发生变更时将及时通知瑞丰银行，自愿在瑞丰银行办理上述理财业务，自愿承担投资风险。</w:t>
            </w:r>
          </w:p>
          <w:p>
            <w:pPr>
              <w:spacing w:line="280" w:lineRule="exact"/>
              <w:rPr>
                <w:rFonts w:hint="eastAsia" w:ascii="微软雅黑" w:hAnsi="微软雅黑" w:eastAsia="微软雅黑"/>
                <w:sz w:val="18"/>
                <w:szCs w:val="18"/>
              </w:rPr>
            </w:pPr>
          </w:p>
          <w:p>
            <w:pPr>
              <w:spacing w:line="280" w:lineRule="exact"/>
              <w:rPr>
                <w:rFonts w:hint="eastAsia" w:ascii="微软雅黑" w:hAnsi="微软雅黑" w:eastAsia="微软雅黑"/>
                <w:sz w:val="18"/>
                <w:szCs w:val="18"/>
              </w:rPr>
            </w:pPr>
          </w:p>
          <w:p>
            <w:pPr>
              <w:spacing w:line="280" w:lineRule="exact"/>
              <w:ind w:firstLine="360" w:firstLineChars="200"/>
              <w:rPr>
                <w:rFonts w:hint="eastAsia" w:ascii="微软雅黑" w:hAnsi="微软雅黑" w:eastAsia="微软雅黑"/>
                <w:sz w:val="18"/>
                <w:szCs w:val="18"/>
              </w:rPr>
            </w:pPr>
            <w:r>
              <w:rPr>
                <w:rFonts w:hint="eastAsia" w:ascii="微软雅黑" w:hAnsi="微软雅黑" w:eastAsia="微软雅黑"/>
                <w:sz w:val="18"/>
                <w:szCs w:val="18"/>
              </w:rPr>
              <w:t>个人客户签字：　　　　　　　　　　　　　　　　　　　　　　　　银行签章：</w:t>
            </w:r>
          </w:p>
          <w:p>
            <w:pPr>
              <w:spacing w:line="280" w:lineRule="exact"/>
              <w:ind w:firstLine="360" w:firstLineChars="200"/>
              <w:rPr>
                <w:rFonts w:hint="eastAsia" w:ascii="微软雅黑" w:hAnsi="微软雅黑" w:eastAsia="微软雅黑"/>
                <w:sz w:val="18"/>
                <w:szCs w:val="18"/>
              </w:rPr>
            </w:pPr>
            <w:r>
              <w:rPr>
                <w:rFonts w:hint="eastAsia" w:ascii="微软雅黑" w:hAnsi="微软雅黑" w:eastAsia="微软雅黑"/>
                <w:sz w:val="18"/>
                <w:szCs w:val="18"/>
              </w:rPr>
              <w:t>机构客户盖公章：                                             （储蓄业务公章或业务公章）</w:t>
            </w:r>
          </w:p>
          <w:p>
            <w:pPr>
              <w:spacing w:line="280" w:lineRule="exact"/>
              <w:ind w:firstLine="360" w:firstLineChars="200"/>
              <w:rPr>
                <w:rFonts w:hint="eastAsia" w:ascii="微软雅黑" w:hAnsi="微软雅黑" w:eastAsia="微软雅黑"/>
                <w:sz w:val="18"/>
                <w:szCs w:val="18"/>
              </w:rPr>
            </w:pPr>
            <w:r>
              <w:rPr>
                <w:rFonts w:hint="eastAsia" w:ascii="微软雅黑" w:hAnsi="微软雅黑" w:eastAsia="微软雅黑"/>
                <w:sz w:val="18"/>
                <w:szCs w:val="18"/>
              </w:rPr>
              <w:t>机构客户经办人签字：　　　　　　　　　　　　　　　　　　　　　经办柜员（签章）：</w:t>
            </w:r>
          </w:p>
          <w:p>
            <w:pPr>
              <w:spacing w:line="280" w:lineRule="exact"/>
              <w:ind w:firstLine="1260" w:firstLineChars="700"/>
              <w:rPr>
                <w:rFonts w:hint="eastAsia" w:ascii="微软雅黑" w:hAnsi="微软雅黑" w:eastAsia="微软雅黑"/>
                <w:sz w:val="18"/>
                <w:szCs w:val="18"/>
              </w:rPr>
            </w:pPr>
            <w:r>
              <w:rPr>
                <w:rFonts w:hint="eastAsia" w:ascii="微软雅黑" w:hAnsi="微软雅黑" w:eastAsia="微软雅黑"/>
                <w:sz w:val="18"/>
                <w:szCs w:val="18"/>
              </w:rPr>
              <w:t>年　　月　　日　　　　　　　　　　　　　　　　　　　　　　　年　　月　　日</w:t>
            </w:r>
          </w:p>
        </w:tc>
      </w:tr>
    </w:tbl>
    <w:p>
      <w:pPr>
        <w:spacing w:line="240" w:lineRule="exact"/>
        <w:ind w:right="-1021" w:rightChars="-486"/>
        <w:rPr>
          <w:rFonts w:hint="eastAsia" w:ascii="微软雅黑" w:hAnsi="微软雅黑" w:eastAsia="微软雅黑"/>
          <w:szCs w:val="21"/>
        </w:rPr>
      </w:pPr>
      <w:r>
        <w:rPr>
          <w:rFonts w:hint="eastAsia" w:ascii="微软雅黑" w:hAnsi="微软雅黑" w:eastAsia="微软雅黑"/>
          <w:szCs w:val="21"/>
        </w:rPr>
        <w:t xml:space="preserve">本表一式两联，第一联银行留存，第二联客户留存                    2022年V01版   </w:t>
      </w:r>
      <w:r>
        <w:rPr>
          <w:rFonts w:hint="eastAsia" w:ascii="微软雅黑" w:hAnsi="微软雅黑" w:eastAsia="微软雅黑"/>
          <w:szCs w:val="21"/>
        </w:rPr>
        <w:drawing>
          <wp:inline distT="0" distB="0" distL="114300" distR="114300">
            <wp:extent cx="217805" cy="1506220"/>
            <wp:effectExtent l="0" t="0" r="17780" b="10795"/>
            <wp:docPr id="3" name="图片 1" descr="凭证条形码图像_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凭证条形码图像_593"/>
                    <pic:cNvPicPr>
                      <a:picLocks noChangeAspect="1"/>
                    </pic:cNvPicPr>
                  </pic:nvPicPr>
                  <pic:blipFill>
                    <a:blip r:embed="rId7"/>
                    <a:stretch>
                      <a:fillRect/>
                    </a:stretch>
                  </pic:blipFill>
                  <pic:spPr>
                    <a:xfrm rot="5400000">
                      <a:off x="0" y="0"/>
                      <a:ext cx="217805" cy="1506220"/>
                    </a:xfrm>
                    <a:prstGeom prst="rect">
                      <a:avLst/>
                    </a:prstGeom>
                    <a:noFill/>
                    <a:ln>
                      <a:noFill/>
                    </a:ln>
                  </pic:spPr>
                </pic:pic>
              </a:graphicData>
            </a:graphic>
          </wp:inline>
        </w:drawing>
      </w:r>
    </w:p>
    <w:p>
      <w:pPr>
        <w:spacing w:line="240" w:lineRule="exact"/>
        <w:ind w:right="-1021" w:rightChars="-486"/>
        <w:rPr>
          <w:rFonts w:hint="eastAsia" w:ascii="微软雅黑" w:hAnsi="微软雅黑" w:eastAsia="微软雅黑"/>
          <w:szCs w:val="21"/>
        </w:rPr>
      </w:pPr>
    </w:p>
    <w:p>
      <w:pPr>
        <w:rPr>
          <w:rFonts w:hint="eastAsia" w:ascii="微软雅黑" w:hAnsi="微软雅黑" w:eastAsia="微软雅黑"/>
          <w:szCs w:val="21"/>
        </w:rPr>
      </w:pPr>
    </w:p>
    <w:tbl>
      <w:tblPr>
        <w:tblStyle w:val="7"/>
        <w:tblpPr w:leftFromText="180" w:rightFromText="180" w:vertAnchor="text" w:horzAnchor="margin" w:tblpY="4"/>
        <w:tblW w:w="9967" w:type="dxa"/>
        <w:tblInd w:w="0" w:type="dxa"/>
        <w:tblLayout w:type="fixed"/>
        <w:tblCellMar>
          <w:top w:w="0" w:type="dxa"/>
          <w:left w:w="108" w:type="dxa"/>
          <w:bottom w:w="0" w:type="dxa"/>
          <w:right w:w="108" w:type="dxa"/>
        </w:tblCellMar>
      </w:tblPr>
      <w:tblGrid>
        <w:gridCol w:w="9967"/>
      </w:tblGrid>
      <w:tr>
        <w:tblPrEx>
          <w:tblCellMar>
            <w:top w:w="0" w:type="dxa"/>
            <w:left w:w="108" w:type="dxa"/>
            <w:bottom w:w="0" w:type="dxa"/>
            <w:right w:w="108" w:type="dxa"/>
          </w:tblCellMar>
        </w:tblPrEx>
        <w:trPr>
          <w:trHeight w:val="372" w:hRule="atLeast"/>
        </w:trPr>
        <w:tc>
          <w:tcPr>
            <w:tcW w:w="9967" w:type="dxa"/>
            <w:shd w:val="clear" w:color="auto" w:fill="D9D9D9"/>
            <w:vAlign w:val="center"/>
          </w:tcPr>
          <w:p>
            <w:pPr>
              <w:spacing w:line="240" w:lineRule="exact"/>
              <w:jc w:val="center"/>
              <w:rPr>
                <w:rFonts w:ascii="微软雅黑" w:hAnsi="微软雅黑" w:eastAsia="微软雅黑"/>
                <w:b/>
                <w:kern w:val="0"/>
                <w:szCs w:val="21"/>
              </w:rPr>
            </w:pPr>
            <w:r>
              <w:rPr>
                <w:rFonts w:hint="eastAsia" w:ascii="微软雅黑" w:hAnsi="微软雅黑" w:eastAsia="微软雅黑"/>
                <w:b/>
                <w:szCs w:val="18"/>
              </w:rPr>
              <w:t>客户确认（个人客户填写）</w:t>
            </w:r>
          </w:p>
        </w:tc>
      </w:tr>
      <w:tr>
        <w:tblPrEx>
          <w:tblCellMar>
            <w:top w:w="0" w:type="dxa"/>
            <w:left w:w="108" w:type="dxa"/>
            <w:bottom w:w="0" w:type="dxa"/>
            <w:right w:w="108" w:type="dxa"/>
          </w:tblCellMar>
        </w:tblPrEx>
        <w:trPr>
          <w:trHeight w:val="3245" w:hRule="atLeast"/>
        </w:trPr>
        <w:tc>
          <w:tcPr>
            <w:tcW w:w="9967" w:type="dxa"/>
            <w:shd w:val="clear" w:color="auto" w:fill="FFFFFF"/>
          </w:tcPr>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1. 您已经知晓您所要购买的理财产品的种类为净值型产品，且知晓银行不对您的本金和收益提供任何承诺。□是     □否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2. 您已充分知晓您将认购的理财产品所面临的风险，且已经对可能产生的不利结果有充分的心理准备。□是     □否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3. 您已经详细阅读了理财产品说明书、风险揭示书、</w:t>
            </w:r>
            <w:r>
              <w:rPr>
                <w:rFonts w:hint="eastAsia" w:ascii="微软雅黑" w:hAnsi="微软雅黑" w:eastAsia="微软雅黑"/>
                <w:kern w:val="0"/>
                <w:sz w:val="18"/>
                <w:szCs w:val="18"/>
              </w:rPr>
              <w:t>客户</w:t>
            </w:r>
            <w:r>
              <w:rPr>
                <w:rFonts w:hint="eastAsia" w:ascii="微软雅黑" w:hAnsi="微软雅黑" w:eastAsia="微软雅黑" w:cs="Times New Roman"/>
                <w:kern w:val="0"/>
                <w:sz w:val="18"/>
                <w:szCs w:val="18"/>
              </w:rPr>
              <w:t>权益须知等相关材料，对此您已经不再有疑问。□是     □否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4. 您已经知晓认购本次理财产品您需要承担的各项费用情况。□是     □否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5. 您已经了解该产品不能提前赎回，以及产品提前到期可能产生的不利后果，且该后果需要由您来承担。□是     □否</w:t>
            </w:r>
          </w:p>
          <w:p>
            <w:pPr>
              <w:spacing w:line="400" w:lineRule="exact"/>
              <w:rPr>
                <w:rFonts w:ascii="微软雅黑" w:hAnsi="微软雅黑" w:eastAsia="微软雅黑"/>
                <w:kern w:val="0"/>
                <w:szCs w:val="21"/>
              </w:rPr>
            </w:pPr>
            <w:r>
              <w:rPr>
                <w:rFonts w:hint="eastAsia" w:ascii="微软雅黑" w:hAnsi="微软雅黑" w:eastAsia="微软雅黑"/>
                <w:kern w:val="0"/>
                <w:sz w:val="18"/>
                <w:szCs w:val="18"/>
              </w:rPr>
              <w:t>6. 您已经确认您的风险承受能力适合购买本产品。□是     □否</w:t>
            </w:r>
          </w:p>
          <w:p>
            <w:pPr>
              <w:pStyle w:val="14"/>
              <w:spacing w:line="340" w:lineRule="exact"/>
              <w:ind w:firstLine="360"/>
              <w:rPr>
                <w:rFonts w:ascii="微软雅黑" w:hAnsi="微软雅黑" w:eastAsia="微软雅黑" w:cs="Times New Roman"/>
                <w:b/>
                <w:kern w:val="0"/>
                <w:sz w:val="18"/>
                <w:szCs w:val="18"/>
              </w:rPr>
            </w:pPr>
            <w:r>
              <w:rPr>
                <w:rFonts w:hint="eastAsia" w:ascii="微软雅黑" w:hAnsi="微软雅黑" w:eastAsia="微软雅黑"/>
                <w:b/>
                <w:kern w:val="0"/>
                <w:sz w:val="18"/>
                <w:szCs w:val="18"/>
              </w:rPr>
              <w:t>客户确认：本人已仔细阅读了本</w:t>
            </w:r>
            <w:r>
              <w:rPr>
                <w:rFonts w:hint="eastAsia" w:ascii="微软雅黑" w:hAnsi="微软雅黑" w:eastAsia="微软雅黑"/>
                <w:b/>
                <w:bCs/>
                <w:sz w:val="18"/>
                <w:szCs w:val="18"/>
              </w:rPr>
              <w:t>《</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b/>
                <w:bCs/>
                <w:sz w:val="18"/>
                <w:szCs w:val="18"/>
              </w:rPr>
              <w:t>》</w:t>
            </w:r>
            <w:r>
              <w:rPr>
                <w:rFonts w:hint="eastAsia" w:ascii="微软雅黑" w:hAnsi="微软雅黑" w:eastAsia="微软雅黑"/>
                <w:b/>
                <w:kern w:val="0"/>
                <w:sz w:val="18"/>
                <w:szCs w:val="18"/>
              </w:rPr>
              <w:t>以及《瑞丰银行理财产品总协议书》，瑞丰银行向本人说明了本理财产品所涉及到的各种风险。认购、申购本理财产品是经过本人独立判断之后所做出的符合本人真</w:t>
            </w:r>
            <w:r>
              <w:rPr>
                <w:rFonts w:hint="eastAsia" w:ascii="微软雅黑" w:hAnsi="微软雅黑" w:eastAsia="微软雅黑" w:cs="Times New Roman"/>
                <w:b/>
                <w:kern w:val="0"/>
                <w:sz w:val="18"/>
                <w:szCs w:val="18"/>
              </w:rPr>
              <w:t>实意愿的决定。本人同意和接受上述销售文件的条款和内容。</w:t>
            </w:r>
          </w:p>
          <w:p>
            <w:pPr>
              <w:pStyle w:val="14"/>
              <w:spacing w:line="340" w:lineRule="exact"/>
              <w:ind w:firstLine="36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个人客户请全文抄录以下文字以完成确认：</w:t>
            </w:r>
            <w:r>
              <w:rPr>
                <w:rFonts w:hint="eastAsia" w:ascii="微软雅黑" w:hAnsi="微软雅黑" w:eastAsia="微软雅黑" w:cs="Times New Roman"/>
                <w:b/>
                <w:kern w:val="0"/>
                <w:sz w:val="18"/>
                <w:szCs w:val="18"/>
              </w:rPr>
              <w:t>“本人已经阅读风险揭示，愿意承担投资风险”</w:t>
            </w:r>
            <w:r>
              <w:rPr>
                <w:rFonts w:hint="eastAsia" w:ascii="微软雅黑" w:hAnsi="微软雅黑" w:eastAsia="微软雅黑" w:cs="Times New Roman"/>
                <w:kern w:val="0"/>
                <w:sz w:val="18"/>
                <w:szCs w:val="18"/>
              </w:rPr>
              <w:t>。</w:t>
            </w:r>
          </w:p>
          <w:p>
            <w:pPr>
              <w:spacing w:line="400" w:lineRule="exact"/>
              <w:ind w:firstLine="420" w:firstLineChars="200"/>
              <w:rPr>
                <w:rFonts w:ascii="微软雅黑" w:hAnsi="微软雅黑" w:eastAsia="微软雅黑"/>
                <w:b/>
                <w:kern w:val="0"/>
                <w:szCs w:val="21"/>
                <w:u w:val="single"/>
              </w:rPr>
            </w:pPr>
          </w:p>
          <w:p>
            <w:pPr>
              <w:spacing w:line="400" w:lineRule="exact"/>
              <w:ind w:firstLine="360" w:firstLineChars="200"/>
              <w:rPr>
                <w:rFonts w:ascii="微软雅黑" w:hAnsi="微软雅黑" w:eastAsia="微软雅黑"/>
                <w:kern w:val="0"/>
                <w:sz w:val="18"/>
                <w:szCs w:val="18"/>
                <w:u w:val="single"/>
              </w:rPr>
            </w:pPr>
            <w:r>
              <w:rPr>
                <w:rFonts w:hint="eastAsia" w:ascii="微软雅黑" w:hAnsi="微软雅黑" w:eastAsia="微软雅黑"/>
                <w:kern w:val="0"/>
                <w:sz w:val="18"/>
                <w:szCs w:val="18"/>
                <w:u w:val="single"/>
              </w:rPr>
              <w:t>本人的风险承受能力评级结果为：               （保守型、谨慎型、稳健型、进取型、激进型）</w:t>
            </w:r>
          </w:p>
          <w:p>
            <w:pPr>
              <w:spacing w:line="400" w:lineRule="exact"/>
              <w:ind w:firstLine="405"/>
              <w:rPr>
                <w:rFonts w:ascii="微软雅黑" w:hAnsi="微软雅黑" w:eastAsia="微软雅黑"/>
                <w:kern w:val="0"/>
                <w:szCs w:val="21"/>
                <w:u w:val="single"/>
              </w:rPr>
            </w:pPr>
            <w:r>
              <w:rPr>
                <w:rFonts w:hint="eastAsia" w:ascii="微软雅黑" w:hAnsi="微软雅黑" w:eastAsia="微软雅黑"/>
                <w:kern w:val="0"/>
                <w:sz w:val="18"/>
                <w:szCs w:val="18"/>
              </w:rPr>
              <w:t>客户签名：</w:t>
            </w:r>
            <w:r>
              <w:rPr>
                <w:rFonts w:hint="eastAsia" w:ascii="微软雅黑" w:hAnsi="微软雅黑" w:eastAsia="微软雅黑"/>
                <w:kern w:val="0"/>
                <w:sz w:val="18"/>
                <w:szCs w:val="18"/>
                <w:u w:val="single"/>
              </w:rPr>
              <w:t xml:space="preserve">                   </w:t>
            </w:r>
            <w:r>
              <w:rPr>
                <w:rFonts w:hint="eastAsia" w:ascii="微软雅黑" w:hAnsi="微软雅黑" w:eastAsia="微软雅黑"/>
                <w:kern w:val="0"/>
                <w:sz w:val="18"/>
                <w:szCs w:val="18"/>
              </w:rPr>
              <w:t xml:space="preserve">  银行经办人签名：</w:t>
            </w:r>
            <w:r>
              <w:rPr>
                <w:rFonts w:hint="eastAsia" w:ascii="微软雅黑" w:hAnsi="微软雅黑" w:eastAsia="微软雅黑"/>
                <w:kern w:val="0"/>
                <w:sz w:val="18"/>
                <w:szCs w:val="18"/>
                <w:u w:val="single"/>
              </w:rPr>
              <w:t xml:space="preserve">                   </w:t>
            </w:r>
            <w:r>
              <w:rPr>
                <w:rFonts w:hint="eastAsia" w:ascii="微软雅黑" w:hAnsi="微软雅黑" w:eastAsia="微软雅黑"/>
                <w:kern w:val="0"/>
                <w:sz w:val="18"/>
                <w:szCs w:val="18"/>
              </w:rPr>
              <w:t xml:space="preserve">  日期：</w:t>
            </w:r>
            <w:r>
              <w:rPr>
                <w:rFonts w:hint="eastAsia" w:ascii="微软雅黑" w:hAnsi="微软雅黑" w:eastAsia="微软雅黑"/>
                <w:kern w:val="0"/>
                <w:sz w:val="18"/>
                <w:szCs w:val="18"/>
                <w:u w:val="single"/>
              </w:rPr>
              <w:t xml:space="preserve">                   </w:t>
            </w:r>
          </w:p>
        </w:tc>
      </w:tr>
      <w:tr>
        <w:tblPrEx>
          <w:tblCellMar>
            <w:top w:w="0" w:type="dxa"/>
            <w:left w:w="108" w:type="dxa"/>
            <w:bottom w:w="0" w:type="dxa"/>
            <w:right w:w="108" w:type="dxa"/>
          </w:tblCellMar>
        </w:tblPrEx>
        <w:trPr>
          <w:trHeight w:val="447" w:hRule="atLeast"/>
        </w:trPr>
        <w:tc>
          <w:tcPr>
            <w:tcW w:w="9967" w:type="dxa"/>
            <w:shd w:val="clear" w:color="auto" w:fill="D9D9D9"/>
            <w:vAlign w:val="center"/>
          </w:tcPr>
          <w:p>
            <w:pPr>
              <w:spacing w:line="240" w:lineRule="exact"/>
              <w:jc w:val="center"/>
              <w:rPr>
                <w:rFonts w:ascii="微软雅黑" w:hAnsi="微软雅黑" w:eastAsia="微软雅黑"/>
                <w:b/>
                <w:kern w:val="0"/>
                <w:szCs w:val="21"/>
              </w:rPr>
            </w:pPr>
            <w:r>
              <w:rPr>
                <w:rFonts w:hint="eastAsia" w:ascii="微软雅黑" w:hAnsi="微软雅黑" w:eastAsia="微软雅黑"/>
                <w:b/>
                <w:szCs w:val="18"/>
              </w:rPr>
              <w:t>客户确认（机购客户填写）</w:t>
            </w:r>
          </w:p>
        </w:tc>
      </w:tr>
      <w:tr>
        <w:tblPrEx>
          <w:tblCellMar>
            <w:top w:w="0" w:type="dxa"/>
            <w:left w:w="108" w:type="dxa"/>
            <w:bottom w:w="0" w:type="dxa"/>
            <w:right w:w="108" w:type="dxa"/>
          </w:tblCellMar>
        </w:tblPrEx>
        <w:trPr>
          <w:trHeight w:val="2830" w:hRule="atLeast"/>
        </w:trPr>
        <w:tc>
          <w:tcPr>
            <w:tcW w:w="9967" w:type="dxa"/>
            <w:shd w:val="clear" w:color="auto" w:fill="FFFFFF"/>
          </w:tcPr>
          <w:p>
            <w:pPr>
              <w:pStyle w:val="14"/>
              <w:spacing w:line="340" w:lineRule="exact"/>
              <w:ind w:firstLine="360"/>
              <w:rPr>
                <w:rFonts w:ascii="微软雅黑" w:hAnsi="微软雅黑" w:eastAsia="微软雅黑" w:cs="Times New Roman"/>
                <w:b/>
                <w:kern w:val="0"/>
                <w:sz w:val="18"/>
                <w:szCs w:val="18"/>
              </w:rPr>
            </w:pPr>
            <w:r>
              <w:rPr>
                <w:rFonts w:hint="eastAsia" w:ascii="微软雅黑" w:hAnsi="微软雅黑" w:eastAsia="微软雅黑" w:cs="Times New Roman"/>
                <w:b/>
                <w:kern w:val="0"/>
                <w:sz w:val="18"/>
                <w:szCs w:val="18"/>
              </w:rPr>
              <w:t>本人 为公司授权签字人。本授权签字人已阅读了产品风险提示。瑞丰银行向本授权签字人说明了本产品所涉及到的各种风险。认购本产品是经过我公司独立判断之后所做出的符合本公司意愿的决定。</w:t>
            </w:r>
          </w:p>
          <w:p>
            <w:pPr>
              <w:spacing w:line="400" w:lineRule="exact"/>
              <w:ind w:firstLine="420" w:firstLineChars="200"/>
              <w:rPr>
                <w:rFonts w:ascii="微软雅黑" w:hAnsi="微软雅黑" w:eastAsia="微软雅黑"/>
                <w:kern w:val="0"/>
                <w:szCs w:val="21"/>
              </w:rPr>
            </w:pPr>
          </w:p>
          <w:p>
            <w:pPr>
              <w:spacing w:line="400" w:lineRule="exact"/>
              <w:ind w:firstLine="360" w:firstLineChars="200"/>
              <w:rPr>
                <w:rFonts w:ascii="微软雅黑" w:hAnsi="微软雅黑" w:eastAsia="微软雅黑"/>
                <w:kern w:val="0"/>
                <w:sz w:val="18"/>
                <w:szCs w:val="18"/>
                <w:u w:val="single"/>
              </w:rPr>
            </w:pPr>
            <w:r>
              <w:rPr>
                <w:rFonts w:hint="eastAsia" w:ascii="微软雅黑" w:hAnsi="微软雅黑" w:eastAsia="微软雅黑"/>
                <w:kern w:val="0"/>
                <w:sz w:val="18"/>
                <w:szCs w:val="18"/>
              </w:rPr>
              <w:t>机构公章：</w:t>
            </w:r>
            <w:r>
              <w:rPr>
                <w:rFonts w:hint="eastAsia" w:ascii="微软雅黑" w:hAnsi="微软雅黑" w:eastAsia="微软雅黑"/>
                <w:kern w:val="0"/>
                <w:sz w:val="18"/>
                <w:szCs w:val="18"/>
                <w:u w:val="single"/>
              </w:rPr>
              <w:t xml:space="preserve">                   </w:t>
            </w:r>
            <w:r>
              <w:rPr>
                <w:rFonts w:hint="eastAsia" w:ascii="微软雅黑" w:hAnsi="微软雅黑" w:eastAsia="微软雅黑"/>
                <w:kern w:val="0"/>
                <w:sz w:val="18"/>
                <w:szCs w:val="18"/>
              </w:rPr>
              <w:t xml:space="preserve">  公司授权人签名：</w:t>
            </w:r>
            <w:r>
              <w:rPr>
                <w:rFonts w:hint="eastAsia" w:ascii="微软雅黑" w:hAnsi="微软雅黑" w:eastAsia="微软雅黑"/>
                <w:kern w:val="0"/>
                <w:sz w:val="18"/>
                <w:szCs w:val="18"/>
                <w:u w:val="single"/>
              </w:rPr>
              <w:t xml:space="preserve">                   </w:t>
            </w:r>
          </w:p>
          <w:p>
            <w:pPr>
              <w:spacing w:line="400" w:lineRule="exact"/>
              <w:ind w:firstLine="360" w:firstLineChars="200"/>
              <w:rPr>
                <w:rFonts w:ascii="微软雅黑" w:hAnsi="微软雅黑" w:eastAsia="微软雅黑"/>
                <w:kern w:val="0"/>
                <w:szCs w:val="21"/>
              </w:rPr>
            </w:pPr>
            <w:r>
              <w:rPr>
                <w:rFonts w:hint="eastAsia" w:ascii="微软雅黑" w:hAnsi="微软雅黑" w:eastAsia="微软雅黑"/>
                <w:kern w:val="0"/>
                <w:sz w:val="18"/>
                <w:szCs w:val="18"/>
              </w:rPr>
              <w:t>银行经办人签名：</w:t>
            </w:r>
            <w:r>
              <w:rPr>
                <w:rFonts w:hint="eastAsia" w:ascii="微软雅黑" w:hAnsi="微软雅黑" w:eastAsia="微软雅黑"/>
                <w:kern w:val="0"/>
                <w:sz w:val="18"/>
                <w:szCs w:val="18"/>
                <w:u w:val="single"/>
              </w:rPr>
              <w:t xml:space="preserve">                   </w:t>
            </w:r>
            <w:r>
              <w:rPr>
                <w:rFonts w:hint="eastAsia" w:ascii="微软雅黑" w:hAnsi="微软雅黑" w:eastAsia="微软雅黑"/>
                <w:kern w:val="0"/>
                <w:sz w:val="18"/>
                <w:szCs w:val="18"/>
              </w:rPr>
              <w:t xml:space="preserve">  日期：</w:t>
            </w:r>
            <w:r>
              <w:rPr>
                <w:rFonts w:hint="eastAsia" w:ascii="微软雅黑" w:hAnsi="微软雅黑" w:eastAsia="微软雅黑"/>
                <w:kern w:val="0"/>
                <w:sz w:val="18"/>
                <w:szCs w:val="18"/>
                <w:u w:val="single"/>
              </w:rPr>
              <w:t xml:space="preserve">                   </w:t>
            </w:r>
          </w:p>
        </w:tc>
      </w:tr>
    </w:tbl>
    <w:p>
      <w:pPr>
        <w:spacing w:line="240" w:lineRule="exact"/>
        <w:ind w:right="-1021" w:rightChars="-486"/>
        <w:rPr>
          <w:rFonts w:ascii="微软雅黑" w:hAnsi="微软雅黑" w:eastAsia="微软雅黑"/>
          <w:b/>
          <w:kern w:val="0"/>
          <w:szCs w:val="21"/>
        </w:rPr>
      </w:pPr>
    </w:p>
    <w:p>
      <w:pPr>
        <w:spacing w:line="240" w:lineRule="exact"/>
        <w:ind w:right="-1021" w:rightChars="-486"/>
        <w:rPr>
          <w:rFonts w:hint="eastAsia" w:ascii="微软雅黑" w:hAnsi="微软雅黑" w:eastAsia="微软雅黑"/>
          <w:szCs w:val="21"/>
        </w:rPr>
      </w:pPr>
      <w:bookmarkStart w:id="0" w:name="_GoBack"/>
      <w:bookmarkEnd w:id="0"/>
    </w:p>
    <w:sectPr>
      <w:headerReference r:id="rId3" w:type="default"/>
      <w:footerReference r:id="rId4" w:type="default"/>
      <w:pgSz w:w="11906" w:h="16838"/>
      <w:pgMar w:top="885" w:right="1021" w:bottom="709" w:left="1134" w:header="730" w:footer="227" w:gutter="0"/>
      <w:pgNumType w:fmt="chineseCountingThousand"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5"/>
        <w:tab w:val="clear" w:pos="4153"/>
        <w:tab w:val="clear" w:pos="8306"/>
      </w:tabs>
      <w:rPr>
        <w:sz w:val="13"/>
        <w:szCs w:val="13"/>
      </w:rPr>
    </w:pPr>
    <w:r>
      <w:rPr>
        <w:sz w:val="24"/>
      </w:rPr>
      <w:pict>
        <v:shape id="文本框4" o:spid="_x0000_s4097" o:spt="202" type="#_x0000_t202" style="position:absolute;left:0pt;margin-left:210pt;margin-top:4.5pt;height:144pt;width:144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rPr>
                  <w:t>一</w:t>
                </w:r>
                <w:r>
                  <w:rPr>
                    <w:rFonts w:hint="eastAsia"/>
                    <w:sz w:val="18"/>
                  </w:rPr>
                  <w:fldChar w:fldCharType="end"/>
                </w:r>
                <w:r>
                  <w:rPr>
                    <w:rFonts w:hint="eastAsia"/>
                    <w:sz w:val="18"/>
                  </w:rPr>
                  <w:t>页共六页</w:t>
                </w:r>
              </w:p>
            </w:txbxContent>
          </v:textbox>
        </v:shape>
      </w:pict>
    </w:r>
    <w:r>
      <w:rPr>
        <w:rFonts w:hint="eastAsia" w:ascii="微软雅黑" w:hAnsi="微软雅黑" w:eastAsia="微软雅黑"/>
        <w:b/>
        <w:sz w:val="24"/>
      </w:rPr>
      <w:t>理财非存款、产品有风险、投资须谨慎</w:t>
    </w:r>
    <w:r>
      <w:rPr>
        <w:sz w:val="13"/>
        <w:szCs w:val="13"/>
      </w:rPr>
      <w:tab/>
    </w:r>
  </w:p>
  <w:p>
    <w:pPr>
      <w:rPr>
        <w:rFonts w:ascii="微软雅黑" w:hAnsi="微软雅黑" w:eastAsia="微软雅黑"/>
        <w:b/>
        <w:sz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drawing>
        <wp:anchor distT="0" distB="0" distL="114300" distR="114300" simplePos="0" relativeHeight="251658240" behindDoc="0" locked="0" layoutInCell="1" allowOverlap="1">
          <wp:simplePos x="0" y="0"/>
          <wp:positionH relativeFrom="column">
            <wp:posOffset>5090160</wp:posOffset>
          </wp:positionH>
          <wp:positionV relativeFrom="paragraph">
            <wp:posOffset>-191135</wp:posOffset>
          </wp:positionV>
          <wp:extent cx="984250" cy="252730"/>
          <wp:effectExtent l="19050" t="0" r="6350" b="0"/>
          <wp:wrapNone/>
          <wp:docPr id="1" name="Picture 6"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致富理财ICON [转换]-01"/>
                  <pic:cNvPicPr>
                    <a:picLocks noChangeAspect="1" noChangeArrowheads="1"/>
                  </pic:cNvPicPr>
                </pic:nvPicPr>
                <pic:blipFill>
                  <a:blip r:embed="rId1"/>
                  <a:srcRect l="6451" t="21858" r="6451" b="19850"/>
                  <a:stretch>
                    <a:fillRect/>
                  </a:stretch>
                </pic:blipFill>
                <pic:spPr>
                  <a:xfrm>
                    <a:off x="0" y="0"/>
                    <a:ext cx="984250" cy="252730"/>
                  </a:xfrm>
                  <a:prstGeom prst="rect">
                    <a:avLst/>
                  </a:prstGeom>
                  <a:noFill/>
                  <a:ln w="9525">
                    <a:noFill/>
                    <a:miter lim="800000"/>
                    <a:headEnd/>
                    <a:tailEnd/>
                  </a:ln>
                </pic:spPr>
              </pic:pic>
            </a:graphicData>
          </a:graphic>
        </wp:anchor>
      </w:drawing>
    </w:r>
    <w:r>
      <w:drawing>
        <wp:anchor distT="0" distB="0" distL="114300" distR="114300" simplePos="0" relativeHeight="251657216" behindDoc="0" locked="0" layoutInCell="1" allowOverlap="1">
          <wp:simplePos x="0" y="0"/>
          <wp:positionH relativeFrom="column">
            <wp:posOffset>37465</wp:posOffset>
          </wp:positionH>
          <wp:positionV relativeFrom="paragraph">
            <wp:posOffset>-220980</wp:posOffset>
          </wp:positionV>
          <wp:extent cx="1045845" cy="282575"/>
          <wp:effectExtent l="0" t="0" r="0" b="0"/>
          <wp:wrapNone/>
          <wp:docPr id="2" name="Picture 5"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瑞丰银行 logo - slogan2-02"/>
                  <pic:cNvPicPr>
                    <a:picLocks noChangeAspect="1" noChangeArrowheads="1"/>
                  </pic:cNvPicPr>
                </pic:nvPicPr>
                <pic:blipFill>
                  <a:blip r:embed="rId2"/>
                  <a:srcRect/>
                  <a:stretch>
                    <a:fillRect/>
                  </a:stretch>
                </pic:blipFill>
                <pic:spPr>
                  <a:xfrm>
                    <a:off x="0" y="0"/>
                    <a:ext cx="1045845" cy="2825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702194"/>
    <w:multiLevelType w:val="singleLevel"/>
    <w:tmpl w:val="B270219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64C"/>
    <w:rsid w:val="000129CC"/>
    <w:rsid w:val="00012AC7"/>
    <w:rsid w:val="00015B83"/>
    <w:rsid w:val="000172B8"/>
    <w:rsid w:val="00017422"/>
    <w:rsid w:val="00017553"/>
    <w:rsid w:val="00025EFE"/>
    <w:rsid w:val="000320E7"/>
    <w:rsid w:val="0003558E"/>
    <w:rsid w:val="00035F4E"/>
    <w:rsid w:val="000361D0"/>
    <w:rsid w:val="000435BF"/>
    <w:rsid w:val="00045FA5"/>
    <w:rsid w:val="00054D81"/>
    <w:rsid w:val="000574F9"/>
    <w:rsid w:val="000575D4"/>
    <w:rsid w:val="00062C12"/>
    <w:rsid w:val="000630D8"/>
    <w:rsid w:val="00063B27"/>
    <w:rsid w:val="00072974"/>
    <w:rsid w:val="0007495D"/>
    <w:rsid w:val="000771E4"/>
    <w:rsid w:val="00081288"/>
    <w:rsid w:val="000856AB"/>
    <w:rsid w:val="00086373"/>
    <w:rsid w:val="00093994"/>
    <w:rsid w:val="0009478C"/>
    <w:rsid w:val="00096A92"/>
    <w:rsid w:val="000A7190"/>
    <w:rsid w:val="000B151E"/>
    <w:rsid w:val="000B1F37"/>
    <w:rsid w:val="000B4AD6"/>
    <w:rsid w:val="000B67B5"/>
    <w:rsid w:val="000C077F"/>
    <w:rsid w:val="000E0702"/>
    <w:rsid w:val="000E47B5"/>
    <w:rsid w:val="000E5115"/>
    <w:rsid w:val="000E6F28"/>
    <w:rsid w:val="000F3D79"/>
    <w:rsid w:val="001024A7"/>
    <w:rsid w:val="00104412"/>
    <w:rsid w:val="001133E9"/>
    <w:rsid w:val="00115793"/>
    <w:rsid w:val="00116C5D"/>
    <w:rsid w:val="00123005"/>
    <w:rsid w:val="00130BB2"/>
    <w:rsid w:val="001320F7"/>
    <w:rsid w:val="00132C83"/>
    <w:rsid w:val="00136C2D"/>
    <w:rsid w:val="0014124D"/>
    <w:rsid w:val="0014587F"/>
    <w:rsid w:val="00145E52"/>
    <w:rsid w:val="00152992"/>
    <w:rsid w:val="0015404F"/>
    <w:rsid w:val="001600C7"/>
    <w:rsid w:val="0016336E"/>
    <w:rsid w:val="00171065"/>
    <w:rsid w:val="00172A27"/>
    <w:rsid w:val="00173E2D"/>
    <w:rsid w:val="00183977"/>
    <w:rsid w:val="00185B23"/>
    <w:rsid w:val="0019530C"/>
    <w:rsid w:val="00196182"/>
    <w:rsid w:val="001B0603"/>
    <w:rsid w:val="001B1464"/>
    <w:rsid w:val="001B3720"/>
    <w:rsid w:val="001C0170"/>
    <w:rsid w:val="001C1B53"/>
    <w:rsid w:val="001C54C3"/>
    <w:rsid w:val="001C6B2C"/>
    <w:rsid w:val="001C7526"/>
    <w:rsid w:val="001D1038"/>
    <w:rsid w:val="001D1B5C"/>
    <w:rsid w:val="001D46AA"/>
    <w:rsid w:val="001D4F7E"/>
    <w:rsid w:val="001D71DF"/>
    <w:rsid w:val="001D7489"/>
    <w:rsid w:val="001D7CD0"/>
    <w:rsid w:val="001E3F05"/>
    <w:rsid w:val="001E40DA"/>
    <w:rsid w:val="001F61D1"/>
    <w:rsid w:val="001F6404"/>
    <w:rsid w:val="001F713F"/>
    <w:rsid w:val="00201CAE"/>
    <w:rsid w:val="00202BF6"/>
    <w:rsid w:val="002167CA"/>
    <w:rsid w:val="0021785C"/>
    <w:rsid w:val="0022303C"/>
    <w:rsid w:val="00237AEF"/>
    <w:rsid w:val="00243E08"/>
    <w:rsid w:val="002441AC"/>
    <w:rsid w:val="00250E0F"/>
    <w:rsid w:val="002573A4"/>
    <w:rsid w:val="00264CB4"/>
    <w:rsid w:val="00265FCD"/>
    <w:rsid w:val="00266EBE"/>
    <w:rsid w:val="00267EA1"/>
    <w:rsid w:val="00271876"/>
    <w:rsid w:val="002764F6"/>
    <w:rsid w:val="002837CE"/>
    <w:rsid w:val="002941AD"/>
    <w:rsid w:val="00295587"/>
    <w:rsid w:val="002B369C"/>
    <w:rsid w:val="002B4E8E"/>
    <w:rsid w:val="002C051C"/>
    <w:rsid w:val="002C3B1C"/>
    <w:rsid w:val="002D1128"/>
    <w:rsid w:val="002D2D52"/>
    <w:rsid w:val="002D35C5"/>
    <w:rsid w:val="002D708A"/>
    <w:rsid w:val="002E2883"/>
    <w:rsid w:val="00301B23"/>
    <w:rsid w:val="0030234A"/>
    <w:rsid w:val="00305F21"/>
    <w:rsid w:val="003065ED"/>
    <w:rsid w:val="003174B4"/>
    <w:rsid w:val="003268EA"/>
    <w:rsid w:val="003305DE"/>
    <w:rsid w:val="00331201"/>
    <w:rsid w:val="00342566"/>
    <w:rsid w:val="00351FE3"/>
    <w:rsid w:val="00355F3A"/>
    <w:rsid w:val="003615F4"/>
    <w:rsid w:val="00377146"/>
    <w:rsid w:val="003832A1"/>
    <w:rsid w:val="003858E7"/>
    <w:rsid w:val="003936D8"/>
    <w:rsid w:val="003B7C78"/>
    <w:rsid w:val="003C52B9"/>
    <w:rsid w:val="003C5610"/>
    <w:rsid w:val="003D497B"/>
    <w:rsid w:val="003E0BCD"/>
    <w:rsid w:val="003E3A75"/>
    <w:rsid w:val="003E4672"/>
    <w:rsid w:val="003E64D4"/>
    <w:rsid w:val="003E7F73"/>
    <w:rsid w:val="003F4C7B"/>
    <w:rsid w:val="003F59B7"/>
    <w:rsid w:val="004075B5"/>
    <w:rsid w:val="00413E2F"/>
    <w:rsid w:val="004166D5"/>
    <w:rsid w:val="00417CB0"/>
    <w:rsid w:val="00420413"/>
    <w:rsid w:val="0042402D"/>
    <w:rsid w:val="004240E1"/>
    <w:rsid w:val="004265DD"/>
    <w:rsid w:val="00430D3E"/>
    <w:rsid w:val="00431B6A"/>
    <w:rsid w:val="00440166"/>
    <w:rsid w:val="004406A7"/>
    <w:rsid w:val="004423A9"/>
    <w:rsid w:val="004426D2"/>
    <w:rsid w:val="00444DC7"/>
    <w:rsid w:val="00446738"/>
    <w:rsid w:val="0045235F"/>
    <w:rsid w:val="00454A5B"/>
    <w:rsid w:val="00457AEE"/>
    <w:rsid w:val="0046603C"/>
    <w:rsid w:val="004679BE"/>
    <w:rsid w:val="0047096E"/>
    <w:rsid w:val="00472A5F"/>
    <w:rsid w:val="00476154"/>
    <w:rsid w:val="004844DF"/>
    <w:rsid w:val="004905F6"/>
    <w:rsid w:val="0049241D"/>
    <w:rsid w:val="004A3622"/>
    <w:rsid w:val="004A7394"/>
    <w:rsid w:val="004B182E"/>
    <w:rsid w:val="004B5635"/>
    <w:rsid w:val="004C186D"/>
    <w:rsid w:val="004C7103"/>
    <w:rsid w:val="004D0949"/>
    <w:rsid w:val="004D0F74"/>
    <w:rsid w:val="004E6B53"/>
    <w:rsid w:val="004F2697"/>
    <w:rsid w:val="005008B4"/>
    <w:rsid w:val="00502E4F"/>
    <w:rsid w:val="00510413"/>
    <w:rsid w:val="00523647"/>
    <w:rsid w:val="00533732"/>
    <w:rsid w:val="00534797"/>
    <w:rsid w:val="00537E62"/>
    <w:rsid w:val="00555693"/>
    <w:rsid w:val="00557694"/>
    <w:rsid w:val="00566CDC"/>
    <w:rsid w:val="005700D1"/>
    <w:rsid w:val="005774B4"/>
    <w:rsid w:val="00581A11"/>
    <w:rsid w:val="00584217"/>
    <w:rsid w:val="00586B7A"/>
    <w:rsid w:val="0059563A"/>
    <w:rsid w:val="005B1465"/>
    <w:rsid w:val="005B1681"/>
    <w:rsid w:val="005B1920"/>
    <w:rsid w:val="005B5C6A"/>
    <w:rsid w:val="005B61BF"/>
    <w:rsid w:val="005C0C34"/>
    <w:rsid w:val="005C14F0"/>
    <w:rsid w:val="005C73D4"/>
    <w:rsid w:val="005D04BA"/>
    <w:rsid w:val="005D380A"/>
    <w:rsid w:val="005D42D1"/>
    <w:rsid w:val="005D4301"/>
    <w:rsid w:val="005D4513"/>
    <w:rsid w:val="005D6742"/>
    <w:rsid w:val="005E50A5"/>
    <w:rsid w:val="005E5BBA"/>
    <w:rsid w:val="005E67DB"/>
    <w:rsid w:val="005F2DFA"/>
    <w:rsid w:val="00600599"/>
    <w:rsid w:val="00600F88"/>
    <w:rsid w:val="00601307"/>
    <w:rsid w:val="00607154"/>
    <w:rsid w:val="00626F8D"/>
    <w:rsid w:val="00627B4E"/>
    <w:rsid w:val="00631112"/>
    <w:rsid w:val="00631552"/>
    <w:rsid w:val="00631904"/>
    <w:rsid w:val="00633B63"/>
    <w:rsid w:val="00635AB2"/>
    <w:rsid w:val="0063670C"/>
    <w:rsid w:val="006429BD"/>
    <w:rsid w:val="00643251"/>
    <w:rsid w:val="00643FF3"/>
    <w:rsid w:val="006450FF"/>
    <w:rsid w:val="00647763"/>
    <w:rsid w:val="00652709"/>
    <w:rsid w:val="0065570B"/>
    <w:rsid w:val="00655928"/>
    <w:rsid w:val="00661305"/>
    <w:rsid w:val="006654D6"/>
    <w:rsid w:val="0066560B"/>
    <w:rsid w:val="00666E4B"/>
    <w:rsid w:val="0066780A"/>
    <w:rsid w:val="0067281A"/>
    <w:rsid w:val="00673C9A"/>
    <w:rsid w:val="006756C8"/>
    <w:rsid w:val="006801B8"/>
    <w:rsid w:val="006818A2"/>
    <w:rsid w:val="00693004"/>
    <w:rsid w:val="00693671"/>
    <w:rsid w:val="006A3BC6"/>
    <w:rsid w:val="006A40AB"/>
    <w:rsid w:val="006B41EB"/>
    <w:rsid w:val="006B5455"/>
    <w:rsid w:val="006B5777"/>
    <w:rsid w:val="006C03E6"/>
    <w:rsid w:val="006C0E0B"/>
    <w:rsid w:val="006C28E0"/>
    <w:rsid w:val="006C6520"/>
    <w:rsid w:val="006C7F85"/>
    <w:rsid w:val="006D0C93"/>
    <w:rsid w:val="006E54DC"/>
    <w:rsid w:val="006E72D9"/>
    <w:rsid w:val="006F08F1"/>
    <w:rsid w:val="00701F94"/>
    <w:rsid w:val="00712F8F"/>
    <w:rsid w:val="0071487E"/>
    <w:rsid w:val="007221F9"/>
    <w:rsid w:val="00724D61"/>
    <w:rsid w:val="007263C1"/>
    <w:rsid w:val="007318F7"/>
    <w:rsid w:val="0073248B"/>
    <w:rsid w:val="00732E94"/>
    <w:rsid w:val="00741129"/>
    <w:rsid w:val="00741D39"/>
    <w:rsid w:val="00744ABA"/>
    <w:rsid w:val="00750874"/>
    <w:rsid w:val="007553DC"/>
    <w:rsid w:val="007613C9"/>
    <w:rsid w:val="00762F1E"/>
    <w:rsid w:val="00764579"/>
    <w:rsid w:val="00765772"/>
    <w:rsid w:val="00766863"/>
    <w:rsid w:val="00772B03"/>
    <w:rsid w:val="00774863"/>
    <w:rsid w:val="007770A5"/>
    <w:rsid w:val="00783AF5"/>
    <w:rsid w:val="007840AF"/>
    <w:rsid w:val="00785D30"/>
    <w:rsid w:val="00787DBB"/>
    <w:rsid w:val="00791B28"/>
    <w:rsid w:val="007A4A9B"/>
    <w:rsid w:val="007A629E"/>
    <w:rsid w:val="007B0058"/>
    <w:rsid w:val="007C480C"/>
    <w:rsid w:val="007D024A"/>
    <w:rsid w:val="007D37B7"/>
    <w:rsid w:val="007D607D"/>
    <w:rsid w:val="007D6748"/>
    <w:rsid w:val="007E62E4"/>
    <w:rsid w:val="007E682D"/>
    <w:rsid w:val="007E6AA4"/>
    <w:rsid w:val="007F301A"/>
    <w:rsid w:val="007F4CB1"/>
    <w:rsid w:val="007F6AB9"/>
    <w:rsid w:val="00800B96"/>
    <w:rsid w:val="008023A4"/>
    <w:rsid w:val="008116F7"/>
    <w:rsid w:val="008124AA"/>
    <w:rsid w:val="00812AC9"/>
    <w:rsid w:val="00814D83"/>
    <w:rsid w:val="00814E8D"/>
    <w:rsid w:val="008202BD"/>
    <w:rsid w:val="00822638"/>
    <w:rsid w:val="00824BD9"/>
    <w:rsid w:val="00825259"/>
    <w:rsid w:val="0082583A"/>
    <w:rsid w:val="00841E7D"/>
    <w:rsid w:val="00845C0F"/>
    <w:rsid w:val="008461F2"/>
    <w:rsid w:val="00852CD1"/>
    <w:rsid w:val="0086102B"/>
    <w:rsid w:val="00874B22"/>
    <w:rsid w:val="008807B9"/>
    <w:rsid w:val="0088335F"/>
    <w:rsid w:val="0088375C"/>
    <w:rsid w:val="008838E7"/>
    <w:rsid w:val="008915F9"/>
    <w:rsid w:val="00893FEC"/>
    <w:rsid w:val="00897047"/>
    <w:rsid w:val="008A1196"/>
    <w:rsid w:val="008A1B32"/>
    <w:rsid w:val="008A342D"/>
    <w:rsid w:val="008A779F"/>
    <w:rsid w:val="008B2B2D"/>
    <w:rsid w:val="008B6846"/>
    <w:rsid w:val="008C6E11"/>
    <w:rsid w:val="008C72F3"/>
    <w:rsid w:val="008D6876"/>
    <w:rsid w:val="008D7880"/>
    <w:rsid w:val="008E1551"/>
    <w:rsid w:val="008E2518"/>
    <w:rsid w:val="008E4CA0"/>
    <w:rsid w:val="008E5034"/>
    <w:rsid w:val="008E5834"/>
    <w:rsid w:val="008E614C"/>
    <w:rsid w:val="008F2654"/>
    <w:rsid w:val="008F4F6D"/>
    <w:rsid w:val="008F61D6"/>
    <w:rsid w:val="0090235B"/>
    <w:rsid w:val="00915EA7"/>
    <w:rsid w:val="00917859"/>
    <w:rsid w:val="009210C8"/>
    <w:rsid w:val="009258C7"/>
    <w:rsid w:val="00932179"/>
    <w:rsid w:val="0093668A"/>
    <w:rsid w:val="00947CE7"/>
    <w:rsid w:val="00951E3D"/>
    <w:rsid w:val="009530C1"/>
    <w:rsid w:val="00953397"/>
    <w:rsid w:val="00953E15"/>
    <w:rsid w:val="00955990"/>
    <w:rsid w:val="00966A42"/>
    <w:rsid w:val="0096770F"/>
    <w:rsid w:val="0097080B"/>
    <w:rsid w:val="0097092C"/>
    <w:rsid w:val="00971261"/>
    <w:rsid w:val="00981279"/>
    <w:rsid w:val="009823F2"/>
    <w:rsid w:val="00990C2F"/>
    <w:rsid w:val="009910A3"/>
    <w:rsid w:val="00995027"/>
    <w:rsid w:val="009A54EB"/>
    <w:rsid w:val="009A796C"/>
    <w:rsid w:val="009A7AEC"/>
    <w:rsid w:val="009B2170"/>
    <w:rsid w:val="009B2C6B"/>
    <w:rsid w:val="009B72B1"/>
    <w:rsid w:val="009C020A"/>
    <w:rsid w:val="009C026F"/>
    <w:rsid w:val="009C0273"/>
    <w:rsid w:val="009C5F5F"/>
    <w:rsid w:val="009C7B71"/>
    <w:rsid w:val="009D0072"/>
    <w:rsid w:val="009D00C9"/>
    <w:rsid w:val="009E49FF"/>
    <w:rsid w:val="009F0C04"/>
    <w:rsid w:val="009F132F"/>
    <w:rsid w:val="009F3639"/>
    <w:rsid w:val="00A110C0"/>
    <w:rsid w:val="00A116E1"/>
    <w:rsid w:val="00A119E8"/>
    <w:rsid w:val="00A121DE"/>
    <w:rsid w:val="00A13056"/>
    <w:rsid w:val="00A16C78"/>
    <w:rsid w:val="00A21AB1"/>
    <w:rsid w:val="00A21FDC"/>
    <w:rsid w:val="00A259C7"/>
    <w:rsid w:val="00A3208B"/>
    <w:rsid w:val="00A355A3"/>
    <w:rsid w:val="00A3590E"/>
    <w:rsid w:val="00A52429"/>
    <w:rsid w:val="00A57452"/>
    <w:rsid w:val="00A61738"/>
    <w:rsid w:val="00A62687"/>
    <w:rsid w:val="00A703F8"/>
    <w:rsid w:val="00A7403E"/>
    <w:rsid w:val="00A77156"/>
    <w:rsid w:val="00A80571"/>
    <w:rsid w:val="00A84971"/>
    <w:rsid w:val="00A84A64"/>
    <w:rsid w:val="00A86053"/>
    <w:rsid w:val="00A87D87"/>
    <w:rsid w:val="00AA08F8"/>
    <w:rsid w:val="00AB0BDC"/>
    <w:rsid w:val="00AB5409"/>
    <w:rsid w:val="00AC2FCB"/>
    <w:rsid w:val="00AC6675"/>
    <w:rsid w:val="00AD45E1"/>
    <w:rsid w:val="00AE0B77"/>
    <w:rsid w:val="00AF0604"/>
    <w:rsid w:val="00B01312"/>
    <w:rsid w:val="00B015EA"/>
    <w:rsid w:val="00B0744A"/>
    <w:rsid w:val="00B11044"/>
    <w:rsid w:val="00B110F8"/>
    <w:rsid w:val="00B162BC"/>
    <w:rsid w:val="00B16C4D"/>
    <w:rsid w:val="00B20029"/>
    <w:rsid w:val="00B21ACF"/>
    <w:rsid w:val="00B22777"/>
    <w:rsid w:val="00B264DA"/>
    <w:rsid w:val="00B26CBD"/>
    <w:rsid w:val="00B31211"/>
    <w:rsid w:val="00B36492"/>
    <w:rsid w:val="00B36F5A"/>
    <w:rsid w:val="00B40986"/>
    <w:rsid w:val="00B42C2A"/>
    <w:rsid w:val="00B44428"/>
    <w:rsid w:val="00B44EE8"/>
    <w:rsid w:val="00B5055F"/>
    <w:rsid w:val="00B5220C"/>
    <w:rsid w:val="00B57E42"/>
    <w:rsid w:val="00B62E86"/>
    <w:rsid w:val="00B67A9E"/>
    <w:rsid w:val="00B771A3"/>
    <w:rsid w:val="00B82673"/>
    <w:rsid w:val="00B90184"/>
    <w:rsid w:val="00B901E9"/>
    <w:rsid w:val="00B91C38"/>
    <w:rsid w:val="00B938A4"/>
    <w:rsid w:val="00B96828"/>
    <w:rsid w:val="00BB700C"/>
    <w:rsid w:val="00BC11C7"/>
    <w:rsid w:val="00BD1EB8"/>
    <w:rsid w:val="00BE0E4A"/>
    <w:rsid w:val="00BF2102"/>
    <w:rsid w:val="00BF2DD6"/>
    <w:rsid w:val="00BF7029"/>
    <w:rsid w:val="00C02042"/>
    <w:rsid w:val="00C0217C"/>
    <w:rsid w:val="00C03E8B"/>
    <w:rsid w:val="00C06770"/>
    <w:rsid w:val="00C07F92"/>
    <w:rsid w:val="00C20793"/>
    <w:rsid w:val="00C23915"/>
    <w:rsid w:val="00C353AD"/>
    <w:rsid w:val="00C35D00"/>
    <w:rsid w:val="00C40287"/>
    <w:rsid w:val="00C40531"/>
    <w:rsid w:val="00C42F48"/>
    <w:rsid w:val="00C45CAD"/>
    <w:rsid w:val="00C475F6"/>
    <w:rsid w:val="00C479F1"/>
    <w:rsid w:val="00C53B32"/>
    <w:rsid w:val="00C56219"/>
    <w:rsid w:val="00C63365"/>
    <w:rsid w:val="00C637A6"/>
    <w:rsid w:val="00C67BFB"/>
    <w:rsid w:val="00C721FA"/>
    <w:rsid w:val="00C8015F"/>
    <w:rsid w:val="00C85C34"/>
    <w:rsid w:val="00CA1CEF"/>
    <w:rsid w:val="00CA6897"/>
    <w:rsid w:val="00CB31A7"/>
    <w:rsid w:val="00CB4136"/>
    <w:rsid w:val="00CC2006"/>
    <w:rsid w:val="00CC23A5"/>
    <w:rsid w:val="00CC75A0"/>
    <w:rsid w:val="00CD25DB"/>
    <w:rsid w:val="00CE043C"/>
    <w:rsid w:val="00CF2630"/>
    <w:rsid w:val="00D03F23"/>
    <w:rsid w:val="00D04040"/>
    <w:rsid w:val="00D13E79"/>
    <w:rsid w:val="00D16A17"/>
    <w:rsid w:val="00D16A64"/>
    <w:rsid w:val="00D1726F"/>
    <w:rsid w:val="00D177D1"/>
    <w:rsid w:val="00D17F0A"/>
    <w:rsid w:val="00D2272F"/>
    <w:rsid w:val="00D237A5"/>
    <w:rsid w:val="00D25914"/>
    <w:rsid w:val="00D3378F"/>
    <w:rsid w:val="00D36D57"/>
    <w:rsid w:val="00D5061A"/>
    <w:rsid w:val="00D57255"/>
    <w:rsid w:val="00D6144B"/>
    <w:rsid w:val="00D64361"/>
    <w:rsid w:val="00D64DEB"/>
    <w:rsid w:val="00D65244"/>
    <w:rsid w:val="00D712A0"/>
    <w:rsid w:val="00D75F64"/>
    <w:rsid w:val="00D875E4"/>
    <w:rsid w:val="00D92437"/>
    <w:rsid w:val="00D96B49"/>
    <w:rsid w:val="00D97581"/>
    <w:rsid w:val="00DA3CBE"/>
    <w:rsid w:val="00DC036F"/>
    <w:rsid w:val="00DC18DD"/>
    <w:rsid w:val="00DC7652"/>
    <w:rsid w:val="00DD1338"/>
    <w:rsid w:val="00DD1980"/>
    <w:rsid w:val="00DE3924"/>
    <w:rsid w:val="00DE4701"/>
    <w:rsid w:val="00DF02DB"/>
    <w:rsid w:val="00DF0C36"/>
    <w:rsid w:val="00E0255B"/>
    <w:rsid w:val="00E02D46"/>
    <w:rsid w:val="00E05C39"/>
    <w:rsid w:val="00E06722"/>
    <w:rsid w:val="00E12740"/>
    <w:rsid w:val="00E137AC"/>
    <w:rsid w:val="00E14ED9"/>
    <w:rsid w:val="00E159F8"/>
    <w:rsid w:val="00E30A2D"/>
    <w:rsid w:val="00E31D41"/>
    <w:rsid w:val="00E3363A"/>
    <w:rsid w:val="00E362D8"/>
    <w:rsid w:val="00E54DC8"/>
    <w:rsid w:val="00E551FF"/>
    <w:rsid w:val="00E601D8"/>
    <w:rsid w:val="00E657B1"/>
    <w:rsid w:val="00E6722F"/>
    <w:rsid w:val="00E715F5"/>
    <w:rsid w:val="00E757E2"/>
    <w:rsid w:val="00E7722F"/>
    <w:rsid w:val="00E87746"/>
    <w:rsid w:val="00E91CF4"/>
    <w:rsid w:val="00E91FE7"/>
    <w:rsid w:val="00E95E81"/>
    <w:rsid w:val="00E96FD0"/>
    <w:rsid w:val="00EB77A1"/>
    <w:rsid w:val="00EC5001"/>
    <w:rsid w:val="00EC7BC8"/>
    <w:rsid w:val="00ED6B06"/>
    <w:rsid w:val="00EE6900"/>
    <w:rsid w:val="00EF0777"/>
    <w:rsid w:val="00F009E4"/>
    <w:rsid w:val="00F04B01"/>
    <w:rsid w:val="00F05B83"/>
    <w:rsid w:val="00F05F47"/>
    <w:rsid w:val="00F10CA4"/>
    <w:rsid w:val="00F11501"/>
    <w:rsid w:val="00F330E4"/>
    <w:rsid w:val="00F34818"/>
    <w:rsid w:val="00F35DD8"/>
    <w:rsid w:val="00F372FC"/>
    <w:rsid w:val="00F41BE7"/>
    <w:rsid w:val="00F44F80"/>
    <w:rsid w:val="00F472E2"/>
    <w:rsid w:val="00F476C7"/>
    <w:rsid w:val="00F562B3"/>
    <w:rsid w:val="00F63077"/>
    <w:rsid w:val="00F64212"/>
    <w:rsid w:val="00F65416"/>
    <w:rsid w:val="00F66910"/>
    <w:rsid w:val="00F72D1A"/>
    <w:rsid w:val="00F768B8"/>
    <w:rsid w:val="00F8030B"/>
    <w:rsid w:val="00F823E1"/>
    <w:rsid w:val="00F83DCB"/>
    <w:rsid w:val="00F85FC3"/>
    <w:rsid w:val="00F94886"/>
    <w:rsid w:val="00F94D28"/>
    <w:rsid w:val="00F94E0F"/>
    <w:rsid w:val="00F96788"/>
    <w:rsid w:val="00F96B95"/>
    <w:rsid w:val="00FA04C8"/>
    <w:rsid w:val="00FA5500"/>
    <w:rsid w:val="00FC6BAF"/>
    <w:rsid w:val="00FD0415"/>
    <w:rsid w:val="00FD0DD8"/>
    <w:rsid w:val="00FD26AF"/>
    <w:rsid w:val="00FE50D3"/>
    <w:rsid w:val="00FF2289"/>
    <w:rsid w:val="00FF3839"/>
    <w:rsid w:val="00FF3E8F"/>
    <w:rsid w:val="3E3B5927"/>
    <w:rsid w:val="4AA8241E"/>
    <w:rsid w:val="56553F0F"/>
    <w:rsid w:val="715743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Hyperlink"/>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批注框文本 Char"/>
    <w:link w:val="3"/>
    <w:qFormat/>
    <w:uiPriority w:val="0"/>
    <w:rPr>
      <w:kern w:val="2"/>
      <w:sz w:val="18"/>
      <w:szCs w:val="18"/>
    </w:rPr>
  </w:style>
  <w:style w:type="character" w:customStyle="1" w:styleId="12">
    <w:name w:val="页脚 Char"/>
    <w:link w:val="4"/>
    <w:uiPriority w:val="0"/>
    <w:rPr>
      <w:kern w:val="2"/>
      <w:sz w:val="18"/>
      <w:szCs w:val="18"/>
    </w:rPr>
  </w:style>
  <w:style w:type="paragraph" w:customStyle="1" w:styleId="13">
    <w:name w:val="Revision"/>
    <w:qFormat/>
    <w:uiPriority w:val="0"/>
    <w:rPr>
      <w:rFonts w:ascii="Times New Roman" w:hAnsi="Times New Roman" w:eastAsia="宋体" w:cs="Times New Roman"/>
      <w:kern w:val="2"/>
      <w:sz w:val="21"/>
      <w:szCs w:val="24"/>
      <w:lang w:val="en-US" w:eastAsia="zh-CN" w:bidi="ar-SA"/>
    </w:rPr>
  </w:style>
  <w:style w:type="paragraph" w:customStyle="1" w:styleId="14">
    <w:name w:val="列出段落1"/>
    <w:basedOn w:val="1"/>
    <w:qFormat/>
    <w:uiPriority w:val="0"/>
    <w:pPr>
      <w:ind w:firstLine="420" w:firstLineChars="200"/>
    </w:pPr>
    <w:rPr>
      <w:rFonts w:ascii="Calibri" w:hAnsi="Calibri" w:cs="黑体"/>
      <w:szCs w:val="22"/>
    </w:rPr>
  </w:style>
  <w:style w:type="paragraph" w:customStyle="1" w:styleId="15">
    <w:name w:val="Char Char Char Char Char Char Char Char Char Char Char Char"/>
    <w:basedOn w:val="1"/>
    <w:qFormat/>
    <w:uiPriority w:val="0"/>
    <w:pPr>
      <w:widowControl/>
      <w:spacing w:after="160" w:line="240" w:lineRule="exact"/>
      <w:jc w:val="left"/>
    </w:pPr>
    <w:rPr>
      <w:rFonts w:ascii="Tahoma" w:hAnsi="Tahoma" w:cs="Tahoma"/>
      <w:szCs w:val="21"/>
    </w:rPr>
  </w:style>
  <w:style w:type="character" w:customStyle="1" w:styleId="16">
    <w:name w:val="批注文字 Char"/>
    <w:basedOn w:val="8"/>
    <w:link w:val="2"/>
    <w:semiHidden/>
    <w:qFormat/>
    <w:uiPriority w:val="99"/>
    <w:rPr>
      <w:kern w:val="2"/>
      <w:sz w:val="21"/>
      <w:szCs w:val="24"/>
    </w:rPr>
  </w:style>
  <w:style w:type="character" w:customStyle="1" w:styleId="17">
    <w:name w:val="批注主题 Char"/>
    <w:basedOn w:val="16"/>
    <w:link w:val="6"/>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EA4D7-6E63-4F2A-94A3-F918C492FE71}">
  <ds:schemaRefs/>
</ds:datastoreItem>
</file>

<file path=docProps/app.xml><?xml version="1.0" encoding="utf-8"?>
<Properties xmlns="http://schemas.openxmlformats.org/officeDocument/2006/extended-properties" xmlns:vt="http://schemas.openxmlformats.org/officeDocument/2006/docPropsVTypes">
  <Template>Normal</Template>
  <Pages>6</Pages>
  <Words>1266</Words>
  <Characters>7222</Characters>
  <Lines>60</Lines>
  <Paragraphs>16</Paragraphs>
  <TotalTime>0</TotalTime>
  <ScaleCrop>false</ScaleCrop>
  <LinksUpToDate>false</LinksUpToDate>
  <CharactersWithSpaces>8472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2020-03-13T08:00:00Z</dcterms:created>
  <dc:creator>张华峰</dc:creator>
  <cp:lastModifiedBy>Administrator</cp:lastModifiedBy>
  <cp:lastPrinted>2020-03-13T00:17:00Z</cp:lastPrinted>
  <dcterms:modified xsi:type="dcterms:W3CDTF">2023-03-23T07:46:38Z</dcterms:modified>
  <dc:title>理财客户权益须知</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