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23007</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ascii="仿宋" w:hAnsi="仿宋" w:eastAsia="仿宋"/>
          <w:sz w:val="22"/>
        </w:rPr>
      </w:pPr>
    </w:p>
    <w:p>
      <w:pPr>
        <w:rPr>
          <w:rFonts w:ascii="仿宋" w:hAnsi="仿宋" w:eastAsia="仿宋"/>
          <w:sz w:val="22"/>
        </w:rPr>
      </w:pPr>
    </w:p>
    <w:p>
      <w:pPr>
        <w:jc w:val="center"/>
        <w:rPr>
          <w:rFonts w:ascii="仿宋" w:hAnsi="仿宋" w:eastAsia="仿宋"/>
          <w:sz w:val="22"/>
        </w:rPr>
      </w:pPr>
      <w:r>
        <w:rPr>
          <w:rFonts w:ascii="仿宋" w:hAnsi="仿宋" w:eastAsia="仿宋"/>
          <w:sz w:val="22"/>
        </w:rPr>
        <w:drawing>
          <wp:inline distT="0" distB="0" distL="0" distR="0">
            <wp:extent cx="2059940" cy="15608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13472" cy="1601789"/>
                    </a:xfrm>
                    <a:prstGeom prst="rect">
                      <a:avLst/>
                    </a:prstGeom>
                  </pic:spPr>
                </pic:pic>
              </a:graphicData>
            </a:graphic>
          </wp:inline>
        </w:drawing>
      </w: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23007</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23007</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C1124823000057（客户可依据编码在中国理财网查询产品信息）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13</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20</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起点金额为5万元，高于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21</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10</w:t>
            </w:r>
            <w:r>
              <w:rPr>
                <w:rFonts w:ascii="仿宋" w:hAnsi="仿宋" w:eastAsia="仿宋"/>
                <w:sz w:val="22"/>
              </w:rPr>
              <w:t>月</w:t>
            </w:r>
            <w:r>
              <w:rPr>
                <w:rFonts w:hint="eastAsia" w:ascii="仿宋" w:hAnsi="仿宋" w:eastAsia="仿宋"/>
                <w:sz w:val="22"/>
                <w:lang w:val="en-US" w:eastAsia="zh-CN"/>
              </w:rPr>
              <w:t>17</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118</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3.0</w:t>
            </w:r>
            <w:bookmarkStart w:id="0" w:name="_GoBack"/>
            <w:bookmarkEnd w:id="0"/>
            <w:r>
              <w:rPr>
                <w:rFonts w:hint="eastAsia" w:ascii="仿宋" w:hAnsi="仿宋" w:eastAsia="仿宋"/>
                <w:sz w:val="22"/>
                <w:lang w:val="en-US" w:eastAsia="zh-CN"/>
              </w:rPr>
              <w:t>0</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认购起点金额为5万元，高于认购起点金额以人民币10000元的整数倍递增。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3"/>
        <w:numPr>
          <w:ilvl w:val="255"/>
          <w:numId w:val="0"/>
        </w:numPr>
        <w:ind w:firstLine="440" w:firstLineChars="200"/>
        <w:rPr>
          <w:rFonts w:ascii="仿宋" w:hAnsi="仿宋" w:eastAsia="仿宋"/>
          <w:sz w:val="22"/>
        </w:rPr>
      </w:pPr>
    </w:p>
    <w:p>
      <w:pPr>
        <w:widowControl/>
        <w:ind w:firstLine="440" w:firstLineChars="200"/>
        <w:jc w:val="left"/>
        <w:rPr>
          <w:rFonts w:ascii="仿宋" w:hAnsi="仿宋" w:eastAsia="仿宋"/>
          <w:sz w:val="22"/>
        </w:rPr>
      </w:pPr>
      <w:r>
        <w:rPr>
          <w:rFonts w:ascii="仿宋" w:hAnsi="仿宋" w:eastAsia="仿宋"/>
          <w:sz w:val="22"/>
        </w:rPr>
        <w:br w:type="page"/>
      </w:r>
    </w:p>
    <w:p>
      <w:pPr>
        <w:snapToGrid w:val="0"/>
        <w:spacing w:line="360" w:lineRule="auto"/>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23007</w:t>
      </w:r>
      <w:r>
        <w:rPr>
          <w:rFonts w:hint="eastAsia" w:ascii="仿宋" w:hAnsi="仿宋" w:eastAsia="仿宋"/>
          <w:b/>
          <w:sz w:val="28"/>
        </w:rPr>
        <w:t>期封闭式净值型理财产品</w:t>
      </w:r>
    </w:p>
    <w:p>
      <w:pPr>
        <w:snapToGrid w:val="0"/>
        <w:spacing w:line="360" w:lineRule="auto"/>
        <w:jc w:val="center"/>
        <w:rPr>
          <w:rFonts w:ascii="仿宋" w:hAnsi="仿宋" w:eastAsia="仿宋"/>
          <w:b/>
          <w:sz w:val="28"/>
        </w:rPr>
      </w:pPr>
      <w:r>
        <w:rPr>
          <w:rFonts w:hint="eastAsia" w:ascii="仿宋" w:hAnsi="仿宋" w:eastAsia="仿宋"/>
          <w:b/>
          <w:sz w:val="28"/>
        </w:rPr>
        <w:t>风险揭示书</w:t>
      </w:r>
    </w:p>
    <w:p>
      <w:pPr>
        <w:ind w:left="-2" w:leftChars="-1" w:firstLine="426" w:firstLineChars="194"/>
        <w:rPr>
          <w:rFonts w:ascii="仿宋" w:hAnsi="仿宋" w:eastAsia="仿宋"/>
          <w:sz w:val="22"/>
        </w:rPr>
      </w:pPr>
      <w:r>
        <w:rPr>
          <w:rFonts w:hint="eastAsia" w:ascii="仿宋" w:hAnsi="仿宋" w:eastAsia="仿宋"/>
          <w:sz w:val="22"/>
        </w:rPr>
        <w:t>理财产品存在各种风险，不被视为一般储蓄存款的替代品。投资人可能会承担下列风险，请仔细阅读风险揭示书，充分认识投资风险，基于自身判断谨慎投资。</w:t>
      </w:r>
    </w:p>
    <w:p>
      <w:pPr>
        <w:ind w:left="-2" w:leftChars="-1" w:firstLine="428" w:firstLineChars="194"/>
        <w:rPr>
          <w:rFonts w:ascii="仿宋" w:hAnsi="仿宋" w:eastAsia="仿宋"/>
          <w:b/>
          <w:sz w:val="22"/>
        </w:rPr>
      </w:pPr>
      <w:r>
        <w:rPr>
          <w:rFonts w:hint="eastAsia" w:ascii="仿宋" w:hAnsi="仿宋" w:eastAsia="仿宋"/>
          <w:b/>
          <w:sz w:val="22"/>
        </w:rPr>
        <w:t>理财非存款、产品有风险、投资须谨慎</w:t>
      </w:r>
      <w:r>
        <w:rPr>
          <w:rFonts w:ascii="仿宋" w:hAnsi="仿宋" w:eastAsia="仿宋"/>
          <w:b/>
          <w:sz w:val="22"/>
        </w:rPr>
        <w:t xml:space="preserve">  </w:t>
      </w:r>
    </w:p>
    <w:p>
      <w:pPr>
        <w:ind w:left="-2" w:leftChars="-1" w:firstLine="428" w:firstLineChars="194"/>
        <w:rPr>
          <w:rFonts w:ascii="仿宋" w:hAnsi="仿宋" w:eastAsia="仿宋"/>
          <w:b/>
          <w:sz w:val="22"/>
        </w:rPr>
      </w:pPr>
      <w:r>
        <w:rPr>
          <w:rFonts w:hint="eastAsia" w:ascii="仿宋" w:hAnsi="仿宋" w:eastAsia="仿宋"/>
          <w:b/>
          <w:sz w:val="22"/>
        </w:rPr>
        <w:t>理财产品过往业绩不代表其未来表现，不等于理财产品实际收益，投资须谨慎</w:t>
      </w:r>
    </w:p>
    <w:p>
      <w:pPr>
        <w:ind w:left="-2" w:leftChars="-1" w:firstLine="428" w:firstLineChars="194"/>
        <w:rPr>
          <w:rFonts w:ascii="仿宋" w:hAnsi="仿宋" w:eastAsia="仿宋"/>
          <w:b/>
          <w:sz w:val="22"/>
        </w:rPr>
      </w:pPr>
      <w:r>
        <w:rPr>
          <w:rFonts w:hint="eastAsia" w:ascii="仿宋" w:hAnsi="仿宋" w:eastAsia="仿宋"/>
          <w:b/>
          <w:sz w:val="22"/>
        </w:rPr>
        <w:t>如影响您风险承受能力的因素发生变化，请及时完成风险承受能力评估</w:t>
      </w:r>
    </w:p>
    <w:p>
      <w:pPr>
        <w:ind w:left="-2" w:leftChars="-1" w:firstLine="426" w:firstLineChars="194"/>
        <w:rPr>
          <w:rFonts w:ascii="仿宋" w:hAnsi="仿宋" w:eastAsia="仿宋"/>
          <w:sz w:val="22"/>
        </w:rPr>
      </w:pPr>
      <w:r>
        <w:rPr>
          <w:rFonts w:hint="eastAsia" w:ascii="仿宋" w:hAnsi="仿宋" w:eastAsia="仿宋"/>
          <w:sz w:val="22"/>
        </w:rPr>
        <w:t>本揭示书旨在向您揭示投资本理财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ind w:left="-2" w:leftChars="-1" w:firstLine="426" w:firstLineChars="194"/>
        <w:rPr>
          <w:rFonts w:ascii="仿宋" w:hAnsi="仿宋" w:eastAsia="仿宋"/>
          <w:sz w:val="22"/>
        </w:rPr>
      </w:pPr>
      <w:r>
        <w:rPr>
          <w:rFonts w:hint="eastAsia" w:ascii="仿宋" w:hAnsi="仿宋" w:eastAsia="仿宋"/>
          <w:sz w:val="22"/>
        </w:rPr>
        <w:t>客户投资本理财产品可能面临的风险主要包括</w:t>
      </w:r>
      <w:r>
        <w:rPr>
          <w:rFonts w:ascii="仿宋" w:hAnsi="仿宋" w:eastAsia="仿宋"/>
          <w:sz w:val="22"/>
        </w:rPr>
        <w:t xml:space="preserve">(但不限于)： </w:t>
      </w:r>
    </w:p>
    <w:p>
      <w:pPr>
        <w:ind w:left="-2" w:leftChars="-1" w:firstLine="428" w:firstLineChars="194"/>
        <w:rPr>
          <w:rFonts w:ascii="仿宋" w:hAnsi="仿宋" w:eastAsia="仿宋"/>
          <w:sz w:val="22"/>
        </w:rPr>
      </w:pPr>
      <w:r>
        <w:rPr>
          <w:rFonts w:ascii="仿宋" w:hAnsi="仿宋" w:eastAsia="仿宋"/>
          <w:b/>
          <w:sz w:val="22"/>
        </w:rPr>
        <w:t>1.理财资金损失风险：</w:t>
      </w:r>
      <w:r>
        <w:rPr>
          <w:rFonts w:ascii="仿宋" w:hAnsi="仿宋" w:eastAsia="仿宋"/>
          <w:sz w:val="22"/>
        </w:rPr>
        <w:t>本理财产品是净值型理财产品，有投资风险，不保障理财资金本金，不保证理财收益，最终收益以实际支付为准。客户存在损失全部本金和收益的风险。</w:t>
      </w:r>
    </w:p>
    <w:p>
      <w:pPr>
        <w:ind w:left="-2" w:leftChars="-1" w:firstLine="428" w:firstLineChars="194"/>
        <w:rPr>
          <w:rFonts w:ascii="仿宋" w:hAnsi="仿宋" w:eastAsia="仿宋"/>
          <w:sz w:val="22"/>
        </w:rPr>
      </w:pPr>
      <w:r>
        <w:rPr>
          <w:rFonts w:ascii="仿宋" w:hAnsi="仿宋" w:eastAsia="仿宋"/>
          <w:b/>
          <w:sz w:val="22"/>
        </w:rPr>
        <w:t>2.流动性风险：</w:t>
      </w:r>
      <w:r>
        <w:rPr>
          <w:rFonts w:hint="eastAsia" w:ascii="仿宋" w:hAnsi="仿宋" w:eastAsia="仿宋"/>
          <w:sz w:val="22"/>
        </w:rPr>
        <w:t>本理财产品为封闭式净值型理财产品，除非出现本产品说明书规定的情况，投资者无权随时提前赎回或终止本理财产品，可能导致投资者需要资金时不能随时变现，并可能丧失其他投资机会。</w:t>
      </w:r>
    </w:p>
    <w:p>
      <w:pPr>
        <w:ind w:left="-2" w:leftChars="-1" w:firstLine="428" w:firstLineChars="194"/>
        <w:rPr>
          <w:rFonts w:ascii="仿宋" w:hAnsi="仿宋" w:eastAsia="仿宋"/>
          <w:sz w:val="22"/>
        </w:rPr>
      </w:pPr>
      <w:r>
        <w:rPr>
          <w:rFonts w:ascii="仿宋" w:hAnsi="仿宋" w:eastAsia="仿宋"/>
          <w:b/>
          <w:sz w:val="22"/>
        </w:rPr>
        <w:t>3.提前终止及再投资风险：</w:t>
      </w:r>
      <w:r>
        <w:rPr>
          <w:rFonts w:ascii="仿宋" w:hAnsi="仿宋" w:eastAsia="仿宋"/>
          <w:sz w:val="22"/>
        </w:rPr>
        <w:t>理财期限内，如果瑞丰银行认为有必要，有权随时提前终止本理财产品，一旦本理财产品被提前终止，则本理财产品的实际理财天数可能小于预定的理财天数，客户无法实现期初预期的全部收益，并且可能届时面临较差的再投资环境和机会。</w:t>
      </w:r>
    </w:p>
    <w:p>
      <w:pPr>
        <w:ind w:left="-2" w:leftChars="-1" w:firstLine="428" w:firstLineChars="194"/>
        <w:rPr>
          <w:rFonts w:ascii="仿宋" w:hAnsi="仿宋" w:eastAsia="仿宋"/>
          <w:sz w:val="22"/>
        </w:rPr>
      </w:pPr>
      <w:r>
        <w:rPr>
          <w:rFonts w:ascii="仿宋" w:hAnsi="仿宋" w:eastAsia="仿宋"/>
          <w:b/>
          <w:sz w:val="22"/>
        </w:rPr>
        <w:t>4.产品不成立的风险：</w:t>
      </w:r>
      <w:r>
        <w:rPr>
          <w:rFonts w:ascii="仿宋" w:hAnsi="仿宋" w:eastAsia="仿宋"/>
          <w:sz w:val="22"/>
        </w:rPr>
        <w:t>发生下述任一情形，瑞丰银行有权宣布本理财产品不成立，客户将承担本理财产品不成立的风险：①符合产品合约约定的产品不成立的条件(如有)；②本理财产品募集期结束时募集资金总额未达到必要的规模上限或/及下限；③国家相关法律、法规、监管规定、政策或要求出现重大变更，或者金融市场情况出现重大变化，经瑞丰银行谨慎合理判断难以按照本合同规定向客户提供本理财产品。如果本理财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ind w:left="-2" w:leftChars="-1" w:firstLine="428" w:firstLineChars="194"/>
        <w:rPr>
          <w:rFonts w:ascii="仿宋" w:hAnsi="仿宋" w:eastAsia="仿宋"/>
          <w:sz w:val="22"/>
        </w:rPr>
      </w:pPr>
      <w:r>
        <w:rPr>
          <w:rFonts w:ascii="仿宋" w:hAnsi="仿宋" w:eastAsia="仿宋"/>
          <w:b/>
          <w:sz w:val="22"/>
        </w:rPr>
        <w:t>5.延期风险：</w:t>
      </w:r>
      <w:r>
        <w:rPr>
          <w:rFonts w:ascii="仿宋" w:hAnsi="仿宋" w:eastAsia="仿宋"/>
          <w:sz w:val="22"/>
        </w:rPr>
        <w:t>如因理财产品项下对应的理财财产不能及时变现等原因造成理财产品不能按时兑付本金及收益，理财产品将面临期限相应延长或进行二次清算的可能。</w:t>
      </w:r>
    </w:p>
    <w:p>
      <w:pPr>
        <w:ind w:left="-2" w:leftChars="-1" w:firstLine="428" w:firstLineChars="194"/>
        <w:rPr>
          <w:rFonts w:ascii="仿宋" w:hAnsi="仿宋" w:eastAsia="仿宋"/>
          <w:sz w:val="22"/>
        </w:rPr>
      </w:pPr>
      <w:r>
        <w:rPr>
          <w:rFonts w:ascii="仿宋" w:hAnsi="仿宋" w:eastAsia="仿宋"/>
          <w:b/>
          <w:sz w:val="22"/>
        </w:rPr>
        <w:t>6.管理风险：</w:t>
      </w:r>
      <w:r>
        <w:rPr>
          <w:rFonts w:ascii="仿宋" w:hAnsi="仿宋" w:eastAsia="仿宋"/>
          <w:sz w:val="22"/>
        </w:rPr>
        <w:t>包括但不限于产品管理人操作风险，即产品管理人未履行勤勉尽责义务、业务人员操作失误或差错而产生的风险；若产品管理人将理财资金通过信托或其他方式投资于标的资产，信托公司或其他合作机构受经验、技术等因素的限制，可能会影响其对信托资金的管理，导致受托资金遭受损失。</w:t>
      </w:r>
    </w:p>
    <w:p>
      <w:pPr>
        <w:ind w:left="-2" w:leftChars="-1" w:firstLine="428" w:firstLineChars="194"/>
        <w:rPr>
          <w:rFonts w:ascii="仿宋" w:hAnsi="仿宋" w:eastAsia="仿宋"/>
          <w:sz w:val="22"/>
        </w:rPr>
      </w:pPr>
      <w:r>
        <w:rPr>
          <w:rFonts w:ascii="仿宋" w:hAnsi="仿宋" w:eastAsia="仿宋"/>
          <w:b/>
          <w:sz w:val="22"/>
        </w:rPr>
        <w:t>7.市场风险：</w:t>
      </w:r>
      <w:r>
        <w:rPr>
          <w:rFonts w:ascii="仿宋" w:hAnsi="仿宋" w:eastAsia="仿宋"/>
          <w:sz w:val="22"/>
        </w:rPr>
        <w:t>由于金融市场内在波动性，市场利率可能发生变化，关联标的价格走势可能对产品结构不利，本理财产品所投资的金融工具/资产的市场价格也可能发生不利变化，可能使客户收益低于以定期存款或其他方式运用资金而产生的收益。</w:t>
      </w:r>
    </w:p>
    <w:p>
      <w:pPr>
        <w:ind w:left="-2" w:leftChars="-1" w:firstLine="428" w:firstLineChars="194"/>
        <w:rPr>
          <w:rFonts w:ascii="仿宋" w:hAnsi="仿宋" w:eastAsia="仿宋"/>
          <w:sz w:val="22"/>
        </w:rPr>
      </w:pPr>
      <w:r>
        <w:rPr>
          <w:rFonts w:ascii="仿宋" w:hAnsi="仿宋" w:eastAsia="仿宋"/>
          <w:b/>
          <w:sz w:val="22"/>
        </w:rPr>
        <w:t>8.法令和政策风险：</w:t>
      </w:r>
      <w:r>
        <w:rPr>
          <w:rFonts w:ascii="仿宋" w:hAnsi="仿宋" w:eastAsia="仿宋"/>
          <w:sz w:val="22"/>
        </w:rPr>
        <w:t>本理财产品是针对当前的相关法律法规、监管要求和政策设计的，如国家宏观政策以及相关法律法规、监管要求发生变化，将影响本理财产品发行、投资、兑付等工作的正常进行。</w:t>
      </w:r>
    </w:p>
    <w:p>
      <w:pPr>
        <w:ind w:left="-2" w:leftChars="-1" w:firstLine="428" w:firstLineChars="194"/>
        <w:rPr>
          <w:rFonts w:ascii="仿宋" w:hAnsi="仿宋" w:eastAsia="仿宋"/>
          <w:sz w:val="22"/>
        </w:rPr>
      </w:pPr>
      <w:r>
        <w:rPr>
          <w:rFonts w:ascii="仿宋" w:hAnsi="仿宋" w:eastAsia="仿宋"/>
          <w:b/>
          <w:sz w:val="22"/>
        </w:rPr>
        <w:t>9.信息传递风险：</w:t>
      </w:r>
      <w:r>
        <w:rPr>
          <w:rFonts w:ascii="仿宋" w:hAnsi="仿宋" w:eastAsia="仿宋"/>
          <w:sz w:val="22"/>
        </w:rPr>
        <w:t>由于客户原因所致联系信息有误、客户未及时查询，或由于通讯故障、系统故障以及其他不可抗力等</w:t>
      </w:r>
      <w:r>
        <w:rPr>
          <w:rFonts w:hint="eastAsia" w:ascii="仿宋" w:hAnsi="仿宋" w:eastAsia="仿宋"/>
          <w:sz w:val="22"/>
        </w:rPr>
        <w:t>因素的影响使得客户无法及时了解本理财产品信息，因此而产生的责任和风险由客户自行承担；另外，客户预留在瑞丰银行的有效联系方式变更的，应及时通知瑞丰银行；如客户未能及时告知，瑞丰银行很可能在需要时无法及时联系客户，由此产生的责任和风险由客户自行承担。</w:t>
      </w:r>
    </w:p>
    <w:p>
      <w:pPr>
        <w:ind w:left="-2" w:leftChars="-1" w:firstLine="428" w:firstLineChars="194"/>
        <w:rPr>
          <w:rFonts w:ascii="仿宋" w:hAnsi="仿宋" w:eastAsia="仿宋"/>
          <w:sz w:val="22"/>
        </w:rPr>
      </w:pPr>
      <w:r>
        <w:rPr>
          <w:rFonts w:ascii="仿宋" w:hAnsi="仿宋" w:eastAsia="仿宋"/>
          <w:b/>
          <w:sz w:val="22"/>
        </w:rPr>
        <w:t>10.不可抗力及意外事件风险：</w:t>
      </w:r>
      <w:r>
        <w:rPr>
          <w:rFonts w:ascii="仿宋" w:hAnsi="仿宋" w:eastAsia="仿宋"/>
          <w:sz w:val="22"/>
        </w:rPr>
        <w:t>战争、自然灾害等不能预见、不能避免并不能克服的不可抗力事件，金融市场危机、法律法规及国家政策变化、重大政治事件、银行系统故障、投资市场停止交易、网络故障、通讯故障、电力故障、计算机病毒攻击及其它非瑞丰银行故意造成的意外事件的出现，可能对本理财产品的成立、投资运作、资金返还、信息披露、公告通知造成影响。对于由不可抗力及意外事件风险导致的任何损失，客户须自行承担，瑞丰银行对此不承担任何责任。</w:t>
      </w:r>
    </w:p>
    <w:p>
      <w:pPr>
        <w:ind w:left="-2" w:leftChars="-1" w:firstLine="428" w:firstLineChars="194"/>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本《风险揭示书》所揭示事项仅为列举性质，未能详尽列明投资者参与本理财计划所面临的全部风险和可能导致投资者资产损失的所有因素。投资者在签署本理财计划的理财产品投资协议书前，应当仔细阅读《风险揭示书》、《理财产品说明书》的全部内容，同时向管理人或销售机构了解本理财计划的其他相关信息，并结合自身投资目的、风险偏好、资产状况等充分评估投资风险，审慎投资，独立作出是否投资本理财计划的决定并自行承担投资结果。投资者不得使用贷款、发行债券等筹集的非自有资金投资本理财计划。如您为个人投资者，在发生影响您风险承受能力因素变化的情况下，请及时完成风险承受能力评估。如为机构投资者代表其管理的资产管理产品参与的，应确认本理财计划符合其所代表的资产管理产品的投资目标、投资策略和风险承受能力等。</w:t>
      </w:r>
    </w:p>
    <w:p>
      <w:pPr>
        <w:ind w:firstLine="442" w:firstLineChars="200"/>
        <w:rPr>
          <w:rFonts w:ascii="仿宋" w:hAnsi="仿宋" w:eastAsia="仿宋"/>
          <w:b/>
          <w:sz w:val="22"/>
        </w:rPr>
      </w:pPr>
      <w:r>
        <w:rPr>
          <w:rFonts w:hint="eastAsia" w:ascii="仿宋" w:hAnsi="仿宋" w:eastAsia="仿宋"/>
          <w:b/>
          <w:sz w:val="22"/>
        </w:rPr>
        <w:t>投资者签署本《风险揭示书》、《理财产品投资协议书》并将资金委托给管理人运作是投资者真实的意思表示，投资者已知悉并理解理财计划的全部风险，并自愿承担由此带来的一切后果。本《风险揭示书》及相应《理财产品投资协议书》、《产品说明书》将共同构成贵我双方理财合同的有效组成部分，本《风险揭示书》中用语的定义与《产品说明书》中的用语定义一致。</w:t>
      </w:r>
    </w:p>
    <w:p>
      <w:pPr>
        <w:widowControl/>
        <w:jc w:val="left"/>
        <w:rPr>
          <w:rFonts w:ascii="仿宋" w:hAnsi="仿宋" w:eastAsia="仿宋"/>
          <w:b/>
          <w:sz w:val="22"/>
        </w:rPr>
      </w:pPr>
      <w:r>
        <w:rPr>
          <w:rFonts w:ascii="仿宋" w:hAnsi="仿宋" w:eastAsia="仿宋"/>
          <w:b/>
          <w:sz w:val="22"/>
        </w:rPr>
        <w:br w:type="page"/>
      </w:r>
    </w:p>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23007</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投资人权益须知</w:t>
      </w:r>
    </w:p>
    <w:p>
      <w:pPr>
        <w:ind w:left="-2" w:leftChars="-1" w:firstLine="426" w:firstLineChars="194"/>
        <w:rPr>
          <w:rFonts w:ascii="仿宋" w:hAnsi="仿宋" w:eastAsia="仿宋"/>
          <w:sz w:val="22"/>
        </w:rPr>
      </w:pPr>
      <w:r>
        <w:rPr>
          <w:rFonts w:hint="eastAsia" w:ascii="仿宋" w:hAnsi="仿宋" w:eastAsia="仿宋"/>
          <w:sz w:val="22"/>
        </w:rPr>
        <w:t>尊敬的瑞丰银行理财客户：</w:t>
      </w:r>
    </w:p>
    <w:p>
      <w:pPr>
        <w:ind w:left="-2" w:leftChars="-1" w:firstLine="426" w:firstLineChars="194"/>
        <w:rPr>
          <w:rFonts w:ascii="仿宋" w:hAnsi="仿宋" w:eastAsia="仿宋"/>
          <w:sz w:val="22"/>
        </w:rPr>
      </w:pPr>
      <w:r>
        <w:rPr>
          <w:rFonts w:hint="eastAsia" w:ascii="仿宋" w:hAnsi="仿宋" w:eastAsia="仿宋"/>
          <w:sz w:val="22"/>
        </w:rPr>
        <w:t>非常感谢您购买瑞丰银行理财产品。理财投资在获取收益的同时存在投资风险，为了保护您的合法权益，请在</w:t>
      </w:r>
      <w:r>
        <w:rPr>
          <w:rFonts w:ascii="仿宋" w:hAnsi="仿宋" w:eastAsia="仿宋"/>
          <w:sz w:val="22"/>
        </w:rPr>
        <w:t>认购理财产品前认真阅读以下内容，行使您在本业务项下的权利。本客户权益须知，是帮助您在购买理财产品前了解并清楚知晓产品办理流程，自身风险承受能力，适合购买理财产品类型，理财产品信息披露方式、渠道和频率，投诉方式和程序等的须知。本须知仅作为客户教育材料，其中涉及的瑞丰银行服务内容和流程等如有变化，恕不另行通知，以相关法律法规、理财</w:t>
      </w:r>
      <w:r>
        <w:rPr>
          <w:rFonts w:hint="eastAsia" w:ascii="仿宋" w:hAnsi="仿宋" w:eastAsia="仿宋"/>
          <w:sz w:val="22"/>
        </w:rPr>
        <w:t>产品</w:t>
      </w:r>
      <w:r>
        <w:rPr>
          <w:rFonts w:ascii="仿宋" w:hAnsi="仿宋" w:eastAsia="仿宋"/>
          <w:sz w:val="22"/>
        </w:rPr>
        <w:t>合同和瑞丰银行的最新规定为准。</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一、</w:t>
      </w:r>
      <w:r>
        <w:rPr>
          <w:rFonts w:ascii="仿宋" w:hAnsi="仿宋" w:eastAsia="仿宋"/>
          <w:b/>
          <w:bCs/>
          <w:sz w:val="22"/>
        </w:rPr>
        <w:t>理财业务办理流程</w:t>
      </w:r>
    </w:p>
    <w:p>
      <w:pPr>
        <w:ind w:left="-2" w:leftChars="-1" w:firstLine="426" w:firstLineChars="194"/>
        <w:rPr>
          <w:rFonts w:ascii="仿宋" w:hAnsi="仿宋" w:eastAsia="仿宋"/>
          <w:sz w:val="22"/>
        </w:rPr>
      </w:pPr>
      <w:r>
        <w:rPr>
          <w:rFonts w:ascii="仿宋" w:hAnsi="仿宋" w:eastAsia="仿宋"/>
          <w:sz w:val="22"/>
        </w:rPr>
        <w:t>1、风险承受能力评估。投资人须自主进行风险承受能力评估，通过风险承受能力评估，</w:t>
      </w:r>
      <w:r>
        <w:rPr>
          <w:rFonts w:hint="eastAsia" w:ascii="仿宋" w:hAnsi="仿宋" w:eastAsia="仿宋"/>
          <w:sz w:val="22"/>
        </w:rPr>
        <w:t>投资人可以清楚了解自身的风险承受能力和可购买的理财产品风险等级。</w:t>
      </w:r>
    </w:p>
    <w:p>
      <w:pPr>
        <w:ind w:left="-2" w:leftChars="-1" w:firstLine="426" w:firstLineChars="194"/>
        <w:rPr>
          <w:rFonts w:ascii="仿宋" w:hAnsi="仿宋" w:eastAsia="仿宋"/>
          <w:sz w:val="22"/>
        </w:rPr>
      </w:pPr>
      <w:r>
        <w:rPr>
          <w:rFonts w:ascii="仿宋" w:hAnsi="仿宋" w:eastAsia="仿宋"/>
          <w:sz w:val="22"/>
        </w:rPr>
        <w:t>2、阅读理财产品销售文件。投资人应仔细阅读拟购买理财产品销售文件（以下简称“销</w:t>
      </w:r>
      <w:r>
        <w:rPr>
          <w:rFonts w:hint="eastAsia" w:ascii="仿宋" w:hAnsi="仿宋" w:eastAsia="仿宋"/>
          <w:sz w:val="22"/>
        </w:rPr>
        <w:t>售文件”），销售文件包括但不限于：理财产品协议书、理财产品说明书、风险揭示书、投资人权益须知等。</w:t>
      </w:r>
    </w:p>
    <w:p>
      <w:pPr>
        <w:ind w:left="-2" w:leftChars="-1" w:firstLine="426" w:firstLineChars="194"/>
        <w:rPr>
          <w:rFonts w:ascii="仿宋" w:hAnsi="仿宋" w:eastAsia="仿宋"/>
          <w:sz w:val="22"/>
        </w:rPr>
      </w:pPr>
      <w:r>
        <w:rPr>
          <w:rFonts w:ascii="仿宋" w:hAnsi="仿宋" w:eastAsia="仿宋"/>
          <w:sz w:val="22"/>
        </w:rPr>
        <w:t>3、认购申请。投资人须自主决定是否购买，若选择线上购买，投资人需通过我行电</w:t>
      </w:r>
      <w:r>
        <w:rPr>
          <w:rFonts w:hint="eastAsia" w:ascii="仿宋" w:hAnsi="仿宋" w:eastAsia="仿宋"/>
          <w:sz w:val="22"/>
        </w:rPr>
        <w:t>子渠道根据认购流程逐项点击确认进行购买；若选择线下购买，个人投资者持本人有效身份证件及在我行开立的存折或借记卡（存入足额资金）办理；机构客户经办人持本人有效身份证、公章、法人章及瑞丰银行要求的其它资料，按《瑞丰银行理财产品协议书》内容确认认购，在申请书上签字并加盖机构公章、法人章。</w:t>
      </w:r>
    </w:p>
    <w:p>
      <w:pPr>
        <w:ind w:left="-2" w:leftChars="-1" w:firstLine="426" w:firstLineChars="194"/>
        <w:rPr>
          <w:rFonts w:ascii="仿宋" w:hAnsi="仿宋" w:eastAsia="仿宋"/>
          <w:sz w:val="22"/>
        </w:rPr>
      </w:pPr>
      <w:r>
        <w:rPr>
          <w:rFonts w:ascii="仿宋" w:hAnsi="仿宋" w:eastAsia="仿宋"/>
          <w:sz w:val="22"/>
        </w:rPr>
        <w:t>4、签署销售文件。投资人需签署《</w:t>
      </w:r>
      <w:r>
        <w:rPr>
          <w:rFonts w:hint="eastAsia" w:ascii="仿宋" w:hAnsi="仿宋" w:eastAsia="仿宋"/>
          <w:sz w:val="22"/>
        </w:rPr>
        <w:t>瑞丰</w:t>
      </w:r>
      <w:r>
        <w:rPr>
          <w:rFonts w:ascii="仿宋" w:hAnsi="仿宋" w:eastAsia="仿宋"/>
          <w:sz w:val="22"/>
        </w:rPr>
        <w:t>银行理财产品协议书》、理财产品风险揭示</w:t>
      </w:r>
      <w:r>
        <w:rPr>
          <w:rFonts w:hint="eastAsia" w:ascii="仿宋" w:hAnsi="仿宋" w:eastAsia="仿宋"/>
          <w:sz w:val="22"/>
        </w:rPr>
        <w:t>书、理财产品说明书等销售文件。</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二、</w:t>
      </w:r>
      <w:r>
        <w:rPr>
          <w:rFonts w:ascii="仿宋" w:hAnsi="仿宋" w:eastAsia="仿宋"/>
          <w:b/>
          <w:bCs/>
          <w:sz w:val="22"/>
        </w:rPr>
        <w:t>投资人风险承受能力评估及适合购买的产品</w:t>
      </w:r>
    </w:p>
    <w:p>
      <w:pPr>
        <w:ind w:left="-2" w:leftChars="-1" w:firstLine="426" w:firstLineChars="194"/>
        <w:rPr>
          <w:rFonts w:ascii="仿宋" w:hAnsi="仿宋" w:eastAsia="仿宋"/>
          <w:sz w:val="22"/>
        </w:rPr>
      </w:pPr>
      <w:r>
        <w:rPr>
          <w:rFonts w:ascii="仿宋" w:hAnsi="仿宋" w:eastAsia="仿宋"/>
          <w:sz w:val="22"/>
        </w:rPr>
        <w:t>1、投资人决定购买我行理财产品之前，需要通过我行营业网点或电子渠道（包括但不</w:t>
      </w:r>
      <w:r>
        <w:rPr>
          <w:rFonts w:hint="eastAsia" w:ascii="仿宋" w:hAnsi="仿宋" w:eastAsia="仿宋"/>
          <w:sz w:val="22"/>
        </w:rPr>
        <w:t>限于自助机具、网上银行、丰收互联等）进行风险承受能力评估（首次风险承受能力评估须到营业网点柜面进行办理），评级结果将作为评价您是否适合购买理财产品的重要因素，您将只能购买风险等级等于或者低于您的风险承受能力评估结果的理财产品。</w:t>
      </w:r>
    </w:p>
    <w:p>
      <w:pPr>
        <w:ind w:left="-2" w:leftChars="-1" w:firstLine="426" w:firstLineChars="194"/>
        <w:rPr>
          <w:rFonts w:ascii="仿宋" w:hAnsi="仿宋" w:eastAsia="仿宋"/>
          <w:sz w:val="22"/>
        </w:rPr>
      </w:pPr>
      <w:r>
        <w:rPr>
          <w:rFonts w:ascii="仿宋" w:hAnsi="仿宋" w:eastAsia="仿宋"/>
          <w:sz w:val="22"/>
        </w:rPr>
        <w:t>2、投资人的风险承受能力评估结果有效期一年，超过一年须再次评估，如评估结果超</w:t>
      </w:r>
      <w:r>
        <w:rPr>
          <w:rFonts w:hint="eastAsia" w:ascii="仿宋" w:hAnsi="仿宋" w:eastAsia="仿宋"/>
          <w:sz w:val="22"/>
        </w:rPr>
        <w:t>过有效期，将不得购买理财产品。</w:t>
      </w:r>
    </w:p>
    <w:p>
      <w:pPr>
        <w:ind w:left="-2" w:leftChars="-1" w:firstLine="426" w:firstLineChars="194"/>
        <w:rPr>
          <w:rFonts w:ascii="仿宋" w:hAnsi="仿宋" w:eastAsia="仿宋"/>
          <w:sz w:val="22"/>
        </w:rPr>
      </w:pPr>
      <w:r>
        <w:rPr>
          <w:rFonts w:ascii="仿宋" w:hAnsi="仿宋" w:eastAsia="仿宋"/>
          <w:sz w:val="22"/>
        </w:rPr>
        <w:t>3、如影响您风险承受能力的因素发生变化，再次购买理财产品时应当主动进行风险承</w:t>
      </w:r>
      <w:r>
        <w:rPr>
          <w:rFonts w:hint="eastAsia" w:ascii="仿宋" w:hAnsi="仿宋" w:eastAsia="仿宋"/>
          <w:sz w:val="22"/>
        </w:rPr>
        <w:t>受能力评估。请及时完成风险承受能力的“重新评估”。</w:t>
      </w:r>
    </w:p>
    <w:p>
      <w:pPr>
        <w:ind w:left="-2" w:leftChars="-1" w:firstLine="426" w:firstLineChars="194"/>
        <w:rPr>
          <w:rFonts w:ascii="仿宋" w:hAnsi="仿宋" w:eastAsia="仿宋"/>
          <w:sz w:val="22"/>
        </w:rPr>
      </w:pPr>
      <w:r>
        <w:rPr>
          <w:rFonts w:ascii="仿宋" w:hAnsi="仿宋" w:eastAsia="仿宋"/>
          <w:sz w:val="22"/>
        </w:rPr>
        <w:t>4、根据理财产品的风险大小，我行理财产品的风险等级由从低到高分为PR1级（低风</w:t>
      </w:r>
      <w:r>
        <w:rPr>
          <w:rFonts w:hint="eastAsia" w:ascii="仿宋" w:hAnsi="仿宋" w:eastAsia="仿宋"/>
          <w:sz w:val="22"/>
        </w:rPr>
        <w:t>险）、</w:t>
      </w:r>
      <w:r>
        <w:rPr>
          <w:rFonts w:ascii="仿宋" w:hAnsi="仿宋" w:eastAsia="仿宋"/>
          <w:sz w:val="22"/>
        </w:rPr>
        <w:t>PR2级（中低风险）、PR3级（中等风险）、PR4级（中高风险）和PR5级（高风险）五</w:t>
      </w:r>
      <w:r>
        <w:rPr>
          <w:rFonts w:hint="eastAsia" w:ascii="仿宋" w:hAnsi="仿宋" w:eastAsia="仿宋"/>
          <w:sz w:val="22"/>
        </w:rPr>
        <w:t>类；我行对个人客户风险承受能力由低到高分为保守型、谨慎型、稳健型、进取型和激进型。根据风险匹配原则，我行在投资人风险承受能力等级和产品风险等级之间建立如下对应关系。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628"/>
        <w:gridCol w:w="1628"/>
        <w:gridCol w:w="1629"/>
        <w:gridCol w:w="162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p>
        </w:tc>
        <w:tc>
          <w:tcPr>
            <w:tcW w:w="1628" w:type="dxa"/>
          </w:tcPr>
          <w:p>
            <w:pPr>
              <w:widowControl/>
              <w:jc w:val="center"/>
              <w:rPr>
                <w:rFonts w:ascii="仿宋" w:hAnsi="仿宋" w:eastAsia="仿宋"/>
                <w:sz w:val="22"/>
              </w:rPr>
            </w:pPr>
            <w:r>
              <w:rPr>
                <w:rFonts w:hint="eastAsia" w:ascii="仿宋" w:hAnsi="仿宋" w:eastAsia="仿宋"/>
                <w:sz w:val="22"/>
              </w:rPr>
              <w:t>PR1</w:t>
            </w:r>
          </w:p>
          <w:p>
            <w:pPr>
              <w:widowControl/>
              <w:jc w:val="center"/>
              <w:rPr>
                <w:rFonts w:ascii="仿宋" w:hAnsi="仿宋" w:eastAsia="仿宋"/>
                <w:sz w:val="22"/>
              </w:rPr>
            </w:pPr>
            <w:r>
              <w:rPr>
                <w:rFonts w:hint="eastAsia" w:ascii="仿宋" w:hAnsi="仿宋" w:eastAsia="仿宋"/>
                <w:sz w:val="22"/>
              </w:rPr>
              <w:t>（低风险）</w:t>
            </w:r>
          </w:p>
        </w:tc>
        <w:tc>
          <w:tcPr>
            <w:tcW w:w="1628"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2</w:t>
            </w:r>
          </w:p>
          <w:p>
            <w:pPr>
              <w:widowControl/>
              <w:jc w:val="center"/>
              <w:rPr>
                <w:rFonts w:ascii="仿宋" w:hAnsi="仿宋" w:eastAsia="仿宋"/>
                <w:sz w:val="22"/>
              </w:rPr>
            </w:pPr>
            <w:r>
              <w:rPr>
                <w:rFonts w:hint="eastAsia" w:ascii="仿宋" w:hAnsi="仿宋" w:eastAsia="仿宋"/>
                <w:sz w:val="22"/>
              </w:rPr>
              <w:t>（中低风险）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3</w:t>
            </w:r>
          </w:p>
          <w:p>
            <w:pPr>
              <w:widowControl/>
              <w:jc w:val="center"/>
              <w:rPr>
                <w:rFonts w:ascii="仿宋" w:hAnsi="仿宋" w:eastAsia="仿宋"/>
                <w:sz w:val="22"/>
              </w:rPr>
            </w:pPr>
            <w:r>
              <w:rPr>
                <w:rFonts w:hint="eastAsia" w:ascii="仿宋" w:hAnsi="仿宋" w:eastAsia="仿宋"/>
                <w:sz w:val="22"/>
              </w:rPr>
              <w:t>（中等风险）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（中高风险）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激进型</w:t>
            </w:r>
          </w:p>
        </w:tc>
        <w:tc>
          <w:tcPr>
            <w:tcW w:w="1628" w:type="dxa"/>
          </w:tcPr>
          <w:p>
            <w:pPr>
              <w:widowControl/>
              <w:jc w:val="center"/>
              <w:rPr>
                <w:rFonts w:ascii="仿宋" w:hAnsi="仿宋" w:eastAsia="仿宋"/>
                <w:sz w:val="22"/>
              </w:rP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widowControl/>
              <w:jc w:val="center"/>
              <w:rPr>
                <w:rFonts w:ascii="仿宋" w:hAnsi="仿宋" w:eastAsia="仿宋"/>
                <w:sz w:val="22"/>
              </w:rPr>
            </w:pPr>
            <w:r>
              <w:rPr>
                <w:rFonts w:hint="eastAsia" w:ascii="仿宋" w:hAnsi="仿宋" w:eastAsia="仿宋"/>
                <w:sz w:val="22"/>
              </w:rPr>
              <w:t>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进取型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widowControl/>
              <w:jc w:val="center"/>
              <w:rPr>
                <w:rFonts w:ascii="仿宋" w:hAnsi="仿宋" w:eastAsia="仿宋"/>
                <w:sz w:val="22"/>
              </w:rP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稳健型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谨慎型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保守型</w:t>
            </w:r>
          </w:p>
        </w:tc>
        <w:tc>
          <w:tcPr>
            <w:tcW w:w="1628" w:type="dxa"/>
          </w:tcPr>
          <w:p>
            <w:pPr>
              <w:jc w:val="center"/>
            </w:pPr>
            <w:r>
              <w:rPr>
                <w:rFonts w:hint="eastAsia" w:ascii="仿宋" w:hAnsi="仿宋" w:eastAsia="仿宋"/>
                <w:sz w:val="22"/>
              </w:rPr>
              <w:t>适合</w:t>
            </w:r>
          </w:p>
        </w:tc>
        <w:tc>
          <w:tcPr>
            <w:tcW w:w="1628"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bl>
    <w:p>
      <w:pPr>
        <w:widowControl/>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三、信息披露</w:t>
      </w:r>
    </w:p>
    <w:p>
      <w:pPr>
        <w:ind w:left="-2" w:leftChars="-1" w:firstLine="426" w:firstLineChars="194"/>
        <w:rPr>
          <w:rFonts w:ascii="仿宋" w:hAnsi="仿宋" w:eastAsia="仿宋"/>
          <w:sz w:val="22"/>
        </w:rPr>
      </w:pPr>
      <w:r>
        <w:rPr>
          <w:rFonts w:hint="eastAsia" w:ascii="仿宋" w:hAnsi="仿宋" w:eastAsia="仿宋"/>
          <w:sz w:val="22"/>
        </w:rPr>
        <w:t>我行理财产品的信息披露将通过我行网点或官网（</w:t>
      </w:r>
      <w:r>
        <w:rPr>
          <w:rFonts w:ascii="仿宋" w:hAnsi="仿宋" w:eastAsia="仿宋"/>
          <w:sz w:val="22"/>
        </w:rPr>
        <w:t>http://www.borf.cn）进行，具体方式、渠</w:t>
      </w:r>
      <w:r>
        <w:rPr>
          <w:rFonts w:hint="eastAsia" w:ascii="仿宋" w:hAnsi="仿宋" w:eastAsia="仿宋"/>
          <w:sz w:val="22"/>
        </w:rPr>
        <w:t>道及频率等以产品说明书中“信息披露”内容为准，相关信息在发布或发出之日视为通知送达，您应及时查看，以免因未及时获知信息而错过资金使用和再投资机会。投资人如因未及时了解瑞丰银行公布、发送的相关信息，导致投资受损，后果由投资人自行承担。投资人预留在我行的有效联系方式变更的，应及时告知，如投资人未及时告知银行联系方式变更的，银行可能因此无法联系到投资人而影响投资人的决策或者理财资金兑付等，由此产生的责任和风险由投资人自行承担。</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四、投诉及业务咨询</w:t>
      </w:r>
    </w:p>
    <w:p>
      <w:pPr>
        <w:ind w:left="-2" w:leftChars="-1" w:firstLine="426" w:firstLineChars="194"/>
        <w:rPr>
          <w:rFonts w:ascii="仿宋" w:hAnsi="仿宋" w:eastAsia="仿宋"/>
          <w:sz w:val="22"/>
        </w:rPr>
      </w:pPr>
      <w:r>
        <w:rPr>
          <w:rFonts w:hint="eastAsia" w:ascii="仿宋" w:hAnsi="仿宋" w:eastAsia="仿宋"/>
          <w:sz w:val="22"/>
        </w:rPr>
        <w:t>如您对本理财产品或服务有任何疑问、意见或建议，均可联系瑞丰银行理财经理或反馈至瑞丰银行营业网点，也可致电瑞丰银行全国统一客户服务热线：</w:t>
      </w:r>
      <w:r>
        <w:rPr>
          <w:rFonts w:ascii="仿宋" w:hAnsi="仿宋" w:eastAsia="仿宋"/>
          <w:sz w:val="22"/>
        </w:rPr>
        <w:t>40088-96596</w:t>
      </w:r>
      <w:r>
        <w:rPr>
          <w:rFonts w:hint="eastAsia" w:ascii="仿宋" w:hAnsi="仿宋" w:eastAsia="仿宋"/>
          <w:sz w:val="22"/>
        </w:rPr>
        <w:t>或</w:t>
      </w:r>
      <w:r>
        <w:rPr>
          <w:rFonts w:ascii="仿宋" w:hAnsi="仿宋" w:eastAsia="仿宋"/>
          <w:sz w:val="22"/>
        </w:rPr>
        <w:t>0575-81105384。</w:t>
      </w:r>
    </w:p>
    <w:p>
      <w:pPr>
        <w:rPr>
          <w:rFonts w:ascii="仿宋" w:hAnsi="仿宋" w:eastAsia="仿宋"/>
          <w:sz w:val="22"/>
        </w:rPr>
      </w:pPr>
    </w:p>
    <w:tbl>
      <w:tblPr>
        <w:tblStyle w:val="7"/>
        <w:tblpPr w:leftFromText="180" w:rightFromText="180" w:vertAnchor="text" w:horzAnchor="margin" w:tblpY="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客户确认（个人客户填写）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9967" w:type="dxa"/>
            <w:shd w:val="clear" w:color="auto" w:fill="FFFFFF"/>
          </w:tcPr>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1. 您已经知晓您所要购买的理财产品的种类为净值型产品，且知晓银行不对您的本金和收益提供任何承诺。□是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2. 您已充分知晓您将认购的理财产品所面临的风险，且已经对可能产生的不利结果有充分的心理准备。□是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3. 您已经详细阅读了理财产品说明书、风险揭示书、客户权益须知等相关材料，对此您已经不再有疑问。□是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4. 您已经知晓认购本次理财产品您需要承担的各项费用情况。□是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5. 您已经了解该产品不能在非开放期提前赎回，以及产品提前到期可能产生的不利后果，且该后果需要由您来承担。□是     □否</w:t>
            </w:r>
          </w:p>
          <w:p>
            <w:pPr>
              <w:spacing w:line="400" w:lineRule="exact"/>
              <w:rPr>
                <w:rFonts w:ascii="仿宋" w:hAnsi="仿宋" w:eastAsia="仿宋"/>
                <w:sz w:val="22"/>
              </w:rPr>
            </w:pPr>
            <w:r>
              <w:rPr>
                <w:rFonts w:hint="eastAsia" w:ascii="仿宋" w:hAnsi="仿宋" w:eastAsia="仿宋"/>
                <w:sz w:val="22"/>
              </w:rPr>
              <w:t>6. 您已经确认您的风险承受能力适合购买本理财产品。□是     □否</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客户确认：本人已仔细阅读了本《理财产品说明书、风险揭示书及客户权益须知》以及《瑞丰银行理财产品总协议书》，瑞丰银行向本人说明了本理财产品所涉及到的各种风险。认购本理财产品是经过本人独立判断之后所做出的符合本人真实意愿的决定。本人同意和接受上述销售文件的条款和内容。</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本人承诺投资理财产品资金来源合法合规，并且系为合法之目的投资本理财产品，而非为洗钱等违法犯罪之目的，本人将配合瑞丰银行、代销机构开展客户身份识别、尽职调查等反洗钱活动及其他法律法规规定事项，及时、真实、准确、完整提供身份及资金来源等信息，并同意瑞丰银行、代销机构根据法律法规、监管规定和销售文件的约定使用本人提供的相关信息。</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个人客户请全文抄录以下文字以完成确认：“</w:t>
            </w:r>
            <w:r>
              <w:rPr>
                <w:rFonts w:hint="eastAsia" w:ascii="仿宋" w:hAnsi="仿宋" w:eastAsia="仿宋" w:cstheme="minorBidi"/>
                <w:b/>
                <w:sz w:val="22"/>
              </w:rPr>
              <w:t>本人已经阅读风险揭示，愿意承担投资风险。</w:t>
            </w:r>
            <w:r>
              <w:rPr>
                <w:rFonts w:hint="eastAsia" w:ascii="仿宋" w:hAnsi="仿宋" w:eastAsia="仿宋" w:cstheme="minorBidi"/>
                <w:sz w:val="22"/>
              </w:rPr>
              <w:t>”</w:t>
            </w:r>
          </w:p>
          <w:p>
            <w:pPr>
              <w:spacing w:line="400" w:lineRule="exact"/>
              <w:ind w:firstLine="440" w:firstLineChars="200"/>
              <w:rPr>
                <w:rFonts w:ascii="仿宋" w:hAnsi="仿宋" w:eastAsia="仿宋"/>
                <w:sz w:val="22"/>
              </w:rPr>
            </w:pPr>
            <w:r>
              <w:rPr>
                <w:rFonts w:hint="eastAsia" w:ascii="仿宋" w:hAnsi="仿宋" w:eastAsia="仿宋"/>
                <w:sz w:val="22"/>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本人的风险承受能力评级结果为：</w:t>
            </w:r>
            <w:r>
              <w:rPr>
                <w:rFonts w:hint="eastAsia" w:ascii="仿宋" w:hAnsi="仿宋" w:eastAsia="仿宋"/>
                <w:sz w:val="22"/>
                <w:u w:val="single"/>
              </w:rPr>
              <w:t xml:space="preserve">            </w:t>
            </w:r>
            <w:r>
              <w:rPr>
                <w:rFonts w:hint="eastAsia" w:ascii="仿宋" w:hAnsi="仿宋" w:eastAsia="仿宋"/>
                <w:sz w:val="22"/>
              </w:rPr>
              <w:t xml:space="preserve"> （保守型、谨慎型、稳健型、进取型、激进型）</w:t>
            </w:r>
          </w:p>
          <w:p>
            <w:pPr>
              <w:spacing w:line="400" w:lineRule="exact"/>
              <w:ind w:firstLine="405"/>
              <w:rPr>
                <w:rFonts w:ascii="仿宋" w:hAnsi="仿宋" w:eastAsia="仿宋"/>
                <w:sz w:val="22"/>
              </w:rPr>
            </w:pPr>
            <w:r>
              <w:rPr>
                <w:rFonts w:hint="eastAsia" w:ascii="仿宋" w:hAnsi="仿宋" w:eastAsia="仿宋"/>
                <w:sz w:val="22"/>
              </w:rPr>
              <w:t>客户签名：</w:t>
            </w:r>
            <w:r>
              <w:rPr>
                <w:rFonts w:hint="eastAsia" w:ascii="仿宋" w:hAnsi="仿宋" w:eastAsia="仿宋"/>
                <w:sz w:val="22"/>
                <w:u w:val="single"/>
              </w:rPr>
              <w:t xml:space="preserve">                  </w:t>
            </w:r>
            <w:r>
              <w:rPr>
                <w:rFonts w:hint="eastAsia" w:ascii="仿宋" w:hAnsi="仿宋" w:eastAsia="仿宋"/>
                <w:sz w:val="22"/>
              </w:rPr>
              <w:t xml:space="preserve"> 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客户确认（机构客户填写）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9967" w:type="dxa"/>
            <w:shd w:val="clear" w:color="auto" w:fill="FFFFFF"/>
          </w:tcPr>
          <w:p>
            <w:pPr>
              <w:pStyle w:val="14"/>
              <w:spacing w:line="340" w:lineRule="exact"/>
              <w:ind w:firstLine="440"/>
              <w:rPr>
                <w:rFonts w:ascii="仿宋" w:hAnsi="仿宋" w:eastAsia="仿宋" w:cstheme="minorBidi"/>
                <w:sz w:val="22"/>
              </w:rPr>
            </w:pPr>
            <w:r>
              <w:rPr>
                <w:rFonts w:hint="eastAsia" w:ascii="仿宋" w:hAnsi="仿宋" w:eastAsia="仿宋" w:cstheme="minorBidi"/>
                <w:sz w:val="22"/>
              </w:rPr>
              <w:t>本人</w:t>
            </w:r>
            <w:r>
              <w:rPr>
                <w:rFonts w:hint="eastAsia" w:ascii="仿宋" w:hAnsi="仿宋" w:eastAsia="仿宋" w:cstheme="minorBidi"/>
                <w:sz w:val="22"/>
                <w:u w:val="single"/>
              </w:rPr>
              <w:t xml:space="preserve">                  </w:t>
            </w:r>
            <w:r>
              <w:rPr>
                <w:rFonts w:hint="eastAsia" w:ascii="仿宋" w:hAnsi="仿宋" w:eastAsia="仿宋" w:cstheme="minorBidi"/>
                <w:sz w:val="22"/>
              </w:rPr>
              <w:t>为</w:t>
            </w:r>
            <w:r>
              <w:rPr>
                <w:rFonts w:hint="eastAsia" w:ascii="仿宋" w:hAnsi="仿宋" w:eastAsia="仿宋" w:cstheme="minorBidi"/>
                <w:sz w:val="22"/>
                <w:u w:val="single"/>
              </w:rPr>
              <w:t xml:space="preserve">                                                    </w:t>
            </w:r>
            <w:r>
              <w:rPr>
                <w:rFonts w:hint="eastAsia" w:ascii="仿宋" w:hAnsi="仿宋" w:eastAsia="仿宋" w:cstheme="minorBidi"/>
                <w:sz w:val="22"/>
              </w:rPr>
              <w:t>公司授权签字人。本授权签字人已阅读了产品风险提示。瑞丰银行向本授权签字人说明了本理财产品所涉及到的各种风险。认购本理财产品是经过我公司独立判断之后所做出的符合本公司意愿的决定。</w:t>
            </w:r>
          </w:p>
          <w:p>
            <w:pPr>
              <w:pStyle w:val="14"/>
              <w:spacing w:line="340" w:lineRule="exact"/>
              <w:ind w:firstLine="440"/>
              <w:rPr>
                <w:rFonts w:ascii="仿宋" w:hAnsi="仿宋" w:eastAsia="仿宋" w:cstheme="minorBidi"/>
                <w:sz w:val="22"/>
              </w:rPr>
            </w:pPr>
          </w:p>
          <w:p>
            <w:pPr>
              <w:spacing w:line="400" w:lineRule="exact"/>
              <w:ind w:firstLine="440" w:firstLineChars="200"/>
              <w:rPr>
                <w:rFonts w:ascii="仿宋" w:hAnsi="仿宋" w:eastAsia="仿宋"/>
                <w:sz w:val="22"/>
              </w:rPr>
            </w:pPr>
            <w:r>
              <w:rPr>
                <w:rFonts w:hint="eastAsia" w:ascii="仿宋" w:hAnsi="仿宋" w:eastAsia="仿宋"/>
                <w:sz w:val="22"/>
              </w:rPr>
              <w:t>机构公章：</w:t>
            </w:r>
            <w:r>
              <w:rPr>
                <w:rFonts w:hint="eastAsia" w:ascii="仿宋" w:hAnsi="仿宋" w:eastAsia="仿宋"/>
                <w:sz w:val="22"/>
                <w:u w:val="single"/>
              </w:rPr>
              <w:t xml:space="preserve">                    </w:t>
            </w:r>
            <w:r>
              <w:rPr>
                <w:rFonts w:hint="eastAsia" w:ascii="仿宋" w:hAnsi="仿宋" w:eastAsia="仿宋"/>
                <w:sz w:val="22"/>
              </w:rPr>
              <w:t xml:space="preserve"> 公司授权人签名：</w:t>
            </w:r>
            <w:r>
              <w:rPr>
                <w:rFonts w:hint="eastAsia" w:ascii="仿宋" w:hAnsi="仿宋" w:eastAsia="仿宋"/>
                <w:sz w:val="22"/>
                <w:u w:val="single"/>
              </w:rPr>
              <w:t xml:space="preserve"> </w:t>
            </w:r>
            <w:r>
              <w:rPr>
                <w:rFonts w:ascii="仿宋" w:hAnsi="仿宋" w:eastAsia="仿宋"/>
                <w:sz w:val="22"/>
                <w:u w:val="single"/>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r>
              <w:rPr>
                <w:rFonts w:ascii="仿宋" w:hAnsi="仿宋" w:eastAsia="仿宋"/>
                <w:sz w:val="22"/>
              </w:rPr>
              <w:t xml:space="preserve"> </w:t>
            </w:r>
          </w:p>
        </w:tc>
      </w:tr>
    </w:tbl>
    <w:p>
      <w:pPr>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81B6D75"/>
    <w:rsid w:val="0DAD4531"/>
    <w:rsid w:val="0EDD4A5F"/>
    <w:rsid w:val="112209DB"/>
    <w:rsid w:val="11307AFB"/>
    <w:rsid w:val="1F52186A"/>
    <w:rsid w:val="21465C1C"/>
    <w:rsid w:val="21552560"/>
    <w:rsid w:val="21D151F0"/>
    <w:rsid w:val="246A5ABF"/>
    <w:rsid w:val="272E6AAC"/>
    <w:rsid w:val="28872D08"/>
    <w:rsid w:val="2C2D1A7E"/>
    <w:rsid w:val="2C613CCD"/>
    <w:rsid w:val="2D2C4BD8"/>
    <w:rsid w:val="2D923900"/>
    <w:rsid w:val="2DA63EC2"/>
    <w:rsid w:val="2E0F6302"/>
    <w:rsid w:val="308A36A3"/>
    <w:rsid w:val="31882302"/>
    <w:rsid w:val="31C27887"/>
    <w:rsid w:val="337E5E03"/>
    <w:rsid w:val="37B13CD1"/>
    <w:rsid w:val="37FE6756"/>
    <w:rsid w:val="3B356F9A"/>
    <w:rsid w:val="3BBB2411"/>
    <w:rsid w:val="3F745B24"/>
    <w:rsid w:val="40B306BA"/>
    <w:rsid w:val="413751E7"/>
    <w:rsid w:val="42497BA1"/>
    <w:rsid w:val="44D04F27"/>
    <w:rsid w:val="4A4F3547"/>
    <w:rsid w:val="4BC94314"/>
    <w:rsid w:val="529A226B"/>
    <w:rsid w:val="566B4F48"/>
    <w:rsid w:val="592A7B41"/>
    <w:rsid w:val="5B0D3CB3"/>
    <w:rsid w:val="5D5D41EB"/>
    <w:rsid w:val="5E535A41"/>
    <w:rsid w:val="60026C68"/>
    <w:rsid w:val="61873986"/>
    <w:rsid w:val="64B67109"/>
    <w:rsid w:val="64DE1B74"/>
    <w:rsid w:val="66846D5C"/>
    <w:rsid w:val="67D64453"/>
    <w:rsid w:val="6A587CDD"/>
    <w:rsid w:val="6BFD05C0"/>
    <w:rsid w:val="6C7E3839"/>
    <w:rsid w:val="71BB6D76"/>
    <w:rsid w:val="76C00F24"/>
    <w:rsid w:val="77984C99"/>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43</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宋锦程</cp:lastModifiedBy>
  <cp:lastPrinted>2023-03-01T07:00:00Z</cp:lastPrinted>
  <dcterms:modified xsi:type="dcterms:W3CDTF">2023-06-09T06:42:41Z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