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00" w:lineRule="exact"/>
        <w:jc w:val="center"/>
        <w:outlineLvl w:val="1"/>
        <w:rPr>
          <w:rFonts w:ascii="Times New Roman" w:hAnsi="Times New Roman" w:eastAsia="黑体" w:cs="Times New Roman"/>
          <w:sz w:val="22"/>
        </w:rPr>
      </w:pPr>
      <w:r>
        <w:rPr>
          <w:rFonts w:ascii="Times New Roman" w:hAnsi="Times New Roman" w:eastAsia="黑体" w:cs="Times New Roman"/>
          <w:sz w:val="22"/>
        </w:rPr>
        <w:t>信银理财理财产品投资协议书</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甲方：投资者（投资者信息详见签署页）</w:t>
      </w: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乙方：信银理财有限责任公司</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经甲方和乙方平等协商，就甲方认购/申购乙方发行的理财产品（以下简称"理财产品"），达成本协议如下：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一、适用范围</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甲方在认购/申购乙方发行的理财产品之前应签署本协议。本协议生效后，甲方认购/申购</w:t>
      </w:r>
      <w:r>
        <w:rPr>
          <w:rFonts w:hint="eastAsia" w:ascii="Times New Roman" w:hAnsi="Times New Roman" w:eastAsia="楷体_GB2312" w:cs="Times New Roman"/>
          <w:sz w:val="20"/>
          <w:szCs w:val="20"/>
        </w:rPr>
        <w:t>乙方</w:t>
      </w:r>
      <w:r>
        <w:rPr>
          <w:rFonts w:ascii="Times New Roman" w:hAnsi="Times New Roman" w:eastAsia="楷体_GB2312" w:cs="Times New Roman"/>
          <w:sz w:val="20"/>
          <w:szCs w:val="20"/>
        </w:rPr>
        <w:t>发行的理财产品的，均适用本协议。</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本协议与甲方认购/申购理财产品的《信银理财理财产品产品说明书》《信银理财理财产品风险揭示书》《信银理财理财产品销售总协议》（含附件</w:t>
      </w:r>
      <w:bookmarkStart w:id="0" w:name="_GoBack"/>
      <w:bookmarkEnd w:id="0"/>
      <w:r>
        <w:rPr>
          <w:rFonts w:ascii="Times New Roman" w:hAnsi="Times New Roman" w:eastAsia="楷体_GB2312" w:cs="Times New Roman"/>
          <w:sz w:val="20"/>
          <w:szCs w:val="20"/>
        </w:rPr>
        <w:t>：客户权益须知专页）</w:t>
      </w:r>
      <w:r>
        <w:rPr>
          <w:rFonts w:hint="eastAsia" w:ascii="Times New Roman" w:hAnsi="Times New Roman" w:eastAsia="楷体_GB2312" w:cs="Times New Roman"/>
          <w:sz w:val="20"/>
          <w:szCs w:val="20"/>
        </w:rPr>
        <w:t>（或合作销售机构向投资者提供的理财产品销售协议文本）</w:t>
      </w:r>
      <w:r>
        <w:rPr>
          <w:rFonts w:ascii="Times New Roman" w:hAnsi="Times New Roman" w:eastAsia="楷体_GB2312" w:cs="Times New Roman"/>
          <w:sz w:val="20"/>
          <w:szCs w:val="20"/>
        </w:rPr>
        <w:t>共同构成一份完整的理财产品销售文件（以下简称"产品销售文件"）。甲方认购/申购</w:t>
      </w:r>
      <w:r>
        <w:rPr>
          <w:rFonts w:hint="eastAsia" w:ascii="Times New Roman" w:hAnsi="Times New Roman" w:eastAsia="楷体_GB2312" w:cs="Times New Roman"/>
          <w:sz w:val="20"/>
          <w:szCs w:val="20"/>
        </w:rPr>
        <w:t>乙方</w:t>
      </w:r>
      <w:r>
        <w:rPr>
          <w:rFonts w:ascii="Times New Roman" w:hAnsi="Times New Roman" w:eastAsia="楷体_GB2312" w:cs="Times New Roman"/>
          <w:sz w:val="20"/>
          <w:szCs w:val="20"/>
        </w:rPr>
        <w:t>多支理财产品时，不同产品的《信银理财理财产品产品说明书》组成的产品销售文件互相独立。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本协议不作为甲方认购/申购或持有理财产品的凭证。</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二、风险提示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理财非存款、产品有风险、投资须谨慎，理财产品过往业绩不代表其未来表现，不等于理财产品实际收益。投资者投资理财产品的，基于所投资的不同理财产品可能面临包括但不限于信用风险、市场风险、流动性风险、提前终止风险、政策风险、信息传递风险、管理风险、延期清算风险、产品不成立风险、不可抗力及意外事件风险、</w:t>
      </w:r>
      <w:r>
        <w:rPr>
          <w:rFonts w:hint="eastAsia" w:ascii="Times New Roman" w:hAnsi="Times New Roman" w:eastAsia="楷体_GB2312" w:cs="Times New Roman"/>
          <w:b/>
          <w:bCs/>
          <w:sz w:val="20"/>
          <w:szCs w:val="20"/>
        </w:rPr>
        <w:t>关联交易</w:t>
      </w:r>
      <w:r>
        <w:rPr>
          <w:rFonts w:ascii="Times New Roman" w:hAnsi="Times New Roman" w:eastAsia="楷体_GB2312" w:cs="Times New Roman"/>
          <w:b/>
          <w:bCs/>
          <w:sz w:val="20"/>
          <w:szCs w:val="20"/>
        </w:rPr>
        <w:t>风险、合作销售机构风险、操作风险等风险，具体风险请甲方仔细阅读认购/申购的理财产品的《信银理财理财产品产品说明书》和《信银理财理财产品风险揭示书》中的相应条款。</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三、投资条款</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Cs/>
          <w:sz w:val="20"/>
          <w:szCs w:val="20"/>
        </w:rPr>
        <w:t>甲方认购/申购理财产品的具体认购/申购条件、流程、金额、份额、费用以及其他投资条款，由甲方实际认购/申购的理财产品的《信银理财理财产品产品说明书》具体约定。</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四、甲方的权利与义务</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（一）甲方具有完全民事行为能力，有完全适当的资格与能力订立并履行理财产品合同，不存在法律、行政法规有关规定禁止或限制投资理财产品的情形（适用于个人投资者）；</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合同所需的一切有关批准、许可、备案或者登记。（适用于机构投资者）；</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（二）甲方保证以真实身份投资本理财产品，保证提供给产品管理人</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代销机构的信息和资料均真实、准确、完整、合法。如甲方的信息和/或资料发生变更，应当及时书面告知产品管理人或代销机构；</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（三）甲方声明熟悉理财产品类型特征及不同销售渠道的法律法规规定；</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（四）甲方承诺：如委托他人购买本产品，代理人须出具具有法律效力的授权委托书；</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（五）甲方保证理财投资资金来源和用途合法，保证可向产品管理人</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代销机构提供合法筹集的证明文件；</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（六）甲方不得利用理财业务及理财产品合同项下理财产品从事违法活动；</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七）甲方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（八）甲方不属于联合国、欧盟或美国等制裁名单，及中国政府部门或有权机关发布的涉恐及反洗钱相关风险名单内的企业或个人；不位于被联合国、欧盟或美国等制裁的国家和地区；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五、乙方的权利与义务</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（一）乙方具有开办理财业务的经营资质，保证以诚实守信、勤勉尽职的原则管理和运用理财资金；</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（二）乙方具有完全适当的资格和能力订立与履行理财产品合同。</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六、违约责任</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双方因违反本协议约定而给对方造成损失的，违约方应赔偿因此给对方造成的直接损失。</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七、免责内容</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八、争议解决</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sz w:val="20"/>
          <w:szCs w:val="20"/>
        </w:rPr>
        <w:t>本协议及产品销售文件均适用中华人民共和国法律（为履行本协议之目的，不包括中国香港特别行政区、澳门特别行政区及台湾地区法律）。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Cs/>
          <w:sz w:val="20"/>
          <w:szCs w:val="20"/>
        </w:rPr>
        <w:t>甲乙双方在本协议项下发生任何争议时，应本着诚实信用的原则通过协商解决。如通过协商仍不能解决争议时，双方均同意向信银理财住所地有管辖权的人民法院提起诉讼</w:t>
      </w:r>
      <w:r>
        <w:rPr>
          <w:rFonts w:ascii="Times New Roman" w:hAnsi="Times New Roman" w:eastAsia="楷体_GB2312" w:cs="Times New Roman"/>
          <w:b/>
          <w:bCs/>
          <w:sz w:val="20"/>
          <w:szCs w:val="20"/>
        </w:rPr>
        <w:t>。</w:t>
      </w: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九、附则</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sz w:val="20"/>
          <w:szCs w:val="20"/>
        </w:rPr>
        <w:t>/申购份额经乙方确认后生效。本协议通过电子形式签署的，自甲方通过乙方产品的各电子销售渠道（包括直销和代销）在线点击确认或勾选且甲方产品认购/申购份额经乙方确认后生效。甲方知悉并确认，乙方对于甲方认购/申购份额的确认即视为乙方对于本协议的签署和认可，甲方不得以乙方未在本协议上盖章为由主张本协议无效。</w:t>
      </w:r>
    </w:p>
    <w:p>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（二）本协议条款与《信银理财理财产品产品说明书》条款不一致的，以《信银理财理财产品产品说明书》的约定为准。</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（三）如果由于任何原因使本协议下的任何条款或者内容成为无效或者依法被撤</w:t>
      </w:r>
      <w:r>
        <w:rPr>
          <w:rFonts w:ascii="Times New Roman" w:hAnsi="Times New Roman" w:eastAsia="楷体_GB2312" w:cs="Times New Roman"/>
          <w:b/>
          <w:sz w:val="20"/>
          <w:szCs w:val="20"/>
        </w:rPr>
        <w:t>销</w:t>
      </w:r>
      <w:r>
        <w:rPr>
          <w:rFonts w:hint="eastAsia" w:ascii="Times New Roman" w:hAnsi="Times New Roman" w:eastAsia="楷体_GB2312" w:cs="Times New Roman"/>
          <w:b/>
          <w:sz w:val="20"/>
          <w:szCs w:val="20"/>
        </w:rPr>
        <w:t>，本协议其他条款或内容的合法性，有效性和可执行性不受影响</w:t>
      </w:r>
      <w:r>
        <w:rPr>
          <w:rFonts w:ascii="Times New Roman" w:hAnsi="Times New Roman" w:eastAsia="楷体_GB2312" w:cs="Times New Roman"/>
          <w:b/>
          <w:sz w:val="20"/>
          <w:szCs w:val="20"/>
        </w:rPr>
        <w:t>。</w:t>
      </w: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 xml:space="preserve">：个人投资者（签字）: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 xml:space="preserve">机构投资者（公章）:               </w:t>
      </w: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法定代表人/负责人/授权代表（签字/盖章）：</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证件类别</w:t>
      </w:r>
      <w:r>
        <w:rPr>
          <w:rFonts w:hint="eastAsia" w:ascii="Times New Roman" w:hAnsi="Times New Roman" w:eastAsia="楷体_GB2312" w:cs="Times New Roman"/>
          <w:sz w:val="20"/>
          <w:szCs w:val="20"/>
        </w:rPr>
        <w:t>（个人</w:t>
      </w:r>
      <w:r>
        <w:rPr>
          <w:rFonts w:ascii="Times New Roman" w:hAnsi="Times New Roman" w:eastAsia="楷体_GB2312" w:cs="Times New Roman"/>
          <w:sz w:val="20"/>
          <w:szCs w:val="20"/>
        </w:rPr>
        <w:t xml:space="preserve">投资者）：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证件号</w:t>
      </w:r>
      <w:r>
        <w:rPr>
          <w:rFonts w:hint="eastAsia" w:ascii="Times New Roman" w:hAnsi="Times New Roman" w:eastAsia="楷体_GB2312" w:cs="Times New Roman"/>
          <w:sz w:val="20"/>
          <w:szCs w:val="20"/>
        </w:rPr>
        <w:t>（个人</w:t>
      </w:r>
      <w:r>
        <w:rPr>
          <w:rFonts w:ascii="Times New Roman" w:hAnsi="Times New Roman" w:eastAsia="楷体_GB2312" w:cs="Times New Roman"/>
          <w:sz w:val="20"/>
          <w:szCs w:val="20"/>
        </w:rPr>
        <w:t>投资者）：</w:t>
      </w:r>
    </w:p>
    <w:p>
      <w:pPr>
        <w:spacing w:line="300" w:lineRule="exact"/>
        <w:ind w:firstLine="600" w:firstLineChars="300"/>
        <w:rPr>
          <w:rFonts w:ascii="Times New Roman" w:hAnsi="Times New Roman" w:eastAsia="楷体_GB2312" w:cs="Times New Roman"/>
          <w:sz w:val="20"/>
          <w:szCs w:val="20"/>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firstLine="5220" w:firstLineChars="2900"/>
    </w:pPr>
    <w:r>
      <w:rPr>
        <w:color w:val="000000" w:themeColor="text1"/>
        <w14:textFill>
          <w14:solidFill>
            <w14:schemeClr w14:val="tx1"/>
          </w14:solidFill>
        </w14:textFill>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0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2023-06-02T05:12:41Z</dcterms:created>
  <dc:creator>lenovo</dc:creator>
  <cp:lastModifiedBy>lenovo</cp:lastModifiedBy>
  <dcterms:modified xsi:type="dcterms:W3CDTF">2023-06-02T05:14:32Z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