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right="-792" w:rightChars="-330"/>
      </w:pPr>
      <w:r>
        <w:rPr>
          <w:rFonts w:hint="eastAsia" w:ascii="黑体" w:eastAsia="黑体" w:cs="黑体"/>
          <w:b/>
          <w:bCs/>
        </w:rPr>
        <w:t>理财产品登记编码:</w:t>
      </w:r>
      <w:r>
        <w:t xml:space="preserve"> </w:t>
      </w:r>
      <w:r>
        <w:rPr>
          <w:rFonts w:hint="eastAsia"/>
        </w:rPr>
        <w:t>【Z7002622000814</w:t>
      </w:r>
      <w:r>
        <w:t>】</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rFonts w:ascii="黑体" w:hAnsi="黑体" w:eastAsia="黑体"/>
          <w:sz w:val="21"/>
          <w:szCs w:val="21"/>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pPr>
    </w:p>
    <w:p>
      <w:pPr>
        <w:spacing w:line="300" w:lineRule="exact"/>
        <w:ind w:right="-792" w:rightChars="-330"/>
        <w:rPr>
          <w:rFonts w:ascii="楷体" w:hAnsi="楷体" w:eastAsia="楷体" w:cs="黑体"/>
          <w:b/>
          <w:bCs/>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【信银理财安盈象固收稳健日开3号理财产品】</w:t>
      </w:r>
      <w:r>
        <w:rPr>
          <w:rFonts w:ascii="黑体" w:hAnsi="Times New Roman" w:eastAsia="黑体" w:cs="黑体"/>
          <w:b/>
          <w:bCs/>
          <w:sz w:val="20"/>
          <w:szCs w:val="20"/>
        </w:rPr>
        <w:t xml:space="preserve">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Times New Roman" w:eastAsia="黑体" w:cs="黑体"/>
          <w:b/>
          <w:bCs/>
          <w:sz w:val="20"/>
          <w:szCs w:val="20"/>
        </w:rPr>
        <w:t>产品代码</w:t>
      </w:r>
      <w:r>
        <w:rPr>
          <w:rFonts w:ascii="黑体" w:hAnsi="Times New Roman" w:eastAsia="黑体" w:cs="黑体"/>
          <w:b/>
          <w:bCs/>
          <w:sz w:val="20"/>
          <w:szCs w:val="20"/>
        </w:rPr>
        <w:t>：【AF223200】</w:t>
      </w:r>
      <w:r>
        <w:rPr>
          <w:rFonts w:hint="eastAsia" w:ascii="黑体" w:hAnsi="Times New Roman" w:eastAsia="黑体" w:cs="黑体"/>
          <w:b/>
          <w:bCs/>
          <w:sz w:val="20"/>
          <w:szCs w:val="20"/>
        </w:rPr>
        <w:t>）</w:t>
      </w:r>
    </w:p>
    <w:p>
      <w:pPr>
        <w:spacing w:line="300" w:lineRule="exact"/>
        <w:ind w:right="-792" w:rightChars="-330"/>
        <w:jc w:val="center"/>
        <w:rPr>
          <w:rFonts w:ascii="黑体" w:hAnsi="Times New Roman" w:eastAsia="黑体" w:cs="黑体"/>
          <w:b/>
          <w:bCs/>
          <w:sz w:val="20"/>
          <w:szCs w:val="20"/>
        </w:rPr>
      </w:pPr>
    </w:p>
    <w:p>
      <w:pPr>
        <w:spacing w:line="300" w:lineRule="exact"/>
        <w:ind w:right="-792" w:rightChars="-330"/>
      </w:pPr>
      <w:r>
        <w:rPr>
          <w:rFonts w:ascii="黑体" w:hAnsi="Times New Roman" w:eastAsia="黑体"/>
          <w:b/>
          <w:bCs/>
          <w:sz w:val="20"/>
          <w:szCs w:val="20"/>
        </w:rPr>
        <w:t> </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《信银理财理财产品投资协议书》、</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sz w:val="20"/>
          <w:szCs w:val="20"/>
        </w:rPr>
        <w:t>代销机构</w:t>
      </w:r>
      <w:r>
        <w:rPr>
          <w:rFonts w:hint="eastAsia" w:ascii="黑体" w:hAnsi="Times New Roman" w:eastAsia="黑体" w:cs="黑体"/>
          <w:sz w:val="20"/>
          <w:szCs w:val="20"/>
        </w:rPr>
        <w:t>各营业场所或营业网点咨询。</w:t>
      </w:r>
    </w:p>
    <w:p>
      <w:pPr>
        <w:snapToGrid w:val="0"/>
        <w:spacing w:line="300" w:lineRule="exact"/>
        <w:ind w:right="53" w:rightChars="22" w:firstLine="400" w:firstLineChars="200"/>
        <w:jc w:val="both"/>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0" w:firstLineChars="200"/>
        <w:jc w:val="both"/>
      </w:pPr>
      <w:r>
        <w:rPr>
          <w:rFonts w:ascii="黑体" w:hAnsi="Times New Roman" w:eastAsia="黑体" w:cs="黑体"/>
          <w:sz w:val="20"/>
          <w:szCs w:val="20"/>
        </w:rPr>
        <w:t>5.</w:t>
      </w:r>
      <w:r>
        <w:rPr>
          <w:rFonts w:hint="eastAsia" w:ascii="黑体" w:hAnsi="Times New Roman" w:eastAsia="黑体" w:cs="黑体"/>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1.信用风险：本产品收益来源于产品项下投资</w:t>
      </w:r>
      <w:r>
        <w:rPr>
          <w:rFonts w:hint="eastAsia" w:ascii="黑体" w:hAnsi="Times New Roman" w:eastAsia="黑体" w:cs="黑体"/>
          <w:b/>
          <w:sz w:val="20"/>
          <w:szCs w:val="20"/>
        </w:rPr>
        <w:t>对象</w:t>
      </w:r>
      <w:r>
        <w:rPr>
          <w:rFonts w:ascii="黑体" w:hAnsi="Times New Roman" w:eastAsia="黑体" w:cs="黑体"/>
          <w:b/>
          <w:sz w:val="20"/>
          <w:szCs w:val="20"/>
        </w:rPr>
        <w:t>的回报。如果投资</w:t>
      </w:r>
      <w:r>
        <w:rPr>
          <w:rFonts w:hint="eastAsia" w:ascii="黑体" w:hAnsi="Times New Roman" w:eastAsia="黑体" w:cs="黑体"/>
          <w:b/>
          <w:sz w:val="20"/>
          <w:szCs w:val="20"/>
        </w:rPr>
        <w:t>对象</w:t>
      </w:r>
      <w:r>
        <w:rPr>
          <w:rFonts w:ascii="黑体" w:hAnsi="Times New Roman" w:eastAsia="黑体" w:cs="黑体"/>
          <w:b/>
          <w:sz w:val="20"/>
          <w:szCs w:val="20"/>
        </w:rPr>
        <w:t>发生信用违约事件，在此情况下，本产品收益将根据基于其偿还比率测算出的投资资产价格予以确定，同时，本产品将保留向发生违约事件的发行主体或</w:t>
      </w:r>
      <w:r>
        <w:rPr>
          <w:rFonts w:hint="eastAsia" w:ascii="黑体" w:hAnsi="Times New Roman" w:eastAsia="黑体" w:cs="黑体"/>
          <w:b/>
          <w:sz w:val="20"/>
          <w:szCs w:val="20"/>
        </w:rPr>
        <w:t>融资</w:t>
      </w:r>
      <w:r>
        <w:rPr>
          <w:rFonts w:ascii="黑体" w:hAnsi="Times New Roman" w:eastAsia="黑体" w:cs="黑体"/>
          <w:b/>
          <w:sz w:val="20"/>
          <w:szCs w:val="20"/>
        </w:rPr>
        <w:t>主体的追索权利</w:t>
      </w:r>
      <w:r>
        <w:rPr>
          <w:rFonts w:hint="eastAsia" w:ascii="黑体" w:hAnsi="Times New Roman" w:eastAsia="黑体" w:cs="黑体"/>
          <w:b/>
          <w:sz w:val="20"/>
          <w:szCs w:val="20"/>
        </w:rPr>
        <w:t>，信银理财</w:t>
      </w:r>
      <w:r>
        <w:rPr>
          <w:rFonts w:ascii="黑体" w:hAnsi="Times New Roman" w:eastAsia="黑体" w:cs="黑体"/>
          <w:b/>
          <w:sz w:val="20"/>
          <w:szCs w:val="20"/>
        </w:rPr>
        <w:t>有权以产品管理人名义代表投资者利益行使诉讼权利</w:t>
      </w:r>
      <w:r>
        <w:rPr>
          <w:rFonts w:hint="eastAsia" w:ascii="黑体" w:hAnsi="Times New Roman" w:eastAsia="黑体" w:cs="黑体"/>
          <w:b/>
          <w:sz w:val="20"/>
          <w:szCs w:val="20"/>
        </w:rPr>
        <w:t>或</w:t>
      </w:r>
      <w:r>
        <w:rPr>
          <w:rFonts w:ascii="黑体" w:hAnsi="Times New Roman" w:eastAsia="黑体" w:cs="黑体"/>
          <w:b/>
          <w:sz w:val="20"/>
          <w:szCs w:val="20"/>
        </w:rPr>
        <w:t>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2.市场风险：由于金融市场存在波动性，投资者投资本产品将承担一定投资资产市值下跌的市场风险</w:t>
      </w:r>
      <w:r>
        <w:rPr>
          <w:rFonts w:hint="eastAsia" w:ascii="黑体" w:hAnsi="Times New Roman" w:eastAsia="黑体" w:cs="黑体"/>
          <w:b/>
          <w:sz w:val="20"/>
          <w:szCs w:val="20"/>
        </w:rPr>
        <w:t>，</w:t>
      </w:r>
      <w:r>
        <w:rPr>
          <w:rFonts w:ascii="黑体" w:hAnsi="Times New Roman" w:eastAsia="黑体" w:cs="黑体"/>
          <w:b/>
          <w:sz w:val="20"/>
          <w:szCs w:val="20"/>
        </w:rPr>
        <w:t>包括但不限于投资债券面临的利率变化及债券价格波动带来的风险，投资股票面临的股票价格波动带来的风险，投资</w:t>
      </w:r>
      <w:r>
        <w:rPr>
          <w:rFonts w:hint="eastAsia" w:ascii="黑体" w:hAnsi="Times New Roman" w:eastAsia="黑体" w:cs="黑体"/>
          <w:b/>
          <w:sz w:val="20"/>
          <w:szCs w:val="20"/>
        </w:rPr>
        <w:t>商品</w:t>
      </w:r>
      <w:r>
        <w:rPr>
          <w:rFonts w:ascii="黑体" w:hAnsi="Times New Roman" w:eastAsia="黑体" w:cs="黑体"/>
          <w:b/>
          <w:sz w:val="20"/>
          <w:szCs w:val="20"/>
        </w:rPr>
        <w:t>及金融衍生品面临的持仓风险等</w:t>
      </w:r>
      <w:r>
        <w:rPr>
          <w:rFonts w:hint="eastAsia" w:ascii="黑体" w:hAnsi="Times New Roman" w:eastAsia="黑体" w:cs="黑体"/>
          <w:b/>
          <w:sz w:val="20"/>
          <w:szCs w:val="20"/>
        </w:rPr>
        <w:t>。</w:t>
      </w:r>
      <w:r>
        <w:rPr>
          <w:rFonts w:ascii="黑体" w:hAnsi="Times New Roman" w:eastAsia="黑体" w:cs="黑体"/>
          <w:b/>
          <w:sz w:val="20"/>
          <w:szCs w:val="20"/>
        </w:rPr>
        <w:t>产品投资涉及外币</w:t>
      </w:r>
      <w:r>
        <w:rPr>
          <w:rFonts w:hint="eastAsia" w:ascii="黑体" w:hAnsi="Times New Roman" w:eastAsia="黑体" w:cs="黑体"/>
          <w:b/>
          <w:sz w:val="20"/>
          <w:szCs w:val="20"/>
        </w:rPr>
        <w:t>资产</w:t>
      </w:r>
      <w:r>
        <w:rPr>
          <w:rFonts w:ascii="黑体" w:hAnsi="Times New Roman" w:eastAsia="黑体" w:cs="黑体"/>
          <w:b/>
          <w:sz w:val="20"/>
          <w:szCs w:val="20"/>
        </w:rPr>
        <w:t>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3.流动性风险：投资者不能随时提前终止本产品，</w:t>
      </w:r>
      <w:r>
        <w:rPr>
          <w:rFonts w:hint="eastAsia" w:ascii="黑体" w:hAnsi="Times New Roman" w:eastAsia="黑体" w:cs="黑体"/>
          <w:b/>
          <w:sz w:val="20"/>
          <w:szCs w:val="20"/>
        </w:rPr>
        <w:t>在</w:t>
      </w:r>
      <w:r>
        <w:rPr>
          <w:rFonts w:ascii="黑体" w:hAnsi="Times New Roman" w:eastAsia="黑体" w:cs="黑体"/>
          <w:b/>
          <w:sz w:val="20"/>
          <w:szCs w:val="20"/>
        </w:rPr>
        <w:t>本产品存续期内</w:t>
      </w:r>
      <w:r>
        <w:rPr>
          <w:rFonts w:hint="eastAsia" w:ascii="黑体" w:hAnsi="Times New Roman" w:eastAsia="黑体" w:cs="黑体"/>
          <w:b/>
          <w:sz w:val="20"/>
          <w:szCs w:val="20"/>
        </w:rPr>
        <w:t>的</w:t>
      </w:r>
      <w:r>
        <w:rPr>
          <w:rFonts w:ascii="黑体" w:hAnsi="Times New Roman" w:eastAsia="黑体" w:cs="黑体"/>
          <w:b/>
          <w:sz w:val="20"/>
          <w:szCs w:val="20"/>
        </w:rPr>
        <w:t>非开放日</w:t>
      </w:r>
      <w:r>
        <w:rPr>
          <w:rFonts w:hint="eastAsia" w:ascii="黑体" w:hAnsi="Times New Roman" w:eastAsia="黑体" w:cs="黑体"/>
          <w:b/>
          <w:sz w:val="20"/>
          <w:szCs w:val="20"/>
        </w:rPr>
        <w:t>，</w:t>
      </w:r>
      <w:r>
        <w:rPr>
          <w:rFonts w:ascii="黑体" w:hAnsi="Times New Roman" w:eastAsia="黑体" w:cs="黑体"/>
          <w:b/>
          <w:sz w:val="20"/>
          <w:szCs w:val="20"/>
        </w:rPr>
        <w:t>投资者不得赎回，</w:t>
      </w:r>
      <w:r>
        <w:rPr>
          <w:rFonts w:hint="eastAsia" w:ascii="黑体" w:hAnsi="Times New Roman" w:eastAsia="黑体" w:cs="黑体"/>
          <w:b/>
          <w:sz w:val="20"/>
          <w:szCs w:val="20"/>
        </w:rPr>
        <w:t>在</w:t>
      </w:r>
      <w:r>
        <w:rPr>
          <w:rFonts w:ascii="黑体" w:hAnsi="Times New Roman" w:eastAsia="黑体" w:cs="黑体"/>
          <w:b/>
          <w:sz w:val="20"/>
          <w:szCs w:val="20"/>
        </w:rPr>
        <w:t>开放日，可能因达到本说明书中约定的限制赎回情况，导致投资者在需要资金时</w:t>
      </w:r>
      <w:r>
        <w:rPr>
          <w:rFonts w:hint="eastAsia" w:ascii="黑体" w:hAnsi="Times New Roman" w:eastAsia="黑体" w:cs="黑体"/>
          <w:b/>
          <w:sz w:val="20"/>
          <w:szCs w:val="20"/>
        </w:rPr>
        <w:t>无法</w:t>
      </w:r>
      <w:r>
        <w:rPr>
          <w:rFonts w:ascii="黑体" w:hAnsi="Times New Roman" w:eastAsia="黑体" w:cs="黑体"/>
          <w:b/>
          <w:sz w:val="20"/>
          <w:szCs w:val="20"/>
        </w:rPr>
        <w:t>随时变现</w:t>
      </w:r>
      <w:r>
        <w:rPr>
          <w:rFonts w:hint="eastAsia" w:ascii="黑体" w:hAnsi="Times New Roman" w:eastAsia="黑体" w:cs="黑体"/>
          <w:b/>
          <w:sz w:val="20"/>
          <w:szCs w:val="20"/>
        </w:rPr>
        <w:t>，并可能导致客户丧失其他投资机会。本产品</w:t>
      </w:r>
      <w:r>
        <w:rPr>
          <w:rFonts w:ascii="黑体" w:hAnsi="Times New Roman" w:eastAsia="黑体" w:cs="黑体"/>
          <w:b/>
          <w:sz w:val="20"/>
          <w:szCs w:val="20"/>
        </w:rPr>
        <w:t>投资资产的流动性风险情况为：</w:t>
      </w:r>
      <w:r>
        <w:rPr>
          <w:rFonts w:hint="eastAsia" w:ascii="黑体" w:hAnsi="Times New Roman" w:eastAsia="黑体" w:cs="黑体"/>
          <w:b/>
          <w:sz w:val="20"/>
          <w:szCs w:val="20"/>
        </w:rPr>
        <w:t>【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r>
        <w:rPr>
          <w:rFonts w:ascii="黑体" w:hAnsi="Times New Roman" w:eastAsia="黑体" w:cs="黑体"/>
          <w:b/>
          <w:sz w:val="20"/>
          <w:szCs w:val="20"/>
        </w:rPr>
        <w:t>】</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为应对流动性</w:t>
      </w:r>
      <w:r>
        <w:rPr>
          <w:rFonts w:ascii="黑体" w:hAnsi="Times New Roman" w:eastAsia="黑体" w:cs="黑体"/>
          <w:b/>
          <w:sz w:val="20"/>
          <w:szCs w:val="20"/>
        </w:rPr>
        <w:t>风险，保护投资者利益，</w:t>
      </w:r>
      <w:r>
        <w:rPr>
          <w:rFonts w:hint="eastAsia" w:ascii="黑体" w:hAnsi="Times New Roman" w:eastAsia="黑体" w:cs="黑体"/>
          <w:b/>
          <w:sz w:val="20"/>
          <w:szCs w:val="20"/>
        </w:rPr>
        <w:t>管理人可以综合运用以下理财产品流动性风险应对措施：（a）认购风险应对措施，包括：设定单一投资者认购金额上限、设定理财产品单日净认购比例上限、拒绝大额认购、暂停认购，以及银保监会规定的其他措施。（b）赎回风险应对措施，包括：设置赎回上限、延期办理巨额赎回申请、暂停接受赎回申请、延缓支付赎回款项、收取短期赎回费、暂停理财产品估值、摆动定价，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5.政策风险：本产品是根据当前的相关法律法规和</w:t>
      </w:r>
      <w:r>
        <w:rPr>
          <w:rFonts w:hint="eastAsia" w:ascii="黑体" w:hAnsi="Times New Roman" w:eastAsia="黑体" w:cs="黑体"/>
          <w:b/>
          <w:sz w:val="20"/>
          <w:szCs w:val="20"/>
        </w:rPr>
        <w:t>国家</w:t>
      </w:r>
      <w:r>
        <w:rPr>
          <w:rFonts w:ascii="黑体" w:hAnsi="Times New Roman" w:eastAsia="黑体" w:cs="黑体"/>
          <w:b/>
          <w:sz w:val="20"/>
          <w:szCs w:val="20"/>
        </w:rPr>
        <w:t>政策设计的，如国家政策以及相关法律法规等发生变化，可能影响本产品的投资、</w:t>
      </w:r>
      <w:r>
        <w:rPr>
          <w:rFonts w:hint="eastAsia" w:ascii="黑体" w:hAnsi="Times New Roman" w:eastAsia="黑体" w:cs="黑体"/>
          <w:b/>
          <w:sz w:val="20"/>
          <w:szCs w:val="20"/>
        </w:rPr>
        <w:t>兑付</w:t>
      </w:r>
      <w:r>
        <w:rPr>
          <w:rFonts w:ascii="黑体" w:hAnsi="Times New Roman" w:eastAsia="黑体" w:cs="黑体"/>
          <w:b/>
          <w:sz w:val="20"/>
          <w:szCs w:val="20"/>
        </w:rPr>
        <w:t>等环节的正常进行，从而可能对本产品造成重大影响，导致投资收益降低或</w:t>
      </w:r>
      <w:r>
        <w:rPr>
          <w:rFonts w:hint="eastAsia" w:ascii="黑体" w:hAnsi="Times New Roman" w:eastAsia="黑体" w:cs="黑体"/>
          <w:b/>
          <w:sz w:val="20"/>
          <w:szCs w:val="20"/>
        </w:rPr>
        <w:t>无法取得任何收益</w:t>
      </w:r>
      <w:r>
        <w:rPr>
          <w:rFonts w:ascii="黑体" w:hAnsi="Times New Roman" w:eastAsia="黑体" w:cs="黑体"/>
          <w:b/>
          <w:sz w:val="20"/>
          <w:szCs w:val="20"/>
        </w:rPr>
        <w:t>，甚至导致投资</w:t>
      </w:r>
      <w:r>
        <w:rPr>
          <w:rFonts w:hint="eastAsia" w:ascii="黑体" w:hAnsi="Times New Roman" w:eastAsia="黑体" w:cs="黑体"/>
          <w:b/>
          <w:sz w:val="20"/>
          <w:szCs w:val="20"/>
        </w:rPr>
        <w:t>本金</w:t>
      </w:r>
      <w:r>
        <w:rPr>
          <w:rFonts w:ascii="黑体" w:hAnsi="Times New Roman" w:eastAsia="黑体" w:cs="黑体"/>
          <w:b/>
          <w:sz w:val="20"/>
          <w:szCs w:val="20"/>
        </w:rPr>
        <w:t>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w:t>
      </w:r>
      <w:r>
        <w:rPr>
          <w:rFonts w:ascii="黑体" w:hAnsi="Times New Roman" w:eastAsia="黑体"/>
          <w:b/>
          <w:sz w:val="20"/>
          <w:szCs w:val="20"/>
        </w:rPr>
        <w:t>约定的</w:t>
      </w:r>
      <w:r>
        <w:rPr>
          <w:rFonts w:hint="eastAsia" w:ascii="黑体" w:hAnsi="Times New Roman" w:eastAsia="黑体"/>
          <w:b/>
          <w:sz w:val="20"/>
          <w:szCs w:val="20"/>
        </w:rPr>
        <w:t>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7.管理风险：</w:t>
      </w:r>
      <w:r>
        <w:rPr>
          <w:rFonts w:hint="eastAsia" w:ascii="黑体" w:hAnsi="Times New Roman" w:eastAsia="黑体" w:cs="黑体"/>
          <w:b/>
          <w:sz w:val="20"/>
          <w:szCs w:val="20"/>
        </w:rPr>
        <w:t>由于产品管理人、</w:t>
      </w:r>
      <w:r>
        <w:rPr>
          <w:rFonts w:ascii="黑体" w:hAnsi="Times New Roman" w:eastAsia="黑体" w:cs="黑体"/>
          <w:b/>
          <w:sz w:val="20"/>
          <w:szCs w:val="20"/>
        </w:rPr>
        <w:t>所投资资管产品的受托人</w:t>
      </w:r>
      <w:r>
        <w:rPr>
          <w:rFonts w:hint="eastAsia" w:ascii="黑体" w:hAnsi="Times New Roman" w:eastAsia="黑体" w:cs="黑体"/>
          <w:b/>
          <w:sz w:val="20"/>
          <w:szCs w:val="20"/>
        </w:rPr>
        <w:t>/管理人</w:t>
      </w:r>
      <w:r>
        <w:rPr>
          <w:rFonts w:ascii="黑体" w:hAnsi="Times New Roman" w:eastAsia="黑体" w:cs="黑体"/>
          <w:b/>
          <w:sz w:val="20"/>
          <w:szCs w:val="20"/>
        </w:rPr>
        <w:t>、投资顾问等</w:t>
      </w:r>
      <w:r>
        <w:rPr>
          <w:rFonts w:hint="eastAsia" w:ascii="黑体" w:hAnsi="Times New Roman" w:eastAsia="黑体" w:cs="黑体"/>
          <w:b/>
          <w:sz w:val="20"/>
          <w:szCs w:val="20"/>
        </w:rPr>
        <w:t>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w:t>
      </w:r>
      <w:r>
        <w:rPr>
          <w:rFonts w:hint="eastAsia" w:ascii="黑体" w:eastAsia="黑体"/>
          <w:b/>
          <w:sz w:val="20"/>
          <w:szCs w:val="20"/>
        </w:rPr>
        <w:t>信银理财</w:t>
      </w:r>
      <w:r>
        <w:rPr>
          <w:rFonts w:ascii="黑体" w:eastAsia="黑体"/>
          <w:b/>
          <w:sz w:val="20"/>
          <w:szCs w:val="20"/>
        </w:rPr>
        <w:t>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10.不可抗力</w:t>
      </w:r>
      <w:r>
        <w:rPr>
          <w:rFonts w:hint="eastAsia" w:ascii="黑体" w:hAnsi="Times New Roman" w:eastAsia="黑体" w:cs="黑体"/>
          <w:b/>
          <w:sz w:val="20"/>
          <w:szCs w:val="20"/>
        </w:rPr>
        <w:t>及</w:t>
      </w:r>
      <w:r>
        <w:rPr>
          <w:rFonts w:ascii="黑体" w:hAnsi="Times New Roman" w:eastAsia="黑体" w:cs="黑体"/>
          <w:b/>
          <w:sz w:val="20"/>
          <w:szCs w:val="20"/>
        </w:rPr>
        <w:t>意外事件风险：由于自然灾害、战争等不可抗力因素的出现</w:t>
      </w:r>
      <w:r>
        <w:rPr>
          <w:rFonts w:hint="eastAsia" w:ascii="黑体" w:hAnsi="Times New Roman" w:eastAsia="黑体" w:cs="黑体"/>
          <w:b/>
          <w:sz w:val="20"/>
          <w:szCs w:val="20"/>
        </w:rPr>
        <w:t>或系统故障、通讯故障、投资市场停止交易、</w:t>
      </w:r>
      <w:r>
        <w:rPr>
          <w:rFonts w:ascii="黑体" w:hAnsi="Times New Roman" w:eastAsia="黑体" w:cs="黑体"/>
          <w:b/>
          <w:sz w:val="20"/>
          <w:szCs w:val="20"/>
        </w:rPr>
        <w:t>金融市场危机</w:t>
      </w:r>
      <w:r>
        <w:rPr>
          <w:rFonts w:hint="eastAsia" w:ascii="黑体" w:hAnsi="Times New Roman" w:eastAsia="黑体" w:cs="黑体"/>
          <w:b/>
          <w:sz w:val="20"/>
          <w:szCs w:val="20"/>
        </w:rPr>
        <w:t>等意外事件的出现</w:t>
      </w:r>
      <w:r>
        <w:rPr>
          <w:rFonts w:ascii="黑体" w:hAnsi="Times New Roman" w:eastAsia="黑体" w:cs="黑体"/>
          <w:b/>
          <w:sz w:val="20"/>
          <w:szCs w:val="20"/>
        </w:rPr>
        <w:t>，将严重影响金融市场的正常运行，从而导致本产品投资收益降低或损失，甚至影响本产品的</w:t>
      </w:r>
      <w:r>
        <w:rPr>
          <w:rFonts w:hint="eastAsia" w:ascii="黑体" w:hAnsi="Times New Roman" w:eastAsia="黑体" w:cs="黑体"/>
          <w:b/>
          <w:sz w:val="20"/>
          <w:szCs w:val="20"/>
        </w:rPr>
        <w:t>成立</w:t>
      </w:r>
      <w:r>
        <w:rPr>
          <w:rFonts w:ascii="黑体" w:hAnsi="Times New Roman" w:eastAsia="黑体" w:cs="黑体"/>
          <w:b/>
          <w:sz w:val="20"/>
          <w:szCs w:val="20"/>
        </w:rPr>
        <w:t>、受理、投资、</w:t>
      </w:r>
      <w:r>
        <w:rPr>
          <w:rFonts w:hint="eastAsia" w:ascii="黑体" w:hAnsi="Times New Roman" w:eastAsia="黑体" w:cs="黑体"/>
          <w:b/>
          <w:sz w:val="20"/>
          <w:szCs w:val="20"/>
        </w:rPr>
        <w:t>兑付</w:t>
      </w:r>
      <w:r>
        <w:rPr>
          <w:rFonts w:ascii="黑体" w:hAnsi="Times New Roman" w:eastAsia="黑体" w:cs="黑体"/>
          <w:b/>
          <w:sz w:val="20"/>
          <w:szCs w:val="20"/>
        </w:rPr>
        <w:t>、信息披露等的正常进行，进而影响本产品的资金安全。</w:t>
      </w:r>
      <w:r>
        <w:rPr>
          <w:rFonts w:hint="eastAsia" w:ascii="黑体" w:hAnsi="Times New Roman" w:eastAsia="黑体" w:cs="黑体"/>
          <w:b/>
          <w:sz w:val="20"/>
          <w:szCs w:val="20"/>
        </w:rPr>
        <w:t>投资者将面临本金和收益遭受损失的风险。对于由不可抗力及意外事件风险导致的任何损失，投资者须自行承担，信银理财对此不承担任何责任，但</w:t>
      </w:r>
      <w:r>
        <w:rPr>
          <w:rFonts w:ascii="黑体" w:hAnsi="Times New Roman" w:eastAsia="黑体" w:cs="黑体"/>
          <w:b/>
          <w:sz w:val="20"/>
          <w:szCs w:val="20"/>
        </w:rPr>
        <w:t>因信银理财故意或重大过失造成的</w:t>
      </w:r>
      <w:r>
        <w:rPr>
          <w:rFonts w:hint="eastAsia" w:ascii="黑体" w:hAnsi="Times New Roman" w:eastAsia="黑体" w:cs="黑体"/>
          <w:b/>
          <w:sz w:val="20"/>
          <w:szCs w:val="20"/>
        </w:rPr>
        <w:t>除外</w:t>
      </w:r>
      <w:r>
        <w:rPr>
          <w:rFonts w:ascii="黑体" w:hAnsi="Times New Roman" w:eastAsia="黑体" w:cs="黑体"/>
          <w:b/>
          <w:sz w:val="20"/>
          <w:szCs w:val="20"/>
        </w:rPr>
        <w:t>。</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11.最不利的投资情形：本产品</w:t>
      </w:r>
      <w:r>
        <w:rPr>
          <w:rFonts w:hint="eastAsia" w:ascii="黑体" w:hAnsi="Times New Roman" w:eastAsia="黑体" w:cs="黑体"/>
          <w:b/>
          <w:sz w:val="20"/>
          <w:szCs w:val="20"/>
        </w:rPr>
        <w:t>不保证本金和收益</w:t>
      </w:r>
      <w:r>
        <w:rPr>
          <w:rFonts w:ascii="黑体" w:hAnsi="Times New Roman" w:eastAsia="黑体" w:cs="黑体"/>
          <w:b/>
          <w:sz w:val="20"/>
          <w:szCs w:val="20"/>
        </w:rPr>
        <w:t>，由于</w:t>
      </w:r>
      <w:r>
        <w:rPr>
          <w:rFonts w:hint="eastAsia" w:ascii="黑体" w:hAnsi="Times New Roman" w:eastAsia="黑体" w:cs="黑体"/>
          <w:b/>
          <w:sz w:val="20"/>
          <w:szCs w:val="20"/>
        </w:rPr>
        <w:t>发生</w:t>
      </w:r>
      <w:r>
        <w:rPr>
          <w:rFonts w:ascii="黑体" w:hAnsi="Times New Roman" w:eastAsia="黑体" w:cs="黑体"/>
          <w:b/>
          <w:sz w:val="20"/>
          <w:szCs w:val="20"/>
        </w:rPr>
        <w:t>本产品风险提示的相应风险，包括但不限于市场价格波动导致本产品投资工具贬值，或者投资工具</w:t>
      </w:r>
      <w:r>
        <w:rPr>
          <w:rFonts w:hint="eastAsia" w:ascii="黑体" w:hAnsi="Times New Roman" w:eastAsia="黑体" w:cs="黑体"/>
          <w:b/>
          <w:sz w:val="20"/>
          <w:szCs w:val="20"/>
        </w:rPr>
        <w:t>发生</w:t>
      </w:r>
      <w:r>
        <w:rPr>
          <w:rFonts w:ascii="黑体" w:hAnsi="Times New Roman" w:eastAsia="黑体" w:cs="黑体"/>
          <w:b/>
          <w:sz w:val="20"/>
          <w:szCs w:val="20"/>
        </w:rPr>
        <w:t xml:space="preserve">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w:t>
      </w:r>
      <w:r>
        <w:rPr>
          <w:rFonts w:hint="eastAsia" w:ascii="黑体" w:hAnsi="黑体" w:eastAsia="黑体"/>
          <w:b/>
          <w:sz w:val="20"/>
          <w:szCs w:val="20"/>
        </w:rPr>
        <w:t>/申购</w:t>
      </w:r>
      <w:r>
        <w:rPr>
          <w:rFonts w:ascii="黑体" w:hAnsi="黑体" w:eastAsia="黑体"/>
          <w:b/>
          <w:sz w:val="20"/>
          <w:szCs w:val="20"/>
        </w:rPr>
        <w:t>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w:t>
      </w:r>
      <w:r>
        <w:rPr>
          <w:rFonts w:hint="eastAsia" w:ascii="黑体" w:hAnsi="黑体" w:eastAsia="黑体"/>
          <w:b/>
          <w:sz w:val="20"/>
          <w:szCs w:val="20"/>
        </w:rPr>
        <w:t>/申购</w:t>
      </w:r>
      <w:r>
        <w:rPr>
          <w:rFonts w:ascii="黑体" w:hAnsi="黑体" w:eastAsia="黑体"/>
          <w:b/>
          <w:sz w:val="20"/>
          <w:szCs w:val="20"/>
        </w:rPr>
        <w:t>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w:t>
      </w:r>
      <w:r>
        <w:rPr>
          <w:rFonts w:ascii="黑体" w:hAnsi="黑体" w:eastAsia="黑体"/>
          <w:b/>
          <w:sz w:val="20"/>
          <w:szCs w:val="20"/>
        </w:rPr>
        <w:t>将投资者认购</w:t>
      </w:r>
      <w:r>
        <w:rPr>
          <w:rFonts w:hint="eastAsia" w:ascii="黑体" w:hAnsi="黑体" w:eastAsia="黑体"/>
          <w:b/>
          <w:sz w:val="20"/>
          <w:szCs w:val="20"/>
        </w:rPr>
        <w:t>/申购</w:t>
      </w:r>
      <w:r>
        <w:rPr>
          <w:rFonts w:ascii="黑体" w:hAnsi="黑体" w:eastAsia="黑体"/>
          <w:b/>
          <w:sz w:val="20"/>
          <w:szCs w:val="20"/>
        </w:rPr>
        <w:t>资金划转至信银理财，将导致投资者无法完成认购</w:t>
      </w:r>
      <w:r>
        <w:rPr>
          <w:rFonts w:hint="eastAsia" w:ascii="黑体" w:hAnsi="黑体" w:eastAsia="黑体"/>
          <w:b/>
          <w:sz w:val="20"/>
          <w:szCs w:val="20"/>
        </w:rPr>
        <w:t>/申购</w:t>
      </w:r>
      <w:r>
        <w:rPr>
          <w:rFonts w:ascii="黑体" w:hAnsi="黑体" w:eastAsia="黑体"/>
          <w:b/>
          <w:sz w:val="20"/>
          <w:szCs w:val="20"/>
        </w:rPr>
        <w:t>，因此造成的损失</w:t>
      </w:r>
      <w:r>
        <w:rPr>
          <w:rFonts w:hint="eastAsia" w:ascii="黑体" w:hAnsi="黑体" w:eastAsia="黑体"/>
          <w:b/>
          <w:sz w:val="20"/>
          <w:szCs w:val="20"/>
        </w:rPr>
        <w:t>信银理财</w:t>
      </w:r>
      <w:r>
        <w:rPr>
          <w:rFonts w:ascii="黑体" w:hAnsi="黑体" w:eastAsia="黑体"/>
          <w:b/>
          <w:sz w:val="20"/>
          <w:szCs w:val="20"/>
        </w:rPr>
        <w:t>不承担责任；在赎回和到期时，</w:t>
      </w:r>
      <w:r>
        <w:rPr>
          <w:rFonts w:hint="eastAsia" w:ascii="黑体" w:hAnsi="黑体" w:eastAsia="黑体"/>
          <w:b/>
          <w:sz w:val="20"/>
          <w:szCs w:val="20"/>
        </w:rPr>
        <w:t>信银理财</w:t>
      </w:r>
      <w:r>
        <w:rPr>
          <w:rFonts w:ascii="黑体" w:hAnsi="黑体" w:eastAsia="黑体"/>
          <w:b/>
          <w:sz w:val="20"/>
          <w:szCs w:val="20"/>
        </w:rPr>
        <w:t>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损失信银理财</w:t>
      </w:r>
      <w:r>
        <w:rPr>
          <w:rFonts w:ascii="黑体" w:hAnsi="黑体" w:eastAsia="黑体"/>
          <w:b/>
          <w:sz w:val="20"/>
          <w:szCs w:val="20"/>
        </w:rPr>
        <w:t>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b/>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napToGrid w:val="0"/>
        <w:ind w:right="53" w:rightChars="22"/>
        <w:rPr>
          <w:rFonts w:ascii="黑体" w:hAnsi="Times New Roman" w:eastAsia="黑体" w:cs="黑体"/>
          <w:b/>
          <w:bCs/>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释义与定义：</w:t>
      </w:r>
    </w:p>
    <w:p>
      <w:p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w:t>
      </w:r>
      <w:r>
        <w:rPr>
          <w:rFonts w:ascii="黑体" w:hAnsi="黑体" w:eastAsia="黑体"/>
          <w:sz w:val="20"/>
          <w:szCs w:val="20"/>
        </w:rPr>
        <w:t>资产：资产净值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spacing w:line="300" w:lineRule="exact"/>
        <w:ind w:left="-2" w:leftChars="-1" w:right="53" w:rightChars="22" w:firstLine="400" w:firstLineChars="200"/>
        <w:jc w:val="both"/>
        <w:rPr>
          <w:rFonts w:ascii="黑体" w:hAnsi="Times New Roman"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r>
        <w:rPr>
          <w:rFonts w:ascii="黑体" w:hAnsi="Times New Roman" w:eastAsia="黑体"/>
          <w:sz w:val="20"/>
          <w:szCs w:val="20"/>
        </w:rPr>
        <w:t> </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w:t>
      </w:r>
      <w:r>
        <w:rPr>
          <w:rFonts w:ascii="黑体" w:hAnsi="黑体" w:eastAsia="黑体"/>
          <w:sz w:val="20"/>
          <w:szCs w:val="20"/>
        </w:rPr>
        <w:t>认购费</w:t>
      </w:r>
      <w:r>
        <w:rPr>
          <w:rFonts w:hint="eastAsia" w:ascii="黑体" w:hAnsi="黑体" w:eastAsia="黑体"/>
          <w:sz w:val="20"/>
          <w:szCs w:val="20"/>
        </w:rPr>
        <w:t>/申购费</w:t>
      </w:r>
      <w:r>
        <w:rPr>
          <w:rFonts w:ascii="黑体" w:hAnsi="黑体" w:eastAsia="黑体"/>
          <w:sz w:val="20"/>
          <w:szCs w:val="20"/>
        </w:rPr>
        <w:t>后即投资者的投资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6"/>
        <w:numPr>
          <w:ilvl w:val="255"/>
          <w:numId w:val="0"/>
        </w:numPr>
        <w:spacing w:line="300" w:lineRule="exact"/>
        <w:ind w:right="36"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14.</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6"/>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255"/>
          <w:numId w:val="0"/>
        </w:numPr>
        <w:spacing w:line="300" w:lineRule="exact"/>
        <w:ind w:right="36" w:firstLine="400" w:firstLineChars="200"/>
        <w:jc w:val="both"/>
        <w:rPr>
          <w:rFonts w:ascii="黑体" w:hAnsi="黑体" w:eastAsia="黑体"/>
          <w:sz w:val="20"/>
          <w:szCs w:val="20"/>
        </w:rPr>
      </w:pPr>
      <w:r>
        <w:rPr>
          <w:rFonts w:ascii="黑体" w:hAnsi="黑体" w:eastAsia="黑体"/>
          <w:sz w:val="20"/>
          <w:szCs w:val="20"/>
        </w:rPr>
        <w:t>16.</w:t>
      </w:r>
      <w:r>
        <w:rPr>
          <w:rFonts w:hint="eastAsia" w:ascii="黑体" w:hAnsi="黑体" w:eastAsia="黑体"/>
          <w:sz w:val="20"/>
          <w:szCs w:val="20"/>
        </w:rPr>
        <w:t>定期开放周期：</w:t>
      </w:r>
      <w:r>
        <w:rPr>
          <w:rFonts w:ascii="黑体" w:hAnsi="黑体" w:eastAsia="黑体"/>
          <w:sz w:val="20"/>
          <w:szCs w:val="20"/>
        </w:rPr>
        <w:t>指定期开放式理财产品</w:t>
      </w:r>
      <w:r>
        <w:rPr>
          <w:rFonts w:hint="eastAsia" w:ascii="黑体" w:hAnsi="黑体" w:eastAsia="黑体"/>
          <w:sz w:val="20"/>
          <w:szCs w:val="20"/>
        </w:rPr>
        <w:t>2个</w:t>
      </w:r>
      <w:r>
        <w:rPr>
          <w:rFonts w:ascii="黑体" w:hAnsi="黑体" w:eastAsia="黑体"/>
          <w:sz w:val="20"/>
          <w:szCs w:val="20"/>
        </w:rPr>
        <w:t>开放期的最短间隔天数。</w:t>
      </w:r>
    </w:p>
    <w:p>
      <w:pPr>
        <w:snapToGrid w:val="0"/>
        <w:ind w:left="-2" w:leftChars="-1" w:right="53" w:rightChars="22" w:firstLine="400" w:firstLineChars="200"/>
        <w:rPr>
          <w:rFonts w:ascii="黑体" w:hAnsi="Times New Roman"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4"/>
        <w:tblW w:w="7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1180" w:type="dxa"/>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4206" w:type="dxa"/>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1180"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2"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1180" w:type="dxa"/>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4206" w:type="dxa"/>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22"/>
        <w:jc w:val="both"/>
      </w:pPr>
    </w:p>
    <w:p>
      <w:pPr>
        <w:snapToGrid w:val="0"/>
        <w:ind w:left="-2" w:leftChars="-1" w:right="53" w:rightChars="22" w:firstLine="400" w:firstLineChars="200"/>
        <w:rPr>
          <w:rFonts w:ascii="黑体" w:hAnsi="Times New Roman" w:eastAsia="黑体" w:cs="黑体"/>
          <w:sz w:val="20"/>
          <w:szCs w:val="20"/>
        </w:rPr>
      </w:pPr>
      <w:r>
        <w:rPr>
          <w:rFonts w:ascii="黑体" w:hAnsi="Times New Roman" w:eastAsia="黑体"/>
          <w:sz w:val="20"/>
          <w:szCs w:val="20"/>
        </w:rPr>
        <w:t> </w:t>
      </w: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1.产品</w:t>
      </w:r>
      <w:r>
        <w:rPr>
          <w:rFonts w:ascii="楷体_GB2312" w:eastAsia="楷体_GB2312"/>
          <w:sz w:val="20"/>
          <w:szCs w:val="20"/>
        </w:rPr>
        <w:t>投资策略：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产品拟通过债券等固收类资产的配置，以票息收入作为实现产品相对稳定收益的基础；拟通过杠杆策略、骑乘策略及波段交易策略等进行产品的收益增厚。</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2.本理财产品存续期间，投资于以下投资对象：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w:t>
      </w:r>
      <w:r>
        <w:rPr>
          <w:rFonts w:ascii="楷体_GB2312" w:eastAsia="楷体_GB2312"/>
          <w:sz w:val="20"/>
          <w:szCs w:val="20"/>
        </w:rPr>
        <w:t>、</w:t>
      </w:r>
      <w:r>
        <w:rPr>
          <w:rFonts w:hint="eastAsia" w:ascii="楷体_GB2312" w:eastAsia="楷体_GB2312"/>
          <w:sz w:val="20"/>
          <w:szCs w:val="20"/>
        </w:rPr>
        <w:t>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4"/>
        <w:tblW w:w="50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5"/>
        <w:gridCol w:w="1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b/>
                <w:bCs/>
                <w:sz w:val="20"/>
                <w:szCs w:val="20"/>
              </w:rPr>
            </w:pPr>
            <w:r>
              <w:rPr>
                <w:rFonts w:hint="eastAsia" w:ascii="楷体" w:hAnsi="楷体" w:eastAsia="楷体"/>
                <w:b/>
                <w:bCs/>
                <w:sz w:val="20"/>
                <w:szCs w:val="20"/>
              </w:rPr>
              <w:t>资产种类</w:t>
            </w:r>
          </w:p>
        </w:tc>
        <w:tc>
          <w:tcPr>
            <w:tcW w:w="1049" w:type="dxa"/>
            <w:vAlign w:val="center"/>
          </w:tcPr>
          <w:p>
            <w:pPr>
              <w:ind w:right="29" w:rightChars="12"/>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sz w:val="20"/>
                <w:szCs w:val="20"/>
              </w:rPr>
            </w:pPr>
            <w:r>
              <w:rPr>
                <w:rFonts w:hint="eastAsia" w:ascii="楷体" w:hAnsi="楷体" w:eastAsia="楷体"/>
                <w:sz w:val="20"/>
                <w:szCs w:val="20"/>
              </w:rPr>
              <w:t>债权类资产</w:t>
            </w:r>
          </w:p>
        </w:tc>
        <w:tc>
          <w:tcPr>
            <w:tcW w:w="1049" w:type="dxa"/>
            <w:vAlign w:val="center"/>
          </w:tcPr>
          <w:p>
            <w:pPr>
              <w:ind w:right="29" w:rightChars="12"/>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1049" w:type="dxa"/>
            <w:vAlign w:val="center"/>
          </w:tcPr>
          <w:p>
            <w:pPr>
              <w:ind w:right="29" w:rightChars="12"/>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sz w:val="20"/>
                <w:szCs w:val="20"/>
              </w:rPr>
            </w:pPr>
            <w:r>
              <w:rPr>
                <w:rFonts w:hint="eastAsia" w:ascii="楷体" w:hAnsi="楷体" w:eastAsia="楷体"/>
                <w:sz w:val="20"/>
                <w:szCs w:val="20"/>
              </w:rPr>
              <w:t>权益类资产</w:t>
            </w:r>
          </w:p>
        </w:tc>
        <w:tc>
          <w:tcPr>
            <w:tcW w:w="1049" w:type="dxa"/>
            <w:vAlign w:val="center"/>
          </w:tcPr>
          <w:p>
            <w:pPr>
              <w:ind w:right="29" w:rightChars="12"/>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1049" w:type="dxa"/>
            <w:vAlign w:val="center"/>
          </w:tcPr>
          <w:p>
            <w:pPr>
              <w:ind w:right="29" w:rightChars="12"/>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045" w:type="dxa"/>
            <w:vAlign w:val="center"/>
          </w:tcPr>
          <w:p>
            <w:pPr>
              <w:ind w:right="29" w:rightChars="12"/>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1049" w:type="dxa"/>
            <w:vAlign w:val="center"/>
          </w:tcPr>
          <w:p>
            <w:pPr>
              <w:ind w:right="29" w:rightChars="12"/>
              <w:jc w:val="center"/>
              <w:rPr>
                <w:rFonts w:ascii="楷体" w:hAnsi="楷体" w:eastAsia="楷体"/>
                <w:sz w:val="20"/>
                <w:szCs w:val="20"/>
              </w:rPr>
            </w:pPr>
            <w:r>
              <w:rPr>
                <w:rFonts w:hint="eastAsia" w:ascii="楷体" w:hAnsi="楷体" w:eastAsia="楷体"/>
                <w:sz w:val="20"/>
                <w:szCs w:val="20"/>
              </w:rPr>
              <w:t>【0%】</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w:t>
      </w:r>
      <w:r>
        <w:rPr>
          <w:rFonts w:hint="eastAsia" w:ascii="Times New Roman" w:hAnsi="Times New Roman" w:eastAsia="楷体_GB2312" w:cs="楷体_GB2312"/>
          <w:sz w:val="20"/>
          <w:szCs w:val="20"/>
        </w:rPr>
        <w:t>等</w:t>
      </w:r>
      <w:r>
        <w:rPr>
          <w:rFonts w:ascii="Times New Roman" w:hAnsi="Times New Roman" w:eastAsia="楷体_GB2312" w:cs="楷体_GB2312"/>
          <w:sz w:val="20"/>
          <w:szCs w:val="20"/>
        </w:rPr>
        <w:t>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以及其他符合国家相关政策、法律法规的投资渠道和方式实现对上述投资品种的投资，且可以由资产名义持有人按公允价格转让本产品所投资的全部或部分投资标的。</w:t>
      </w:r>
    </w:p>
    <w:p>
      <w:pPr>
        <w:spacing w:line="300" w:lineRule="exact"/>
        <w:ind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sz w:val="20"/>
          <w:szCs w:val="20"/>
        </w:rPr>
        <w:t>交易日内调整至符合要求</w:t>
      </w:r>
      <w:r>
        <w:rPr>
          <w:rFonts w:hint="eastAsia" w:ascii="Times New Roman" w:hAnsi="Times New Roman" w:eastAsia="楷体_GB2312"/>
          <w:sz w:val="20"/>
          <w:szCs w:val="20"/>
        </w:rPr>
        <w:t>，</w:t>
      </w:r>
      <w:r>
        <w:rPr>
          <w:rFonts w:ascii="Times New Roman" w:hAnsi="Times New Roman" w:eastAsia="楷体_GB2312"/>
          <w:sz w:val="20"/>
          <w:szCs w:val="20"/>
        </w:rPr>
        <w:t>国务院银行业监督管理机构规定的特殊情形除外</w:t>
      </w:r>
      <w:r>
        <w:rPr>
          <w:rFonts w:hint="eastAsia" w:ascii="Times New Roman" w:hAnsi="Times New Roman" w:eastAsia="楷体_GB2312"/>
          <w:sz w:val="20"/>
          <w:szCs w:val="20"/>
        </w:rPr>
        <w:t>。</w:t>
      </w:r>
    </w:p>
    <w:p>
      <w:pPr>
        <w:spacing w:line="300" w:lineRule="exact"/>
        <w:ind w:right="48" w:rightChars="20"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于</w:t>
      </w:r>
      <w:r>
        <w:rPr>
          <w:rFonts w:ascii="楷体_GB2312" w:eastAsia="楷体_GB2312" w:cs="楷体_GB2312"/>
          <w:sz w:val="20"/>
          <w:szCs w:val="20"/>
        </w:rPr>
        <w:t>最近一期开放日赎回理财产品。</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140%；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产品定期开放周期不低于</w:t>
      </w:r>
      <w:r>
        <w:rPr>
          <w:rFonts w:ascii="Times New Roman" w:hAnsi="Times New Roman" w:eastAsia="楷体_GB2312" w:cs="楷体_GB2312"/>
          <w:sz w:val="20"/>
          <w:szCs w:val="20"/>
        </w:rPr>
        <w:t>90天</w:t>
      </w:r>
      <w:r>
        <w:rPr>
          <w:rFonts w:hint="eastAsia" w:ascii="Times New Roman" w:hAnsi="Times New Roman" w:eastAsia="楷体_GB2312" w:cs="楷体_GB2312"/>
          <w:sz w:val="20"/>
          <w:szCs w:val="20"/>
        </w:rPr>
        <w:t>的</w:t>
      </w:r>
      <w:r>
        <w:rPr>
          <w:rFonts w:ascii="Times New Roman" w:hAnsi="Times New Roman" w:eastAsia="楷体_GB2312" w:cs="楷体_GB2312"/>
          <w:sz w:val="20"/>
          <w:szCs w:val="20"/>
        </w:rPr>
        <w:t>，在开放日及开放日前7个工作日内持有现金或者到期日在一年以内的国债、中央银行票据和政策性金融债券</w:t>
      </w:r>
      <w:r>
        <w:rPr>
          <w:rFonts w:hint="eastAsia" w:ascii="Times New Roman" w:hAnsi="Times New Roman" w:eastAsia="楷体_GB2312" w:cs="楷体_GB2312"/>
          <w:sz w:val="20"/>
          <w:szCs w:val="20"/>
        </w:rPr>
        <w:t>比例应不低于产品净资产的</w:t>
      </w:r>
      <w:r>
        <w:rPr>
          <w:rFonts w:ascii="Times New Roman" w:hAnsi="Times New Roman" w:eastAsia="楷体_GB2312" w:cs="楷体_GB2312"/>
          <w:sz w:val="20"/>
          <w:szCs w:val="20"/>
        </w:rPr>
        <w:t>5%。</w:t>
      </w:r>
      <w:r>
        <w:rPr>
          <w:rFonts w:hint="eastAsia" w:ascii="Times New Roman" w:hAnsi="Times New Roman" w:eastAsia="楷体_GB2312" w:cs="楷体_GB2312"/>
          <w:sz w:val="20"/>
          <w:szCs w:val="20"/>
        </w:rPr>
        <w:t>产品定期</w:t>
      </w:r>
      <w:r>
        <w:rPr>
          <w:rFonts w:ascii="Times New Roman" w:hAnsi="Times New Roman" w:eastAsia="楷体_GB2312" w:cs="楷体_GB2312"/>
          <w:sz w:val="20"/>
          <w:szCs w:val="20"/>
        </w:rPr>
        <w:t>开放周期低于</w:t>
      </w:r>
      <w:r>
        <w:rPr>
          <w:rFonts w:hint="eastAsia" w:ascii="Times New Roman" w:hAnsi="Times New Roman" w:eastAsia="楷体_GB2312" w:cs="楷体_GB2312"/>
          <w:sz w:val="20"/>
          <w:szCs w:val="20"/>
        </w:rPr>
        <w:t>90天</w:t>
      </w:r>
      <w:r>
        <w:rPr>
          <w:rFonts w:ascii="Times New Roman" w:hAnsi="Times New Roman" w:eastAsia="楷体_GB2312" w:cs="楷体_GB2312"/>
          <w:sz w:val="20"/>
          <w:szCs w:val="20"/>
        </w:rPr>
        <w:t>的，</w:t>
      </w:r>
      <w:r>
        <w:rPr>
          <w:rFonts w:hint="eastAsia" w:ascii="Times New Roman" w:hAnsi="Times New Roman" w:eastAsia="楷体_GB2312" w:cs="楷体_GB2312"/>
          <w:sz w:val="20"/>
          <w:szCs w:val="20"/>
        </w:rPr>
        <w:t>应</w:t>
      </w:r>
      <w:r>
        <w:rPr>
          <w:rFonts w:ascii="Times New Roman" w:hAnsi="Times New Roman" w:eastAsia="楷体_GB2312" w:cs="楷体_GB2312"/>
          <w:sz w:val="20"/>
          <w:szCs w:val="20"/>
        </w:rPr>
        <w:t>保证</w:t>
      </w:r>
      <w:r>
        <w:rPr>
          <w:rFonts w:hint="eastAsia" w:ascii="Times New Roman" w:hAnsi="Times New Roman" w:eastAsia="楷体_GB2312" w:cs="楷体_GB2312"/>
          <w:sz w:val="20"/>
          <w:szCs w:val="20"/>
        </w:rPr>
        <w:t>每日日终现金或者到期日在一年以内的国债、中央银行票据和政策性金融债券比例不低于产品净资产的</w:t>
      </w:r>
      <w:r>
        <w:rPr>
          <w:rFonts w:ascii="Times New Roman" w:hAnsi="Times New Roman" w:eastAsia="楷体_GB2312" w:cs="楷体_GB2312"/>
          <w:sz w:val="20"/>
          <w:szCs w:val="20"/>
        </w:rPr>
        <w:t xml:space="preserve">5%; </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（4</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本产品计划投资不得同时出现下述情形：</w:t>
      </w:r>
      <w:r>
        <w:rPr>
          <w:rFonts w:ascii="Times New Roman" w:hAnsi="Times New Roman" w:eastAsia="楷体_GB2312" w:cs="楷体_GB2312"/>
          <w:sz w:val="20"/>
          <w:szCs w:val="20"/>
        </w:rPr>
        <w:t xml:space="preserve"> </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非因管理人主观因素导致突破上述比例限制的，不得新增投资上述资产。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本产品单一投资者持有份额不得超过产品总份额的</w:t>
      </w:r>
      <w:r>
        <w:rPr>
          <w:rFonts w:ascii="Times New Roman" w:hAnsi="Times New Roman" w:eastAsia="楷体_GB2312" w:cs="楷体_GB2312"/>
          <w:sz w:val="20"/>
          <w:szCs w:val="20"/>
        </w:rPr>
        <w:t>50%</w:t>
      </w:r>
      <w:r>
        <w:rPr>
          <w:rFonts w:hint="eastAsia" w:ascii="Times New Roman" w:hAnsi="Times New Roman" w:eastAsia="楷体_GB2312" w:cs="楷体_GB2312"/>
          <w:sz w:val="20"/>
          <w:szCs w:val="20"/>
        </w:rPr>
        <w:t>，非因管理人主观因素导致突破该比例限制的，在单一投资者持有比例降至</w:t>
      </w:r>
      <w:r>
        <w:rPr>
          <w:rFonts w:ascii="Times New Roman" w:hAnsi="Times New Roman" w:eastAsia="楷体_GB2312" w:cs="楷体_GB2312"/>
          <w:sz w:val="20"/>
          <w:szCs w:val="20"/>
        </w:rPr>
        <w:t>50%以下之前，管理人不得再接受该投资者对该理财产品的认购/申购申请。</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（6</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直接投资于流动性受限资产的市值在开放日不得超过产品资产净值的</w:t>
      </w:r>
      <w:r>
        <w:rPr>
          <w:rFonts w:ascii="Times New Roman" w:hAnsi="Times New Roman" w:eastAsia="楷体_GB2312" w:cs="楷体_GB2312"/>
          <w:sz w:val="20"/>
          <w:szCs w:val="20"/>
        </w:rPr>
        <w:t>15%。</w:t>
      </w:r>
      <w:r>
        <w:rPr>
          <w:rFonts w:hint="eastAsia" w:ascii="Times New Roman" w:hAnsi="Times New Roman" w:eastAsia="楷体_GB2312" w:cs="楷体_GB2312"/>
          <w:sz w:val="20"/>
          <w:szCs w:val="20"/>
        </w:rPr>
        <w:t>因证券市场波动、上市公司股票停牌、理财产品规模变动等因素导致理财产品不符合本条规定比例限制的，不得主动新增投资流动性受限资产。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（7</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在开放日前一工作日内，</w:t>
      </w:r>
      <w:r>
        <w:rPr>
          <w:rFonts w:ascii="Times New Roman" w:hAnsi="Times New Roman" w:eastAsia="楷体_GB2312" w:cs="楷体_GB2312"/>
          <w:sz w:val="20"/>
          <w:szCs w:val="20"/>
        </w:rPr>
        <w:t>7个工作日可变现资产的可变现价值应当不低于该产品资产净值的10%。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5</w:t>
      </w:r>
      <w:r>
        <w:rPr>
          <w:rFonts w:hint="eastAsia" w:ascii="Times New Roman" w:hAnsi="Times New Roman" w:eastAsia="楷体_GB2312" w:cs="楷体_GB2312"/>
          <w:sz w:val="20"/>
          <w:szCs w:val="20"/>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right="53" w:rightChars="22"/>
      </w:pPr>
    </w:p>
    <w:p>
      <w:pPr>
        <w:snapToGrid w:val="0"/>
        <w:spacing w:line="300" w:lineRule="exact"/>
        <w:ind w:left="-2" w:leftChars="-1" w:right="53" w:rightChars="22" w:firstLine="400" w:firstLineChars="200"/>
        <w:jc w:val="both"/>
        <w:outlineLvl w:val="0"/>
      </w:pPr>
      <w:r>
        <w:rPr>
          <w:rFonts w:hint="eastAsia" w:ascii="黑体" w:hAnsi="Times New Roman" w:eastAsia="黑体" w:cs="黑体"/>
          <w:sz w:val="20"/>
          <w:szCs w:val="20"/>
        </w:rPr>
        <w:t>二、产品基本要素</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7008" w:type="dxa"/>
            <w:vAlign w:val="center"/>
          </w:tcPr>
          <w:p>
            <w:pPr>
              <w:spacing w:line="300" w:lineRule="exact"/>
              <w:ind w:left="-2" w:leftChars="-1" w:right="36" w:rightChars="15"/>
            </w:pPr>
            <w:r>
              <w:rPr>
                <w:rFonts w:hint="eastAsia" w:ascii="楷体_GB2312" w:eastAsia="楷体_GB2312" w:cs="楷体_GB2312"/>
                <w:sz w:val="20"/>
                <w:szCs w:val="20"/>
              </w:rPr>
              <w:t>【信银理财安盈象固收稳健日开3号理财产品】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Z7002622000814】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【AF223200</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承受能力</w:t>
            </w:r>
            <w:r>
              <w:rPr>
                <w:rFonts w:ascii="楷体_GB2312" w:eastAsia="楷体_GB2312" w:cs="楷体_GB2312"/>
                <w:sz w:val="20"/>
                <w:szCs w:val="20"/>
              </w:rPr>
              <w:t>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color w:val="000000" w:themeColor="text1"/>
                <w:sz w:val="20"/>
                <w:szCs w:val="20"/>
                <w14:textFill>
                  <w14:solidFill>
                    <w14:schemeClr w14:val="tx1"/>
                  </w14:solidFill>
                </w14:textFill>
              </w:rPr>
              <w:t>【稳健型】【平衡型】</w:t>
            </w:r>
            <w:r>
              <w:rPr>
                <w:rFonts w:hint="eastAsia" w:ascii="楷体_GB2312" w:eastAsia="楷体_GB2312" w:cs="楷体_GB2312"/>
                <w:color w:val="000000" w:themeColor="text1"/>
                <w:sz w:val="20"/>
                <w:szCs w:val="20"/>
                <w14:textFill>
                  <w14:solidFill>
                    <w14:schemeClr w14:val="tx1"/>
                  </w14:solidFill>
                </w14:textFill>
              </w:rPr>
              <w:t>【进取型】【激进型】</w:t>
            </w:r>
            <w:r>
              <w:rPr>
                <w:rFonts w:hint="eastAsia" w:ascii="楷体_GB2312" w:eastAsia="楷体_GB2312" w:cs="楷体_GB2312"/>
                <w:sz w:val="20"/>
                <w:szCs w:val="20"/>
              </w:rPr>
              <w:t>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本理财产品不保证本金及理财收益，其理财收益随单位净值浮动。详细内容见以下“八</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7008" w:type="dxa"/>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A类份额</w:t>
            </w:r>
            <w:r>
              <w:rPr>
                <w:rFonts w:hint="eastAsia" w:ascii="楷体_GB2312" w:eastAsia="楷体_GB2312" w:cs="楷体_GB2312"/>
                <w:color w:val="000000" w:themeColor="text1"/>
                <w:sz w:val="20"/>
                <w:szCs w:val="20"/>
                <w14:textFill>
                  <w14:solidFill>
                    <w14:schemeClr w14:val="tx1"/>
                  </w14:solidFill>
                </w14:textFill>
              </w:rPr>
              <w:t>：份额代码【</w:t>
            </w:r>
            <w:r>
              <w:rPr>
                <w:rFonts w:ascii="楷体_GB2312" w:eastAsia="楷体_GB2312" w:cs="楷体_GB2312"/>
                <w:color w:val="000000" w:themeColor="text1"/>
                <w:sz w:val="20"/>
                <w:szCs w:val="20"/>
                <w14:textFill>
                  <w14:solidFill>
                    <w14:schemeClr w14:val="tx1"/>
                  </w14:solidFill>
                </w14:textFill>
              </w:rPr>
              <w:t>AF223200A】</w:t>
            </w: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：份额代码【</w:t>
            </w:r>
            <w:r>
              <w:rPr>
                <w:rFonts w:ascii="楷体_GB2312" w:eastAsia="楷体_GB2312" w:cs="楷体_GB2312"/>
                <w:color w:val="000000" w:themeColor="text1"/>
                <w:sz w:val="20"/>
                <w:szCs w:val="20"/>
                <w14:textFill>
                  <w14:solidFill>
                    <w14:schemeClr w14:val="tx1"/>
                  </w14:solidFill>
                </w14:textFill>
              </w:rPr>
              <w:t>AF223200B】</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募集期</w:t>
            </w:r>
          </w:p>
          <w:p>
            <w:pPr>
              <w:spacing w:line="300" w:lineRule="exact"/>
              <w:ind w:left="-2" w:leftChars="-1" w:right="36" w:rightChars="15"/>
              <w:rPr>
                <w:rFonts w:ascii="Times New Roman" w:hAnsi="Times New Roman" w:eastAsia="楷体_GB2312" w:cs="Times New Roman"/>
                <w:sz w:val="20"/>
                <w:szCs w:val="20"/>
              </w:rPr>
            </w:pPr>
          </w:p>
        </w:tc>
        <w:tc>
          <w:tcPr>
            <w:tcW w:w="7008" w:type="dxa"/>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022】年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【1</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022</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left="2"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7008" w:type="dxa"/>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022</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11</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18</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（如信银理财调整募集期，则运作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022】</w:t>
            </w:r>
            <w:r>
              <w:rPr>
                <w:rFonts w:hint="eastAsia" w:ascii="楷体_GB2312" w:eastAsia="楷体_GB2312" w:cs="楷体_GB2312"/>
                <w:sz w:val="20"/>
                <w:szCs w:val="20"/>
              </w:rPr>
              <w:t>年</w:t>
            </w:r>
            <w:r>
              <w:rPr>
                <w:rFonts w:ascii="楷体_GB2312" w:eastAsia="楷体_GB2312" w:cs="楷体_GB2312"/>
                <w:sz w:val="20"/>
                <w:szCs w:val="20"/>
              </w:rPr>
              <w:t>【11】</w:t>
            </w:r>
            <w:r>
              <w:rPr>
                <w:rFonts w:hint="eastAsia" w:ascii="楷体_GB2312" w:eastAsia="楷体_GB2312" w:cs="楷体_GB2312"/>
                <w:sz w:val="20"/>
                <w:szCs w:val="20"/>
              </w:rPr>
              <w:t>月</w:t>
            </w:r>
            <w:r>
              <w:rPr>
                <w:rFonts w:ascii="楷体_GB2312" w:eastAsia="楷体_GB2312" w:cs="楷体_GB2312"/>
                <w:sz w:val="20"/>
                <w:szCs w:val="20"/>
              </w:rPr>
              <w:t>【18】</w:t>
            </w:r>
            <w:r>
              <w:rPr>
                <w:rFonts w:hint="eastAsia" w:ascii="楷体_GB2312" w:eastAsia="楷体_GB2312" w:cs="楷体_GB2312"/>
                <w:sz w:val="20"/>
                <w:szCs w:val="20"/>
              </w:rPr>
              <w:t>日至【2</w:t>
            </w:r>
            <w:r>
              <w:rPr>
                <w:rFonts w:ascii="楷体_GB2312" w:eastAsia="楷体_GB2312" w:cs="楷体_GB2312"/>
                <w:sz w:val="20"/>
                <w:szCs w:val="20"/>
              </w:rPr>
              <w:t>022</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月</w:t>
            </w:r>
            <w:r>
              <w:rPr>
                <w:rFonts w:ascii="楷体_GB2312" w:eastAsia="楷体_GB2312" w:cs="楷体_GB2312"/>
                <w:sz w:val="20"/>
                <w:szCs w:val="20"/>
              </w:rPr>
              <w:t>【17】</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楷体_GB2312" w:eastAsia="楷体_GB2312" w:cs="楷体_GB2312"/>
                <w:sz w:val="20"/>
                <w:szCs w:val="20"/>
              </w:rPr>
              <w:t>开放日</w:t>
            </w:r>
          </w:p>
        </w:tc>
        <w:tc>
          <w:tcPr>
            <w:tcW w:w="7008" w:type="dxa"/>
            <w:vAlign w:val="center"/>
          </w:tcPr>
          <w:p>
            <w:pPr>
              <w:spacing w:line="300" w:lineRule="exact"/>
              <w:ind w:left="-2" w:leftChars="-1" w:right="96" w:rightChars="40"/>
              <w:rPr>
                <w:rFonts w:ascii="楷体_GB2312" w:eastAsia="楷体_GB2312" w:cs="楷体_GB2312"/>
                <w:sz w:val="20"/>
                <w:szCs w:val="20"/>
              </w:rPr>
            </w:pPr>
            <w:r>
              <w:rPr>
                <w:rFonts w:ascii="楷体_GB2312" w:eastAsia="楷体_GB2312" w:cs="楷体_GB2312"/>
                <w:sz w:val="20"/>
                <w:szCs w:val="20"/>
              </w:rPr>
              <w:t>1.本产品</w:t>
            </w:r>
            <w:r>
              <w:rPr>
                <w:rFonts w:hint="eastAsia" w:ascii="楷体_GB2312" w:eastAsia="楷体_GB2312" w:cs="楷体_GB2312"/>
                <w:color w:val="000000" w:themeColor="text1"/>
                <w:sz w:val="20"/>
                <w:szCs w:val="20"/>
                <w14:textFill>
                  <w14:solidFill>
                    <w14:schemeClr w14:val="tx1"/>
                  </w14:solidFill>
                </w14:textFill>
              </w:rPr>
              <w:t>首个申购开放日为</w:t>
            </w:r>
            <w:r>
              <w:rPr>
                <w:rFonts w:ascii="楷体_GB2312" w:eastAsia="楷体_GB2312" w:cs="楷体_GB2312"/>
                <w:color w:val="000000" w:themeColor="text1"/>
                <w:sz w:val="20"/>
                <w:szCs w:val="20"/>
                <w14:textFill>
                  <w14:solidFill>
                    <w14:schemeClr w14:val="tx1"/>
                  </w14:solidFill>
                </w14:textFill>
              </w:rPr>
              <w:t>【2022】年【11】</w:t>
            </w:r>
            <w:r>
              <w:rPr>
                <w:rFonts w:hint="eastAsia" w:ascii="楷体_GB2312" w:eastAsia="楷体_GB2312" w:cs="楷体_GB2312"/>
                <w:color w:val="000000" w:themeColor="text1"/>
                <w:sz w:val="20"/>
                <w:szCs w:val="20"/>
                <w14:textFill>
                  <w14:solidFill>
                    <w14:schemeClr w14:val="tx1"/>
                  </w14:solidFill>
                </w14:textFill>
              </w:rPr>
              <w:t>月</w:t>
            </w:r>
            <w:r>
              <w:rPr>
                <w:rFonts w:ascii="楷体_GB2312" w:eastAsia="楷体_GB2312" w:cs="楷体_GB2312"/>
                <w:color w:val="000000" w:themeColor="text1"/>
                <w:sz w:val="20"/>
                <w:szCs w:val="20"/>
                <w14:textFill>
                  <w14:solidFill>
                    <w14:schemeClr w14:val="tx1"/>
                  </w14:solidFill>
                </w14:textFill>
              </w:rPr>
              <w:t>【21】</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sz w:val="20"/>
                <w:szCs w:val="20"/>
              </w:rPr>
              <w:t>，之后按【日】为周期进行开放，开放日为【每个工作日】（如遇非工作日则自动顺延至下一工作日）。本产品首个赎回开放日为【</w:t>
            </w:r>
            <w:r>
              <w:rPr>
                <w:rFonts w:hint="eastAsia" w:ascii="楷体_GB2312" w:eastAsia="楷体_GB2312" w:cs="楷体_GB2312"/>
                <w:sz w:val="20"/>
                <w:szCs w:val="20"/>
              </w:rPr>
              <w:t>2</w:t>
            </w:r>
            <w:r>
              <w:rPr>
                <w:rFonts w:ascii="楷体_GB2312" w:eastAsia="楷体_GB2312" w:cs="楷体_GB2312"/>
                <w:sz w:val="20"/>
                <w:szCs w:val="20"/>
              </w:rPr>
              <w:t>022】年【11】月【19】日，之后按【日】为周期进行开放，开放日为【每个工作日】（如遇非工作日则自动顺延至下一工作日）。</w:t>
            </w:r>
          </w:p>
          <w:p>
            <w:pPr>
              <w:spacing w:line="300" w:lineRule="exact"/>
              <w:ind w:left="-2" w:leftChars="-1" w:right="96" w:rightChars="40"/>
              <w:rPr>
                <w:rFonts w:ascii="楷体_GB2312" w:eastAsia="楷体_GB2312" w:cs="楷体_GB2312"/>
                <w:sz w:val="20"/>
                <w:szCs w:val="20"/>
              </w:rPr>
            </w:pPr>
            <w:r>
              <w:rPr>
                <w:rFonts w:ascii="楷体_GB2312" w:eastAsia="楷体_GB2312" w:cs="楷体_GB2312"/>
                <w:sz w:val="20"/>
                <w:szCs w:val="20"/>
              </w:rPr>
              <w:t>2.如因实际投资运作需要等因素，管理人有权增加或调整开放日</w:t>
            </w:r>
            <w:r>
              <w:rPr>
                <w:rFonts w:hint="eastAsia" w:ascii="楷体_GB2312" w:eastAsia="楷体_GB2312" w:cs="楷体_GB2312"/>
                <w:sz w:val="20"/>
                <w:szCs w:val="20"/>
              </w:rPr>
              <w:t>和</w:t>
            </w:r>
            <w:r>
              <w:rPr>
                <w:rFonts w:ascii="楷体_GB2312" w:eastAsia="楷体_GB2312" w:cs="楷体_GB2312"/>
                <w:sz w:val="20"/>
                <w:szCs w:val="20"/>
              </w:rPr>
              <w:t>到期日，并最迟于增加或调整生效前</w:t>
            </w:r>
            <w:r>
              <w:rPr>
                <w:rFonts w:hint="eastAsia" w:ascii="楷体_GB2312" w:eastAsia="楷体_GB2312" w:cs="楷体_GB2312"/>
                <w:sz w:val="20"/>
                <w:szCs w:val="20"/>
              </w:rPr>
              <w:t>【2</w:t>
            </w:r>
            <w:r>
              <w:rPr>
                <w:rFonts w:ascii="楷体_GB2312" w:eastAsia="楷体_GB2312" w:cs="楷体_GB2312"/>
                <w:sz w:val="20"/>
                <w:szCs w:val="20"/>
              </w:rPr>
              <w:t>】个工作日</w:t>
            </w:r>
            <w:r>
              <w:rPr>
                <w:rFonts w:hint="eastAsia" w:ascii="楷体_GB2312" w:eastAsia="楷体_GB2312" w:cs="楷体_GB2312"/>
                <w:sz w:val="20"/>
                <w:szCs w:val="20"/>
              </w:rPr>
              <w:t>以</w:t>
            </w:r>
            <w:r>
              <w:rPr>
                <w:rFonts w:ascii="楷体_GB2312" w:eastAsia="楷体_GB2312" w:cs="楷体_GB2312"/>
                <w:sz w:val="20"/>
                <w:szCs w:val="20"/>
              </w:rPr>
              <w:t>本说明书约定的方式</w:t>
            </w:r>
            <w:r>
              <w:rPr>
                <w:rFonts w:hint="eastAsia" w:ascii="楷体_GB2312" w:eastAsia="楷体_GB2312" w:cs="楷体_GB2312"/>
                <w:sz w:val="20"/>
                <w:szCs w:val="20"/>
              </w:rPr>
              <w:t>向投资者发布相关信息</w:t>
            </w:r>
            <w:r>
              <w:rPr>
                <w:rFonts w:ascii="楷体_GB2312" w:eastAsia="楷体_GB2312" w:cs="楷体_GB2312"/>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7008" w:type="dxa"/>
            <w:vAlign w:val="center"/>
          </w:tcPr>
          <w:p>
            <w:pPr>
              <w:spacing w:line="300" w:lineRule="exact"/>
              <w:ind w:left="-2" w:leftChars="-1" w:right="96" w:rightChars="40"/>
              <w:jc w:val="both"/>
              <w:rPr>
                <w:rFonts w:hint="eastAsia" w:ascii="楷体_GB2312" w:eastAsia="楷体_GB2312" w:cs="楷体_GB2312"/>
                <w:sz w:val="20"/>
                <w:szCs w:val="20"/>
              </w:rPr>
            </w:pPr>
            <w:r>
              <w:rPr>
                <w:rFonts w:hint="eastAsia" w:ascii="楷体_GB2312" w:eastAsia="楷体_GB2312" w:cs="楷体_GB2312"/>
                <w:sz w:val="20"/>
                <w:szCs w:val="20"/>
              </w:rPr>
              <w:t>A 类份额：【2.45%-3.05%】</w:t>
            </w:r>
            <w:bookmarkStart w:id="0" w:name="_GoBack"/>
            <w:bookmarkEnd w:id="0"/>
          </w:p>
          <w:p>
            <w:pPr>
              <w:spacing w:line="300" w:lineRule="exact"/>
              <w:ind w:left="-2" w:leftChars="-1" w:right="96" w:rightChars="40"/>
              <w:jc w:val="both"/>
              <w:rPr>
                <w:rFonts w:hint="eastAsia" w:ascii="楷体_GB2312" w:eastAsia="楷体_GB2312" w:cs="楷体_GB2312"/>
                <w:sz w:val="20"/>
                <w:szCs w:val="20"/>
              </w:rPr>
            </w:pPr>
            <w:r>
              <w:rPr>
                <w:rFonts w:hint="eastAsia" w:ascii="楷体_GB2312" w:eastAsia="楷体_GB2312" w:cs="楷体_GB2312"/>
                <w:sz w:val="20"/>
                <w:szCs w:val="20"/>
              </w:rPr>
              <w:t>B 类份额：【2.45%-3.05%】</w:t>
            </w:r>
          </w:p>
          <w:p>
            <w:pPr>
              <w:spacing w:line="300" w:lineRule="exact"/>
              <w:ind w:left="-2" w:leftChars="-1" w:right="96" w:rightChars="40"/>
              <w:jc w:val="both"/>
              <w:rPr>
                <w:rFonts w:hint="eastAsia" w:ascii="楷体_GB2312" w:eastAsia="楷体_GB2312" w:cs="楷体_GB2312"/>
                <w:sz w:val="20"/>
                <w:szCs w:val="20"/>
              </w:rPr>
            </w:pPr>
            <w:r>
              <w:rPr>
                <w:rFonts w:hint="eastAsia" w:ascii="楷体_GB2312" w:eastAsia="楷体_GB2312" w:cs="楷体_GB2312"/>
                <w:sz w:val="20"/>
                <w:szCs w:val="20"/>
              </w:rPr>
              <w:t>业绩比较基准测算依据：【产品重点投资于信用债等资产，并结合一定的杠杆操作和交易策略对组合收益进行增厚。根据当前市场利率水平、组合目标久期、可投资债券的静态收益率、债券杠杆操作等因素作为测算依据，扣除相关税费成本后，综合得出产品的业绩基准。】</w:t>
            </w:r>
          </w:p>
          <w:p>
            <w:pPr>
              <w:spacing w:line="300" w:lineRule="exact"/>
              <w:ind w:left="-2" w:leftChars="-1" w:right="96" w:rightChars="40"/>
              <w:jc w:val="both"/>
              <w:rPr>
                <w:rFonts w:hint="eastAsia" w:ascii="楷体_GB2312" w:eastAsia="楷体_GB2312" w:cs="楷体_GB2312"/>
                <w:sz w:val="20"/>
                <w:szCs w:val="20"/>
              </w:rPr>
            </w:pPr>
            <w:r>
              <w:rPr>
                <w:rFonts w:hint="eastAsia" w:ascii="楷体_GB2312" w:eastAsia="楷体_GB2312" w:cs="楷体_GB2312"/>
                <w:b/>
                <w:bCs/>
                <w:sz w:val="20"/>
                <w:szCs w:val="20"/>
              </w:rPr>
              <w:t>上述业绩比较基准不代表理财产品未来表现，不等于实际收益，投资须谨慎。</w:t>
            </w:r>
            <w:r>
              <w:rPr>
                <w:rFonts w:hint="eastAsia" w:ascii="楷体_GB2312" w:eastAsia="楷体_GB2312" w:cs="楷体_GB2312"/>
                <w:sz w:val="20"/>
                <w:szCs w:val="20"/>
              </w:rPr>
              <w:t>本理财产品实际收益率将可能低于业绩比较基准，甚至无法取得任何收益。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sz w:val="20"/>
                <w:szCs w:val="20"/>
              </w:rPr>
              <w:t>2</w:t>
            </w:r>
            <w:r>
              <w:rPr>
                <w:rFonts w:hint="eastAsia" w:ascii="楷体_GB2312" w:eastAsia="楷体_GB2312" w:cs="楷体_GB2312"/>
                <w:sz w:val="20"/>
                <w:szCs w:val="20"/>
              </w:rPr>
              <w:t>】</w:t>
            </w:r>
            <w:r>
              <w:rPr>
                <w:rFonts w:ascii="楷体_GB2312" w:eastAsia="楷体_GB2312" w:cs="楷体_GB2312"/>
                <w:sz w:val="20"/>
                <w:szCs w:val="20"/>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本产品认购交易时间为【8：30-15：30】，申购</w:t>
            </w:r>
            <w:r>
              <w:rPr>
                <w:rFonts w:ascii="楷体_GB2312" w:eastAsia="楷体_GB2312" w:cs="楷体_GB2312"/>
                <w:sz w:val="20"/>
                <w:szCs w:val="20"/>
              </w:rPr>
              <w:t>和</w:t>
            </w:r>
            <w:r>
              <w:rPr>
                <w:rFonts w:hint="eastAsia" w:ascii="楷体_GB2312" w:eastAsia="楷体_GB2312" w:cs="楷体_GB2312"/>
                <w:sz w:val="20"/>
                <w:szCs w:val="20"/>
              </w:rPr>
              <w:t>赎回</w:t>
            </w:r>
            <w:r>
              <w:rPr>
                <w:rFonts w:ascii="楷体_GB2312" w:eastAsia="楷体_GB2312" w:cs="楷体_GB2312"/>
                <w:sz w:val="20"/>
                <w:szCs w:val="20"/>
              </w:rPr>
              <w:t>交易</w:t>
            </w:r>
            <w:r>
              <w:rPr>
                <w:rFonts w:hint="eastAsia" w:ascii="楷体_GB2312" w:eastAsia="楷体_GB2312" w:cs="楷体_GB2312"/>
                <w:sz w:val="20"/>
                <w:szCs w:val="20"/>
              </w:rPr>
              <w:t>时间为【8：30-15：30】（信银理财有权变更交易时间，且无需另行通知；如果投资者通过信银</w:t>
            </w:r>
            <w:r>
              <w:rPr>
                <w:rFonts w:ascii="楷体_GB2312" w:eastAsia="楷体_GB2312" w:cs="楷体_GB2312"/>
                <w:sz w:val="20"/>
                <w:szCs w:val="20"/>
              </w:rPr>
              <w:t>理财营业</w:t>
            </w:r>
            <w:r>
              <w:rPr>
                <w:rFonts w:hint="eastAsia" w:ascii="楷体_GB2312" w:eastAsia="楷体_GB2312" w:cs="楷体_GB2312"/>
                <w:sz w:val="20"/>
                <w:szCs w:val="20"/>
              </w:rPr>
              <w:t>场所购买的，则交易</w:t>
            </w:r>
            <w:r>
              <w:rPr>
                <w:rFonts w:ascii="楷体_GB2312" w:eastAsia="楷体_GB2312" w:cs="楷体_GB2312"/>
                <w:sz w:val="20"/>
                <w:szCs w:val="20"/>
              </w:rPr>
              <w:t>时间</w:t>
            </w:r>
            <w:r>
              <w:rPr>
                <w:rFonts w:hint="eastAsia" w:ascii="楷体_GB2312" w:eastAsia="楷体_GB2312" w:cs="楷体_GB2312"/>
                <w:sz w:val="20"/>
                <w:szCs w:val="20"/>
              </w:rPr>
              <w:t>以营业</w:t>
            </w:r>
            <w:r>
              <w:rPr>
                <w:rFonts w:ascii="楷体_GB2312" w:eastAsia="楷体_GB2312" w:cs="楷体_GB2312"/>
                <w:sz w:val="20"/>
                <w:szCs w:val="20"/>
              </w:rPr>
              <w:t>场所的</w:t>
            </w:r>
            <w:r>
              <w:rPr>
                <w:rFonts w:hint="eastAsia" w:ascii="楷体_GB2312" w:eastAsia="楷体_GB2312" w:cs="楷体_GB2312"/>
                <w:sz w:val="20"/>
                <w:szCs w:val="20"/>
              </w:rPr>
              <w:t>营业时间和营业</w:t>
            </w:r>
            <w:r>
              <w:rPr>
                <w:rFonts w:ascii="楷体_GB2312" w:eastAsia="楷体_GB2312" w:cs="楷体_GB2312"/>
                <w:sz w:val="20"/>
                <w:szCs w:val="20"/>
              </w:rPr>
              <w:t>场所公布的交易时间</w:t>
            </w:r>
            <w:r>
              <w:rPr>
                <w:rFonts w:hint="eastAsia" w:ascii="楷体_GB2312" w:eastAsia="楷体_GB2312" w:cs="楷体_GB2312"/>
                <w:sz w:val="20"/>
                <w:szCs w:val="20"/>
              </w:rPr>
              <w:t>为准，且必须在【8：30-15：30】内）；募集期内，信银理财在认购交易时间内受理投资者的认购申请。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通过</w:t>
            </w:r>
            <w:r>
              <w:rPr>
                <w:rFonts w:hint="eastAsia" w:ascii="楷体_GB2312" w:eastAsia="楷体_GB2312" w:cs="楷体_GB2312"/>
                <w:sz w:val="20"/>
                <w:szCs w:val="20"/>
              </w:rPr>
              <w:t>合作</w:t>
            </w:r>
            <w:r>
              <w:rPr>
                <w:rFonts w:ascii="楷体_GB2312" w:eastAsia="楷体_GB2312" w:cs="楷体_GB2312"/>
                <w:sz w:val="20"/>
                <w:szCs w:val="20"/>
              </w:rPr>
              <w:t>销售机构</w:t>
            </w:r>
            <w:r>
              <w:rPr>
                <w:rFonts w:hint="eastAsia" w:ascii="楷体_GB2312" w:eastAsia="楷体_GB2312" w:cs="楷体_GB2312"/>
                <w:sz w:val="20"/>
                <w:szCs w:val="20"/>
              </w:rPr>
              <w:t>/</w:t>
            </w:r>
            <w:r>
              <w:rPr>
                <w:rFonts w:ascii="楷体_GB2312" w:eastAsia="楷体_GB2312" w:cs="楷体_GB2312"/>
                <w:sz w:val="20"/>
                <w:szCs w:val="20"/>
              </w:rPr>
              <w:t>代销机构购买理财产品的，</w:t>
            </w:r>
            <w:r>
              <w:rPr>
                <w:rFonts w:hint="eastAsia" w:ascii="楷体_GB2312" w:eastAsia="楷体_GB2312" w:cs="楷体_GB2312"/>
                <w:sz w:val="20"/>
                <w:szCs w:val="20"/>
              </w:rPr>
              <w:t>还应按照</w:t>
            </w:r>
            <w:r>
              <w:rPr>
                <w:rFonts w:ascii="楷体_GB2312" w:eastAsia="楷体_GB2312" w:cs="楷体_GB2312"/>
                <w:sz w:val="20"/>
                <w:szCs w:val="20"/>
              </w:rPr>
              <w:t>代销机构对于交易时间</w:t>
            </w:r>
            <w:r>
              <w:rPr>
                <w:rFonts w:hint="eastAsia" w:ascii="楷体_GB2312" w:eastAsia="楷体_GB2312" w:cs="楷体_GB2312"/>
                <w:sz w:val="20"/>
                <w:szCs w:val="20"/>
              </w:rPr>
              <w:t>以及</w:t>
            </w:r>
            <w:r>
              <w:rPr>
                <w:rFonts w:ascii="楷体_GB2312" w:eastAsia="楷体_GB2312" w:cs="楷体_GB2312"/>
                <w:sz w:val="20"/>
                <w:szCs w:val="20"/>
              </w:rPr>
              <w:t>交易申请的</w:t>
            </w:r>
            <w:r>
              <w:rPr>
                <w:rFonts w:hint="eastAsia" w:ascii="楷体_GB2312" w:eastAsia="楷体_GB2312" w:cs="楷体_GB2312"/>
                <w:sz w:val="20"/>
                <w:szCs w:val="20"/>
              </w:rPr>
              <w:t>相关</w:t>
            </w:r>
            <w:r>
              <w:rPr>
                <w:rFonts w:ascii="楷体_GB2312" w:eastAsia="楷体_GB2312" w:cs="楷体_GB2312"/>
                <w:sz w:val="20"/>
                <w:szCs w:val="20"/>
              </w:rPr>
              <w:t>规定</w:t>
            </w:r>
            <w:r>
              <w:rPr>
                <w:rFonts w:hint="eastAsia" w:ascii="楷体_GB2312" w:eastAsia="楷体_GB2312" w:cs="楷体_GB2312"/>
                <w:sz w:val="20"/>
                <w:szCs w:val="20"/>
              </w:rPr>
              <w:t>执行，</w:t>
            </w:r>
            <w:r>
              <w:rPr>
                <w:rFonts w:ascii="楷体_GB2312" w:eastAsia="楷体_GB2312" w:cs="楷体_GB2312"/>
                <w:sz w:val="20"/>
                <w:szCs w:val="20"/>
              </w:rPr>
              <w:t>但</w:t>
            </w:r>
            <w:r>
              <w:rPr>
                <w:rFonts w:hint="eastAsia" w:ascii="楷体_GB2312" w:eastAsia="楷体_GB2312" w:cs="楷体_GB2312"/>
                <w:sz w:val="20"/>
                <w:szCs w:val="20"/>
              </w:rPr>
              <w:t>认购交易时间必须</w:t>
            </w:r>
            <w:r>
              <w:rPr>
                <w:rFonts w:ascii="楷体_GB2312" w:eastAsia="楷体_GB2312" w:cs="楷体_GB2312"/>
                <w:sz w:val="20"/>
                <w:szCs w:val="20"/>
              </w:rPr>
              <w:t>在</w:t>
            </w:r>
            <w:r>
              <w:rPr>
                <w:rFonts w:hint="eastAsia" w:ascii="楷体_GB2312" w:eastAsia="楷体_GB2312" w:cs="楷体_GB2312"/>
                <w:sz w:val="20"/>
                <w:szCs w:val="20"/>
              </w:rPr>
              <w:t>【8：30-15：30】内，申购</w:t>
            </w:r>
            <w:r>
              <w:rPr>
                <w:rFonts w:ascii="楷体_GB2312" w:eastAsia="楷体_GB2312" w:cs="楷体_GB2312"/>
                <w:sz w:val="20"/>
                <w:szCs w:val="20"/>
              </w:rPr>
              <w:t>和</w:t>
            </w:r>
            <w:r>
              <w:rPr>
                <w:rFonts w:hint="eastAsia" w:ascii="楷体_GB2312" w:eastAsia="楷体_GB2312" w:cs="楷体_GB2312"/>
                <w:sz w:val="20"/>
                <w:szCs w:val="20"/>
              </w:rPr>
              <w:t>赎回</w:t>
            </w:r>
            <w:r>
              <w:rPr>
                <w:rFonts w:ascii="楷体_GB2312" w:eastAsia="楷体_GB2312" w:cs="楷体_GB2312"/>
                <w:sz w:val="20"/>
                <w:szCs w:val="20"/>
              </w:rPr>
              <w:t>交易</w:t>
            </w:r>
            <w:r>
              <w:rPr>
                <w:rFonts w:hint="eastAsia" w:ascii="楷体_GB2312" w:eastAsia="楷体_GB2312" w:cs="楷体_GB2312"/>
                <w:sz w:val="20"/>
                <w:szCs w:val="20"/>
              </w:rPr>
              <w:t>时间必须</w:t>
            </w:r>
            <w:r>
              <w:rPr>
                <w:rFonts w:ascii="楷体_GB2312" w:eastAsia="楷体_GB2312" w:cs="楷体_GB2312"/>
                <w:sz w:val="20"/>
                <w:szCs w:val="20"/>
              </w:rPr>
              <w:t>在</w:t>
            </w:r>
            <w:r>
              <w:rPr>
                <w:rFonts w:hint="eastAsia" w:ascii="楷体_GB2312" w:eastAsia="楷体_GB2312" w:cs="楷体_GB2312"/>
                <w:sz w:val="20"/>
                <w:szCs w:val="20"/>
              </w:rPr>
              <w:t>【8：30-15：30】内</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0】元。信银理财</w:t>
            </w:r>
            <w:r>
              <w:rPr>
                <w:rFonts w:ascii="楷体_GB2312" w:eastAsia="楷体_GB2312" w:cs="楷体_GB2312"/>
                <w:sz w:val="20"/>
                <w:szCs w:val="20"/>
              </w:rPr>
              <w:t>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如果募集期内未达到计划募集金额下限，信银理财有权决定产品不成立，并在宣告产品不成立后【</w:t>
            </w:r>
            <w:r>
              <w:rPr>
                <w:rFonts w:ascii="楷体_GB2312" w:eastAsia="楷体_GB2312" w:cs="楷体_GB2312"/>
                <w:sz w:val="20"/>
                <w:szCs w:val="20"/>
              </w:rPr>
              <w:t>2】个工作日内返还投资者资金，同时信银理财保留延长本产品募集期的权利。</w:t>
            </w:r>
            <w:r>
              <w:rPr>
                <w:rFonts w:hint="eastAsia" w:ascii="楷体_GB2312" w:eastAsia="楷体_GB2312" w:cs="楷体_GB2312"/>
                <w:sz w:val="20"/>
                <w:szCs w:val="20"/>
              </w:rPr>
              <w:t>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认/申购起点</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A类份额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sz w:val="20"/>
                <w:szCs w:val="20"/>
              </w:rPr>
              <w:t>】元，以【人民币】【0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：初始认购</w:t>
            </w:r>
            <w:r>
              <w:rPr>
                <w:rFonts w:ascii="楷体_GB2312" w:eastAsia="楷体_GB2312" w:cs="楷体_GB2312"/>
                <w:sz w:val="20"/>
                <w:szCs w:val="20"/>
              </w:rPr>
              <w:t>/首次申购金额不低于【人民币】【1</w:t>
            </w:r>
            <w:r>
              <w:rPr>
                <w:rFonts w:hint="eastAsia" w:ascii="楷体_GB2312" w:eastAsia="楷体_GB2312" w:cs="楷体_GB2312"/>
                <w:sz w:val="20"/>
                <w:szCs w:val="20"/>
              </w:rPr>
              <w:t>】元，以</w:t>
            </w:r>
            <w:r>
              <w:rPr>
                <w:rFonts w:hint="eastAsia" w:ascii="楷体_GB2312" w:eastAsia="楷体_GB2312"/>
                <w:sz w:val="20"/>
                <w:szCs w:val="20"/>
              </w:rPr>
              <w:t>【人民币】【0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元的整数倍增加。追加认购</w:t>
            </w:r>
            <w:r>
              <w:rPr>
                <w:rFonts w:ascii="楷体_GB2312" w:eastAsia="楷体_GB2312" w:cs="楷体_GB2312"/>
                <w:sz w:val="20"/>
                <w:szCs w:val="20"/>
              </w:rPr>
              <w:t>/申购金额不低于【人民币】【</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sz w:val="20"/>
                <w:szCs w:val="20"/>
              </w:rPr>
              <w:t>】元，以【人民币】【0</w:t>
            </w:r>
            <w:r>
              <w:rPr>
                <w:rFonts w:ascii="楷体_GB2312" w:eastAsia="楷体_GB2312"/>
                <w:sz w:val="20"/>
                <w:szCs w:val="20"/>
              </w:rPr>
              <w:t>.01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代销机构对产品的认</w:t>
            </w:r>
            <w:r>
              <w:rPr>
                <w:rFonts w:ascii="楷体_GB2312" w:eastAsia="楷体_GB2312" w:cs="楷体_GB2312"/>
                <w:sz w:val="20"/>
                <w:szCs w:val="20"/>
              </w:rPr>
              <w:t>/申购</w:t>
            </w:r>
            <w:r>
              <w:rPr>
                <w:rFonts w:hint="eastAsia" w:ascii="楷体_GB2312" w:eastAsia="楷体_GB2312" w:cs="楷体_GB2312"/>
                <w:sz w:val="20"/>
                <w:szCs w:val="20"/>
              </w:rPr>
              <w:t>起点及追加认购</w:t>
            </w:r>
            <w:r>
              <w:rPr>
                <w:rFonts w:ascii="楷体_GB2312" w:eastAsia="楷体_GB2312" w:cs="楷体_GB2312"/>
                <w:sz w:val="20"/>
                <w:szCs w:val="20"/>
              </w:rPr>
              <w:t>/申购金额</w:t>
            </w:r>
            <w:r>
              <w:rPr>
                <w:rFonts w:hint="eastAsia" w:ascii="楷体_GB2312" w:eastAsia="楷体_GB2312" w:cs="楷体_GB2312"/>
                <w:sz w:val="20"/>
                <w:szCs w:val="20"/>
              </w:rPr>
              <w:t>的要求与信银理财不一致的，以代销机构为准，但不得低于上述对应金额。</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7008" w:type="dxa"/>
            <w:vAlign w:val="center"/>
          </w:tcPr>
          <w:p>
            <w:pPr>
              <w:spacing w:line="300" w:lineRule="exact"/>
              <w:ind w:left="-2"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w:t>
            </w:r>
            <w:r>
              <w:rPr>
                <w:rFonts w:hint="eastAsia" w:ascii="Times New Roman" w:eastAsia="楷体_GB2312" w:cs="楷体_GB2312"/>
                <w:sz w:val="20"/>
                <w:szCs w:val="20"/>
              </w:rPr>
              <w:t>下限</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A类份额</w:t>
            </w:r>
            <w:r>
              <w:rPr>
                <w:rFonts w:hint="eastAsia" w:ascii="楷体_GB2312" w:eastAsia="楷体_GB2312" w:cs="楷体_GB2312"/>
                <w:sz w:val="20"/>
                <w:szCs w:val="20"/>
              </w:rPr>
              <w:t>：单个投资者持仓份额下限为</w:t>
            </w:r>
            <w:r>
              <w:rPr>
                <w:rFonts w:ascii="楷体_GB2312" w:eastAsia="楷体_GB2312" w:cs="楷体_GB2312"/>
                <w:sz w:val="20"/>
                <w:szCs w:val="20"/>
              </w:rPr>
              <w:t>【</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份。投资者提出部分赎回时，如赎回后投资者持有份额不足【0</w:t>
            </w:r>
            <w:r>
              <w:rPr>
                <w:rFonts w:ascii="楷体_GB2312" w:eastAsia="楷体_GB2312" w:cs="楷体_GB2312"/>
                <w:sz w:val="20"/>
                <w:szCs w:val="20"/>
              </w:rPr>
              <w:t>.01】份，则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：单个投资者持仓份额下限为</w:t>
            </w:r>
            <w:r>
              <w:rPr>
                <w:rFonts w:ascii="楷体_GB2312" w:eastAsia="楷体_GB2312" w:cs="楷体_GB2312"/>
                <w:sz w:val="20"/>
                <w:szCs w:val="20"/>
              </w:rPr>
              <w:t>【</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份。投资者提出部分赎回时，如赎回后投资者持有份额不足【0</w:t>
            </w:r>
            <w:r>
              <w:rPr>
                <w:rFonts w:ascii="楷体_GB2312" w:eastAsia="楷体_GB2312" w:cs="楷体_GB2312"/>
                <w:sz w:val="20"/>
                <w:szCs w:val="20"/>
              </w:rPr>
              <w:t>.01】份，则</w:t>
            </w:r>
            <w:r>
              <w:rPr>
                <w:rFonts w:hint="eastAsia" w:ascii="楷体_GB2312" w:eastAsia="楷体_GB2312" w:cs="楷体_GB2312"/>
                <w:sz w:val="20"/>
                <w:szCs w:val="20"/>
              </w:rPr>
              <w:t>管理人将</w:t>
            </w:r>
            <w:r>
              <w:rPr>
                <w:rFonts w:ascii="楷体_GB2312" w:eastAsia="楷体_GB2312" w:cs="楷体_GB2312"/>
                <w:sz w:val="20"/>
                <w:szCs w:val="20"/>
              </w:rPr>
              <w:t>对投资者剩余份额发起强制赎回。</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信银理财</w:t>
            </w:r>
            <w:r>
              <w:rPr>
                <w:rFonts w:ascii="楷体_GB2312" w:eastAsia="楷体_GB2312" w:cs="楷体_GB2312"/>
                <w:sz w:val="20"/>
                <w:szCs w:val="20"/>
              </w:rPr>
              <w:t>有权根据实际需要对此</w:t>
            </w:r>
            <w:r>
              <w:rPr>
                <w:rFonts w:hint="eastAsia" w:ascii="楷体_GB2312" w:eastAsia="楷体_GB2312" w:cs="楷体_GB2312"/>
                <w:sz w:val="20"/>
                <w:szCs w:val="20"/>
              </w:rPr>
              <w:t>份额</w:t>
            </w:r>
            <w:r>
              <w:rPr>
                <w:rFonts w:ascii="楷体_GB2312" w:eastAsia="楷体_GB2312" w:cs="楷体_GB2312"/>
                <w:sz w:val="20"/>
                <w:szCs w:val="20"/>
              </w:rPr>
              <w:t>下限进行调整。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700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7008" w:type="dxa"/>
            <w:vAlign w:val="center"/>
          </w:tcPr>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单位净值为单位产品份额的净值，该净值为扣除相关税费后的净值。</w:t>
            </w:r>
          </w:p>
          <w:p>
            <w:pPr>
              <w:spacing w:line="300" w:lineRule="exact"/>
              <w:ind w:right="29" w:rightChars="12"/>
              <w:rPr>
                <w:rFonts w:ascii="楷体_GB2312" w:eastAsia="楷体_GB2312" w:cs="楷体_GB2312"/>
                <w:sz w:val="20"/>
                <w:szCs w:val="20"/>
              </w:rPr>
            </w:pPr>
            <w:r>
              <w:rPr>
                <w:rFonts w:hint="eastAsia" w:ascii="楷体_GB2312" w:eastAsia="楷体_GB2312" w:cs="楷体_GB2312"/>
                <w:sz w:val="20"/>
                <w:szCs w:val="20"/>
              </w:rPr>
              <w:t>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、销售服务费、托管费、本理财产品运营过程中产生的增值税及附加税费等。本产品按照单位净值进行申购</w:t>
            </w:r>
            <w:r>
              <w:rPr>
                <w:rFonts w:ascii="楷体_GB2312" w:eastAsia="楷体_GB2312" w:cs="楷体_GB2312"/>
                <w:sz w:val="20"/>
                <w:szCs w:val="20"/>
              </w:rPr>
              <w:t>、赎回</w:t>
            </w:r>
            <w:r>
              <w:rPr>
                <w:rFonts w:hint="eastAsia" w:ascii="楷体_GB2312" w:eastAsia="楷体_GB2312" w:cs="楷体_GB2312"/>
                <w:sz w:val="20"/>
                <w:szCs w:val="20"/>
              </w:rPr>
              <w:t>。单位净值按照【四舍五入</w:t>
            </w:r>
            <w:r>
              <w:rPr>
                <w:rFonts w:ascii="楷体_GB2312" w:eastAsia="楷体_GB2312" w:cs="楷体_GB2312"/>
                <w:sz w:val="20"/>
                <w:szCs w:val="20"/>
              </w:rPr>
              <w:t>】</w:t>
            </w:r>
            <w:r>
              <w:rPr>
                <w:rFonts w:hint="eastAsia" w:ascii="楷体_GB2312" w:eastAsia="楷体_GB2312" w:cs="楷体_GB2312"/>
                <w:sz w:val="20"/>
                <w:szCs w:val="20"/>
              </w:rPr>
              <w:t>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如本产品</w:t>
            </w:r>
            <w:r>
              <w:rPr>
                <w:rFonts w:ascii="楷体_GB2312" w:eastAsia="楷体_GB2312" w:cs="楷体_GB2312"/>
                <w:sz w:val="20"/>
                <w:szCs w:val="20"/>
              </w:rPr>
              <w:t>通过代销机构销售，投资者可通过代销机构规定的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w:t>
            </w:r>
            <w:r>
              <w:rPr>
                <w:rFonts w:hint="eastAsia" w:ascii="楷体_GB2312" w:eastAsia="楷体_GB2312" w:cs="楷体_GB2312"/>
                <w:sz w:val="20"/>
                <w:szCs w:val="20"/>
              </w:rPr>
              <w:t>认购本产品。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申购</w:t>
            </w:r>
            <w:r>
              <w:rPr>
                <w:rFonts w:ascii="Times New Roman" w:eastAsia="楷体_GB2312" w:cs="楷体_GB2312"/>
                <w:sz w:val="20"/>
                <w:szCs w:val="20"/>
              </w:rPr>
              <w:t>和赎回渠道</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w:t>
            </w:r>
            <w:r>
              <w:rPr>
                <w:rFonts w:ascii="楷体_GB2312" w:eastAsia="楷体_GB2312" w:cs="楷体_GB2312"/>
                <w:sz w:val="20"/>
                <w:szCs w:val="20"/>
              </w:rPr>
              <w:t>可通过</w:t>
            </w:r>
            <w:r>
              <w:rPr>
                <w:rFonts w:hint="eastAsia" w:ascii="楷体_GB2312" w:eastAsia="楷体_GB2312" w:cs="楷体_GB2312"/>
                <w:sz w:val="20"/>
                <w:szCs w:val="20"/>
              </w:rPr>
              <w:t>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PP】等</w:t>
            </w:r>
            <w:r>
              <w:rPr>
                <w:rFonts w:hint="eastAsia" w:ascii="楷体_GB2312" w:eastAsia="楷体_GB2312" w:cs="楷体_GB2312"/>
                <w:sz w:val="20"/>
                <w:szCs w:val="20"/>
              </w:rPr>
              <w:t>直销</w:t>
            </w:r>
            <w:r>
              <w:rPr>
                <w:rFonts w:ascii="楷体_GB2312" w:eastAsia="楷体_GB2312" w:cs="楷体_GB2312"/>
                <w:sz w:val="20"/>
                <w:szCs w:val="20"/>
              </w:rPr>
              <w:t>渠道申购</w:t>
            </w:r>
            <w:r>
              <w:rPr>
                <w:rFonts w:hint="eastAsia" w:ascii="楷体_GB2312" w:eastAsia="楷体_GB2312" w:cs="楷体_GB2312"/>
                <w:sz w:val="20"/>
                <w:szCs w:val="20"/>
              </w:rPr>
              <w:t>及</w:t>
            </w:r>
            <w:r>
              <w:rPr>
                <w:rFonts w:ascii="楷体_GB2312" w:eastAsia="楷体_GB2312" w:cs="楷体_GB2312"/>
                <w:sz w:val="20"/>
                <w:szCs w:val="20"/>
              </w:rPr>
              <w:t>赎回本产品。</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如本产品</w:t>
            </w:r>
            <w:r>
              <w:rPr>
                <w:rFonts w:ascii="楷体_GB2312" w:eastAsia="楷体_GB2312" w:cs="楷体_GB2312"/>
                <w:sz w:val="20"/>
                <w:szCs w:val="20"/>
              </w:rPr>
              <w:t>通过代销机构销售，投资者可通过代销机构规定的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w:t>
            </w:r>
            <w:r>
              <w:rPr>
                <w:rFonts w:hint="eastAsia" w:ascii="Times New Roman" w:eastAsia="楷体_GB2312" w:cs="楷体_GB2312"/>
                <w:sz w:val="20"/>
                <w:szCs w:val="20"/>
              </w:rPr>
              <w:t>申购</w:t>
            </w:r>
            <w:r>
              <w:rPr>
                <w:rFonts w:ascii="Times New Roman" w:eastAsia="楷体_GB2312" w:cs="楷体_GB2312"/>
                <w:sz w:val="20"/>
                <w:szCs w:val="20"/>
              </w:rPr>
              <w:t>和赎回</w:t>
            </w:r>
            <w:r>
              <w:rPr>
                <w:rFonts w:hint="eastAsia" w:ascii="楷体_GB2312" w:eastAsia="楷体_GB2312" w:cs="楷体_GB2312"/>
                <w:sz w:val="20"/>
                <w:szCs w:val="20"/>
              </w:rPr>
              <w:t>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7008" w:type="dxa"/>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7008" w:type="dxa"/>
            <w:vAlign w:val="center"/>
          </w:tcPr>
          <w:p>
            <w:pPr>
              <w:snapToGrid w:val="0"/>
              <w:spacing w:line="300" w:lineRule="exact"/>
              <w:ind w:left="-2" w:leftChars="-1" w:right="53" w:rightChars="22"/>
              <w:jc w:val="both"/>
              <w:outlineLvl w:val="0"/>
              <w:rPr>
                <w:rFonts w:ascii="楷体_GB2312" w:eastAsia="楷体_GB2312"/>
                <w:b/>
                <w:sz w:val="20"/>
                <w:szCs w:val="20"/>
              </w:rPr>
            </w:pPr>
            <w:r>
              <w:rPr>
                <w:rFonts w:hint="eastAsia" w:ascii="楷体_GB2312" w:eastAsia="楷体_GB2312" w:cs="楷体_GB2312"/>
                <w:b/>
                <w:sz w:val="20"/>
                <w:szCs w:val="20"/>
              </w:rPr>
              <w:t>本产品的费用包括认购费、申购费</w:t>
            </w:r>
            <w:r>
              <w:rPr>
                <w:rFonts w:ascii="楷体_GB2312" w:eastAsia="楷体_GB2312" w:cs="楷体_GB2312"/>
                <w:b/>
                <w:sz w:val="20"/>
                <w:szCs w:val="20"/>
              </w:rPr>
              <w:t>、赎回费、</w:t>
            </w:r>
            <w:r>
              <w:rPr>
                <w:rFonts w:hint="eastAsia" w:ascii="楷体_GB2312" w:eastAsia="楷体_GB2312" w:cs="楷体_GB2312"/>
                <w:b/>
                <w:sz w:val="20"/>
                <w:szCs w:val="20"/>
              </w:rPr>
              <w:t>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A类份额不收取认购费</w:t>
            </w:r>
            <w:r>
              <w:rPr>
                <w:rFonts w:hint="eastAsia" w:ascii="楷体_GB2312" w:eastAsia="楷体_GB2312" w:cs="楷体_GB2312"/>
                <w:b/>
                <w:sz w:val="20"/>
                <w:szCs w:val="20"/>
              </w:rPr>
              <w:t>；</w:t>
            </w:r>
            <w:r>
              <w:rPr>
                <w:rFonts w:ascii="楷体_GB2312" w:eastAsia="楷体_GB2312" w:cs="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申购费：</w:t>
            </w: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color w:val="000000" w:themeColor="text1"/>
                <w:sz w:val="20"/>
                <w:szCs w:val="20"/>
                <w14:textFill>
                  <w14:solidFill>
                    <w14:schemeClr w14:val="tx1"/>
                  </w14:solidFill>
                </w14:textFill>
              </w:rPr>
              <w:t>不收取申购费；</w:t>
            </w: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不收取申购费</w:t>
            </w:r>
            <w:r>
              <w:rPr>
                <w:rFonts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赎回费：</w:t>
            </w: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color w:val="000000" w:themeColor="text1"/>
                <w:sz w:val="20"/>
                <w:szCs w:val="20"/>
                <w14:textFill>
                  <w14:solidFill>
                    <w14:schemeClr w14:val="tx1"/>
                  </w14:solidFill>
                </w14:textFill>
              </w:rPr>
              <w:t>不收取赎回费；</w:t>
            </w: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不收取赎回费</w:t>
            </w:r>
            <w:r>
              <w:rPr>
                <w:rFonts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销售服务费：</w:t>
            </w: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p>
          <w:p>
            <w:pPr>
              <w:snapToGrid w:val="0"/>
              <w:spacing w:line="300" w:lineRule="exact"/>
              <w:ind w:right="53" w:rightChars="22"/>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托管费：费率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 xml:space="preserve">/年。 </w:t>
            </w:r>
          </w:p>
          <w:p>
            <w:pPr>
              <w:snapToGrid w:val="0"/>
              <w:spacing w:line="300" w:lineRule="exact"/>
              <w:ind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6.固定管理费：费率【0</w:t>
            </w:r>
            <w:r>
              <w:rPr>
                <w:rFonts w:ascii="楷体_GB2312" w:eastAsia="楷体_GB2312" w:cs="楷体_GB2312"/>
                <w:b/>
                <w:sz w:val="20"/>
                <w:szCs w:val="20"/>
              </w:rPr>
              <w:t>.30</w:t>
            </w:r>
            <w:r>
              <w:rPr>
                <w:rFonts w:hint="eastAsia" w:ascii="楷体_GB2312" w:eastAsia="楷体_GB2312" w:cs="楷体_GB2312"/>
                <w:b/>
                <w:sz w:val="20"/>
                <w:szCs w:val="20"/>
              </w:rPr>
              <w:t>%】/年。</w:t>
            </w:r>
          </w:p>
          <w:p>
            <w:pPr>
              <w:snapToGrid w:val="0"/>
              <w:spacing w:line="300" w:lineRule="exact"/>
              <w:ind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7.浮动管理费：</w:t>
            </w:r>
            <w:r>
              <w:rPr>
                <w:rFonts w:ascii="楷体_GB2312" w:eastAsia="楷体_GB2312" w:cs="楷体_GB2312"/>
                <w:b/>
                <w:sz w:val="20"/>
                <w:szCs w:val="20"/>
              </w:rPr>
              <w:t>A类份额不收取浮动管理费</w:t>
            </w:r>
            <w:r>
              <w:rPr>
                <w:rFonts w:hint="eastAsia" w:ascii="楷体_GB2312" w:eastAsia="楷体_GB2312" w:cs="楷体_GB2312"/>
                <w:b/>
                <w:sz w:val="20"/>
                <w:szCs w:val="20"/>
              </w:rPr>
              <w:t>；B</w:t>
            </w:r>
            <w:r>
              <w:rPr>
                <w:rFonts w:ascii="楷体_GB2312" w:eastAsia="楷体_GB2312" w:cs="楷体_GB2312"/>
                <w:b/>
                <w:sz w:val="20"/>
                <w:szCs w:val="20"/>
              </w:rPr>
              <w:t>类份额不收取浮动管理费</w:t>
            </w:r>
            <w:r>
              <w:rPr>
                <w:rFonts w:hint="eastAsia" w:ascii="楷体_GB2312" w:eastAsia="楷体_GB2312" w:cs="楷体_GB2312"/>
                <w:b/>
                <w:sz w:val="20"/>
                <w:szCs w:val="20"/>
              </w:rPr>
              <w:t>。</w:t>
            </w:r>
          </w:p>
          <w:p>
            <w:pPr>
              <w:snapToGrid w:val="0"/>
              <w:spacing w:line="300" w:lineRule="exact"/>
              <w:ind w:right="53" w:rightChars="22"/>
              <w:jc w:val="both"/>
              <w:outlineLvl w:val="0"/>
              <w:rPr>
                <w:rFonts w:ascii="楷体_GB2312" w:eastAsia="楷体_GB2312"/>
                <w:b/>
                <w:sz w:val="20"/>
                <w:szCs w:val="20"/>
              </w:rPr>
            </w:pPr>
            <w:r>
              <w:rPr>
                <w:rFonts w:hint="eastAsia" w:ascii="楷体_GB2312" w:eastAsia="楷体_GB2312" w:cs="楷体_GB2312"/>
                <w:b/>
                <w:sz w:val="20"/>
                <w:szCs w:val="20"/>
              </w:rPr>
              <w:t>以上1</w:t>
            </w:r>
            <w:r>
              <w:rPr>
                <w:rFonts w:ascii="楷体_GB2312" w:eastAsia="楷体_GB2312" w:cs="楷体_GB2312"/>
                <w:b/>
                <w:sz w:val="20"/>
                <w:szCs w:val="20"/>
              </w:rPr>
              <w:t>-7</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【2】位</w:t>
            </w:r>
            <w:r>
              <w:rPr>
                <w:rFonts w:ascii="楷体_GB2312" w:eastAsia="楷体_GB2312" w:cs="楷体_GB2312"/>
                <w:b/>
                <w:sz w:val="20"/>
                <w:szCs w:val="20"/>
              </w:rPr>
              <w:t>。</w:t>
            </w:r>
          </w:p>
          <w:p>
            <w:pPr>
              <w:snapToGrid w:val="0"/>
              <w:spacing w:line="300" w:lineRule="exact"/>
              <w:ind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九、理财产品的费用</w:t>
            </w:r>
            <w:r>
              <w:rPr>
                <w:rFonts w:ascii="楷体_GB2312" w:eastAsia="楷体_GB2312" w:cs="楷体_GB2312"/>
                <w:b/>
                <w:sz w:val="20"/>
                <w:szCs w:val="20"/>
              </w:rPr>
              <w:t>”部分。</w:t>
            </w:r>
          </w:p>
          <w:p>
            <w:pPr>
              <w:snapToGrid w:val="0"/>
              <w:spacing w:line="300" w:lineRule="exact"/>
              <w:ind w:right="53" w:rightChars="22"/>
              <w:outlineLvl w:val="0"/>
              <w:rPr>
                <w:rFonts w:ascii="楷体_GB2312" w:eastAsia="楷体_GB2312" w:cs="楷体_GB2312"/>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代销机构收取的</w:t>
            </w:r>
            <w:r>
              <w:rPr>
                <w:rFonts w:ascii="楷体_GB2312" w:eastAsia="楷体_GB2312" w:cs="楷体_GB2312"/>
                <w:b/>
                <w:sz w:val="20"/>
                <w:szCs w:val="20"/>
              </w:rPr>
              <w:t>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理财产品</w:t>
            </w:r>
            <w:r>
              <w:rPr>
                <w:rFonts w:ascii="Times New Roman" w:eastAsia="楷体_GB2312" w:cs="楷体_GB2312"/>
                <w:sz w:val="20"/>
                <w:szCs w:val="20"/>
              </w:rPr>
              <w:t>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7008" w:type="dxa"/>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7008" w:type="dxa"/>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A类份额</w:t>
            </w:r>
            <w:r>
              <w:rPr>
                <w:rFonts w:hint="eastAsia" w:ascii="楷体_GB2312" w:eastAsia="楷体_GB2312" w:cs="楷体_GB2312"/>
                <w:sz w:val="20"/>
                <w:szCs w:val="20"/>
              </w:rPr>
              <w:t>（份额代码【AF223200</w:t>
            </w:r>
            <w:r>
              <w:rPr>
                <w:rFonts w:ascii="楷体_GB2312" w:eastAsia="楷体_GB2312" w:cs="楷体_GB2312"/>
                <w:sz w:val="20"/>
                <w:szCs w:val="20"/>
              </w:rPr>
              <w:t>A</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1.企业名称：【中信银行股份有限公司】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91110000101690725E</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住所：【北京市朝阳区光华路</w:t>
            </w:r>
            <w:r>
              <w:rPr>
                <w:rFonts w:ascii="楷体_GB2312" w:eastAsia="楷体_GB2312" w:cs="楷体_GB2312"/>
                <w:sz w:val="20"/>
                <w:szCs w:val="20"/>
              </w:rPr>
              <w:t>10号中信大厦】</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95558】</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sz w:val="20"/>
                <w:szCs w:val="20"/>
              </w:rPr>
            </w:pP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（份额代码【AF223200</w:t>
            </w:r>
            <w:r>
              <w:rPr>
                <w:rFonts w:ascii="楷体_GB2312" w:eastAsia="楷体_GB2312" w:cs="楷体_GB2312"/>
                <w:sz w:val="20"/>
                <w:szCs w:val="20"/>
              </w:rPr>
              <w:t>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1.企业名称：【上海银行股份有限公司】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color w:val="000000" w:themeColor="text1"/>
                <w:sz w:val="20"/>
                <w:szCs w:val="20"/>
                <w14:textFill>
                  <w14:solidFill>
                    <w14:schemeClr w14:val="tx1"/>
                  </w14:solidFill>
                </w14:textFill>
              </w:rPr>
              <w:t>91310000132257510M</w:t>
            </w:r>
            <w:r>
              <w:rPr>
                <w:rFonts w:ascii="楷体_GB2312" w:eastAsia="楷体_GB2312" w:cs="楷体_GB2312"/>
                <w:sz w:val="20"/>
                <w:szCs w:val="20"/>
              </w:rPr>
              <w: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住所：【中国（上海）自由贸易试验区银城中路</w:t>
            </w:r>
            <w:r>
              <w:rPr>
                <w:rFonts w:ascii="楷体_GB2312" w:eastAsia="楷体_GB2312" w:cs="楷体_GB2312"/>
                <w:sz w:val="20"/>
                <w:szCs w:val="20"/>
              </w:rPr>
              <w:t>168号】</w:t>
            </w: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95594】</w:t>
            </w:r>
          </w:p>
          <w:p>
            <w:pPr>
              <w:spacing w:line="300" w:lineRule="atLeast"/>
              <w:ind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企业名称：【浙江衢州柯城农村商业银行股份有限公司】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住所：【浙江衢州市柯城区上街</w:t>
            </w:r>
            <w:r>
              <w:rPr>
                <w:rFonts w:ascii="楷体_GB2312" w:eastAsia="楷体_GB2312" w:cs="楷体_GB2312"/>
                <w:sz w:val="20"/>
                <w:szCs w:val="20"/>
              </w:rPr>
              <w:t>92号】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4.企业名称：【浙江舟山定海海洋农村商业银行股份有限公司】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5.企业名称：【浙江临安农村商业银行股份有限公司】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6.企业名称：【宁波北仑农村商业银行股份有限公司】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7.企业名称：【浙江台州黄岩农村商业银行股份有限公司】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8.企业名称：【浙江德清农村商业银行股份有限公司】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9.企业名称：【浙江丽水莲都农村商业银行股份有限公司】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0.企业名称：【</w:t>
            </w:r>
            <w:r>
              <w:rPr>
                <w:rFonts w:hint="eastAsia" w:ascii="楷体_GB2312" w:eastAsia="楷体_GB2312" w:cs="楷体_GB2312"/>
                <w:sz w:val="20"/>
                <w:szCs w:val="20"/>
              </w:rPr>
              <w:t>浙江富阳农村商业银行股份有限公司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1.企业名称：【</w:t>
            </w:r>
            <w:r>
              <w:rPr>
                <w:rFonts w:hint="eastAsia" w:ascii="楷体_GB2312" w:eastAsia="楷体_GB2312" w:cs="楷体_GB2312"/>
                <w:sz w:val="20"/>
                <w:szCs w:val="20"/>
              </w:rPr>
              <w:t>浙江景宁农村商业银行股份有限公司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2.企业名称：【</w:t>
            </w:r>
            <w:r>
              <w:rPr>
                <w:rFonts w:hint="eastAsia" w:ascii="楷体_GB2312" w:eastAsia="楷体_GB2312" w:cs="楷体_GB2312"/>
                <w:sz w:val="20"/>
                <w:szCs w:val="20"/>
              </w:rPr>
              <w:t>湖州吴兴农村商业银行股份有限公司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3.企业名称：【</w:t>
            </w:r>
            <w:r>
              <w:rPr>
                <w:rFonts w:hint="eastAsia" w:ascii="楷体_GB2312" w:eastAsia="楷体_GB2312" w:cs="楷体_GB2312"/>
                <w:sz w:val="20"/>
                <w:szCs w:val="20"/>
              </w:rPr>
              <w:t>浙江台州路桥农村商业银行股份有限公司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4.企业名称：【</w:t>
            </w:r>
            <w:r>
              <w:rPr>
                <w:rFonts w:hint="eastAsia" w:ascii="楷体_GB2312" w:eastAsia="楷体_GB2312" w:cs="楷体_GB2312"/>
                <w:sz w:val="20"/>
                <w:szCs w:val="20"/>
              </w:rPr>
              <w:t>浙江天台农村商业银行股份有限公司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5.企业名称：【</w:t>
            </w:r>
            <w:r>
              <w:rPr>
                <w:rFonts w:hint="eastAsia" w:ascii="楷体_GB2312" w:eastAsia="楷体_GB2312" w:cs="楷体_GB2312"/>
                <w:sz w:val="20"/>
                <w:szCs w:val="20"/>
              </w:rPr>
              <w:t>浙江南浔农村商业银行股份有限公司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6.企业名称：【</w:t>
            </w:r>
            <w:r>
              <w:rPr>
                <w:rFonts w:hint="eastAsia" w:ascii="楷体_GB2312" w:eastAsia="楷体_GB2312" w:cs="楷体_GB2312"/>
                <w:sz w:val="20"/>
                <w:szCs w:val="20"/>
              </w:rPr>
              <w:t>浙江新昌农村商业银行股份有限公司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7.企业名称：【</w:t>
            </w:r>
            <w:r>
              <w:rPr>
                <w:rFonts w:hint="eastAsia" w:ascii="楷体_GB2312" w:eastAsia="楷体_GB2312" w:cs="楷体_GB2312"/>
                <w:sz w:val="20"/>
                <w:szCs w:val="20"/>
              </w:rPr>
              <w:t>浙江温岭农村商业银行股份有限公司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8.</w:t>
            </w:r>
            <w:r>
              <w:rPr>
                <w:rFonts w:hint="eastAsia" w:ascii="楷体_GB2312" w:eastAsia="楷体_GB2312" w:cs="楷体_GB2312"/>
                <w:sz w:val="20"/>
                <w:szCs w:val="20"/>
              </w:rPr>
              <w:t>企业名称【浙江松阳农村商业银行股份有限公司】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浙江省丽水市松阳县水南街道要津南路71号</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企业名称【浙江平阳农村商业银行股份有限公司】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企业名称【浙江瑞安农村商业银行股份有限公司】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企业名称【浙江桐乡农村商业银行股份有限公司】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r>
              <w:rPr>
                <w:rFonts w:hint="eastAsia"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22.企业名称：【</w:t>
            </w:r>
            <w:r>
              <w:rPr>
                <w:rFonts w:hint="eastAsia" w:ascii="楷体_GB2312" w:eastAsia="楷体_GB2312" w:cs="楷体_GB2312"/>
                <w:sz w:val="20"/>
                <w:szCs w:val="20"/>
              </w:rPr>
              <w:t>浙江海宁农村商业银行股份有限公司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23.企业名称：【</w:t>
            </w:r>
            <w:r>
              <w:rPr>
                <w:rFonts w:hint="eastAsia" w:ascii="楷体_GB2312" w:eastAsia="楷体_GB2312" w:cs="楷体_GB2312"/>
                <w:sz w:val="20"/>
                <w:szCs w:val="20"/>
              </w:rPr>
              <w:t>浙江青田农村商业银行股份有限公司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24.企业名称：【</w:t>
            </w:r>
            <w:r>
              <w:rPr>
                <w:rFonts w:hint="eastAsia" w:ascii="楷体_GB2312" w:eastAsia="楷体_GB2312" w:cs="楷体_GB2312"/>
                <w:sz w:val="20"/>
                <w:szCs w:val="20"/>
              </w:rPr>
              <w:t>宁波宁海农村商业银行股份有限公司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25.企业名称：【</w:t>
            </w:r>
            <w:r>
              <w:rPr>
                <w:rFonts w:hint="eastAsia" w:ascii="楷体_GB2312" w:eastAsia="楷体_GB2312" w:cs="楷体_GB2312"/>
                <w:sz w:val="20"/>
                <w:szCs w:val="20"/>
              </w:rPr>
              <w:t>浙江上虞农村商业银行股份有限公司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26.企业名称：【</w:t>
            </w:r>
            <w:r>
              <w:rPr>
                <w:rFonts w:hint="eastAsia" w:ascii="楷体_GB2312" w:eastAsia="楷体_GB2312" w:cs="楷体_GB2312"/>
                <w:sz w:val="20"/>
                <w:szCs w:val="20"/>
              </w:rPr>
              <w:t>浙江淳安农村商业银行股份有限公司</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7008" w:type="dxa"/>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企业</w:t>
            </w:r>
            <w:r>
              <w:rPr>
                <w:rFonts w:ascii="楷体_GB2312" w:eastAsia="楷体_GB2312" w:cs="楷体_GB2312"/>
                <w:color w:val="000000" w:themeColor="text1"/>
                <w:sz w:val="20"/>
                <w:szCs w:val="20"/>
                <w14:textFill>
                  <w14:solidFill>
                    <w14:schemeClr w14:val="tx1"/>
                  </w14:solidFill>
                </w14:textFill>
              </w:rPr>
              <w:t>名称：</w:t>
            </w:r>
            <w:r>
              <w:rPr>
                <w:rFonts w:hint="eastAsia" w:ascii="楷体_GB2312" w:eastAsia="楷体_GB2312" w:cs="楷体_GB2312"/>
                <w:color w:val="000000" w:themeColor="text1"/>
                <w:sz w:val="20"/>
                <w:szCs w:val="20"/>
                <w14:textFill>
                  <w14:solidFill>
                    <w14:schemeClr w14:val="tx1"/>
                  </w14:solidFill>
                </w14:textFill>
              </w:rPr>
              <w:t>【中信银行股份有限公司】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w:t>
            </w:r>
            <w:r>
              <w:rPr>
                <w:rFonts w:ascii="楷体_GB2312" w:eastAsia="楷体_GB2312" w:cs="楷体_GB2312"/>
                <w:color w:val="000000" w:themeColor="text1"/>
                <w:sz w:val="20"/>
                <w:szCs w:val="20"/>
                <w14:textFill>
                  <w14:solidFill>
                    <w14:schemeClr w14:val="tx1"/>
                  </w14:solidFill>
                </w14:textFill>
              </w:rPr>
              <w:t>社会信用代码：【91110000101690725E】</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纳税人识别号</w:t>
            </w:r>
            <w:r>
              <w:rPr>
                <w:rFonts w:ascii="楷体_GB2312" w:eastAsia="楷体_GB2312" w:cs="楷体_GB2312"/>
                <w:color w:val="000000" w:themeColor="text1"/>
                <w:sz w:val="20"/>
                <w:szCs w:val="20"/>
                <w14:textFill>
                  <w14:solidFill>
                    <w14:schemeClr w14:val="tx1"/>
                  </w14:solidFill>
                </w14:textFill>
              </w:rPr>
              <w:t>：【91110000101690725E】</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法定</w:t>
            </w:r>
            <w:r>
              <w:rPr>
                <w:rFonts w:ascii="楷体_GB2312" w:eastAsia="楷体_GB2312" w:cs="楷体_GB2312"/>
                <w:color w:val="000000" w:themeColor="text1"/>
                <w:sz w:val="20"/>
                <w:szCs w:val="20"/>
                <w14:textFill>
                  <w14:solidFill>
                    <w14:schemeClr w14:val="tx1"/>
                  </w14:solidFill>
                </w14:textFill>
              </w:rPr>
              <w:t>代表人：</w:t>
            </w:r>
            <w:r>
              <w:rPr>
                <w:rFonts w:hint="eastAsia" w:ascii="楷体_GB2312" w:eastAsia="楷体_GB2312" w:cs="楷体_GB2312"/>
                <w:color w:val="000000" w:themeColor="text1"/>
                <w:sz w:val="20"/>
                <w:szCs w:val="20"/>
                <w14:textFill>
                  <w14:solidFill>
                    <w14:schemeClr w14:val="tx1"/>
                  </w14:solidFill>
                </w14:textFill>
              </w:rPr>
              <w:t>【朱鹤新</w:t>
            </w:r>
            <w:r>
              <w:rPr>
                <w:rFonts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住所</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【北京市朝阳区光华路</w:t>
            </w:r>
            <w:r>
              <w:rPr>
                <w:rFonts w:ascii="楷体_GB2312" w:eastAsia="楷体_GB2312" w:cs="楷体_GB2312"/>
                <w:color w:val="000000" w:themeColor="text1"/>
                <w:sz w:val="20"/>
                <w:szCs w:val="20"/>
                <w14:textFill>
                  <w14:solidFill>
                    <w14:schemeClr w14:val="tx1"/>
                  </w14:solidFill>
                </w14:textFill>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信银理财</w:t>
            </w:r>
            <w:r>
              <w:rPr>
                <w:rFonts w:hint="eastAsia" w:ascii="楷体_GB2312" w:eastAsia="楷体_GB2312" w:cs="楷体_GB2312"/>
                <w:sz w:val="20"/>
                <w:szCs w:val="20"/>
              </w:rPr>
              <w:t>为投资者</w:t>
            </w:r>
            <w:r>
              <w:rPr>
                <w:rFonts w:ascii="楷体_GB2312" w:eastAsia="楷体_GB2312" w:cs="楷体_GB2312"/>
                <w:sz w:val="20"/>
                <w:szCs w:val="20"/>
              </w:rPr>
              <w:t>开立的</w:t>
            </w:r>
            <w:r>
              <w:rPr>
                <w:rFonts w:hint="eastAsia" w:ascii="楷体_GB2312" w:eastAsia="楷体_GB2312" w:cs="楷体_GB2312"/>
                <w:sz w:val="20"/>
                <w:szCs w:val="20"/>
              </w:rPr>
              <w:t>，唯一</w:t>
            </w:r>
            <w:r>
              <w:rPr>
                <w:rFonts w:ascii="楷体_GB2312" w:eastAsia="楷体_GB2312" w:cs="楷体_GB2312"/>
                <w:sz w:val="20"/>
                <w:szCs w:val="20"/>
              </w:rPr>
              <w:t>用于</w:t>
            </w:r>
            <w:r>
              <w:rPr>
                <w:rFonts w:hint="eastAsia" w:ascii="楷体_GB2312" w:eastAsia="楷体_GB2312" w:cs="楷体_GB2312"/>
                <w:sz w:val="20"/>
                <w:szCs w:val="20"/>
              </w:rPr>
              <w:t>信银</w:t>
            </w:r>
            <w:r>
              <w:rPr>
                <w:rFonts w:ascii="楷体_GB2312" w:eastAsia="楷体_GB2312" w:cs="楷体_GB2312"/>
                <w:sz w:val="20"/>
                <w:szCs w:val="20"/>
              </w:rPr>
              <w:t>理财管理和记录投资者持有信银理财理财产品份额及</w:t>
            </w: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份额</w:t>
            </w:r>
            <w:r>
              <w:rPr>
                <w:rFonts w:ascii="楷体_GB2312" w:eastAsia="楷体_GB2312" w:cs="楷体_GB2312"/>
                <w:sz w:val="20"/>
                <w:szCs w:val="20"/>
              </w:rPr>
              <w:t>变化</w:t>
            </w:r>
            <w:r>
              <w:rPr>
                <w:rFonts w:hint="eastAsia" w:ascii="楷体_GB2312" w:eastAsia="楷体_GB2312" w:cs="楷体_GB2312"/>
                <w:sz w:val="20"/>
                <w:szCs w:val="20"/>
              </w:rPr>
              <w:t>等</w:t>
            </w:r>
            <w:r>
              <w:rPr>
                <w:rFonts w:ascii="楷体_GB2312" w:eastAsia="楷体_GB2312" w:cs="楷体_GB2312"/>
                <w:sz w:val="20"/>
                <w:szCs w:val="20"/>
              </w:rPr>
              <w:t>情况的账户。</w:t>
            </w:r>
            <w:r>
              <w:rPr>
                <w:rFonts w:hint="eastAsia" w:ascii="楷体_GB2312" w:eastAsia="楷体_GB2312" w:cs="楷体_GB2312"/>
                <w:sz w:val="20"/>
                <w:szCs w:val="20"/>
              </w:rPr>
              <w:t>投资者购买信银</w:t>
            </w:r>
            <w:r>
              <w:rPr>
                <w:rFonts w:ascii="楷体_GB2312" w:eastAsia="楷体_GB2312" w:cs="楷体_GB2312"/>
                <w:sz w:val="20"/>
                <w:szCs w:val="20"/>
              </w:rPr>
              <w:t>理财理财产品的，信银理财</w:t>
            </w:r>
            <w:r>
              <w:rPr>
                <w:rFonts w:hint="eastAsia" w:ascii="楷体_GB2312" w:eastAsia="楷体_GB2312" w:cs="楷体_GB2312"/>
                <w:sz w:val="20"/>
                <w:szCs w:val="20"/>
              </w:rPr>
              <w:t>将为其开立</w:t>
            </w:r>
            <w:r>
              <w:rPr>
                <w:rFonts w:ascii="楷体_GB2312" w:eastAsia="楷体_GB2312" w:cs="楷体_GB2312"/>
                <w:sz w:val="20"/>
                <w:szCs w:val="20"/>
              </w:rPr>
              <w:t>理财账户</w:t>
            </w:r>
            <w:r>
              <w:rPr>
                <w:rFonts w:hint="eastAsia" w:ascii="楷体_GB2312" w:eastAsia="楷体_GB2312" w:cs="楷体_GB2312"/>
                <w:sz w:val="20"/>
                <w:szCs w:val="20"/>
              </w:rPr>
              <w:t>。开户需要的信息和要求以</w:t>
            </w:r>
            <w:r>
              <w:rPr>
                <w:rFonts w:ascii="楷体_GB2312" w:eastAsia="楷体_GB2312" w:cs="楷体_GB2312"/>
                <w:sz w:val="20"/>
                <w:szCs w:val="20"/>
              </w:rPr>
              <w:t>信银理财或代销机构</w:t>
            </w:r>
            <w:r>
              <w:rPr>
                <w:rFonts w:hint="eastAsia" w:ascii="楷体_GB2312" w:eastAsia="楷体_GB2312" w:cs="楷体_GB2312"/>
                <w:sz w:val="20"/>
                <w:szCs w:val="20"/>
              </w:rPr>
              <w:t>营业</w:t>
            </w:r>
            <w:r>
              <w:rPr>
                <w:rFonts w:ascii="楷体_GB2312" w:eastAsia="楷体_GB2312" w:cs="楷体_GB2312"/>
                <w:sz w:val="20"/>
                <w:szCs w:val="20"/>
              </w:rPr>
              <w:t>场所或线上办理要求</w:t>
            </w:r>
            <w:r>
              <w:rPr>
                <w:rFonts w:hint="eastAsia" w:ascii="楷体_GB2312" w:eastAsia="楷体_GB2312" w:cs="楷体_GB2312"/>
                <w:sz w:val="20"/>
                <w:szCs w:val="20"/>
              </w:rPr>
              <w:t>为准</w:t>
            </w:r>
            <w:r>
              <w:rPr>
                <w:rFonts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7008" w:type="dxa"/>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88" w:type="dxa"/>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7008" w:type="dxa"/>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对说明书条款进行补充、说明和修改，投资者不接受的，可于最近</w:t>
            </w:r>
            <w:r>
              <w:rPr>
                <w:rFonts w:ascii="楷体_GB2312" w:eastAsia="楷体_GB2312" w:cs="楷体_GB2312"/>
                <w:sz w:val="20"/>
                <w:szCs w:val="20"/>
              </w:rPr>
              <w:t>一个</w:t>
            </w:r>
            <w:r>
              <w:rPr>
                <w:rFonts w:hint="eastAsia" w:ascii="楷体_GB2312" w:eastAsia="楷体_GB2312" w:cs="楷体_GB2312"/>
                <w:sz w:val="20"/>
                <w:szCs w:val="20"/>
              </w:rPr>
              <w:t>开放日赎回理财产品。信银理财有权</w:t>
            </w:r>
            <w:r>
              <w:rPr>
                <w:rFonts w:ascii="楷体_GB2312" w:eastAsia="楷体_GB2312" w:cs="楷体_GB2312"/>
                <w:sz w:val="20"/>
                <w:szCs w:val="20"/>
              </w:rPr>
              <w:t>根据情况决定增加临时开放日。</w:t>
            </w:r>
            <w:r>
              <w:rPr>
                <w:rFonts w:hint="eastAsia" w:ascii="楷体_GB2312" w:eastAsia="楷体_GB2312" w:cs="楷体_GB2312"/>
                <w:sz w:val="20"/>
                <w:szCs w:val="20"/>
              </w:rPr>
              <w:t>信银理财根据</w:t>
            </w:r>
            <w:r>
              <w:rPr>
                <w:rFonts w:ascii="楷体_GB2312" w:eastAsia="楷体_GB2312" w:cs="楷体_GB2312"/>
                <w:sz w:val="20"/>
                <w:szCs w:val="20"/>
              </w:rPr>
              <w:t>法律法规</w:t>
            </w:r>
            <w:r>
              <w:rPr>
                <w:rFonts w:hint="eastAsia" w:ascii="楷体_GB2312" w:eastAsia="楷体_GB2312" w:cs="楷体_GB2312"/>
                <w:sz w:val="20"/>
                <w:szCs w:val="20"/>
              </w:rPr>
              <w:t>、监管</w:t>
            </w:r>
            <w:r>
              <w:rPr>
                <w:rFonts w:ascii="楷体_GB2312" w:eastAsia="楷体_GB2312" w:cs="楷体_GB2312"/>
                <w:sz w:val="20"/>
                <w:szCs w:val="20"/>
              </w:rPr>
              <w:t>规定</w:t>
            </w:r>
            <w:r>
              <w:rPr>
                <w:rFonts w:hint="eastAsia" w:ascii="楷体_GB2312" w:eastAsia="楷体_GB2312" w:cs="楷体_GB2312"/>
                <w:sz w:val="20"/>
                <w:szCs w:val="20"/>
              </w:rPr>
              <w:t>的</w:t>
            </w:r>
            <w:r>
              <w:rPr>
                <w:rFonts w:ascii="楷体_GB2312" w:eastAsia="楷体_GB2312" w:cs="楷体_GB2312"/>
                <w:sz w:val="20"/>
                <w:szCs w:val="20"/>
              </w:rPr>
              <w:t>强制性要求</w:t>
            </w:r>
            <w:r>
              <w:rPr>
                <w:rFonts w:hint="eastAsia" w:ascii="楷体_GB2312" w:eastAsia="楷体_GB2312" w:cs="楷体_GB2312"/>
                <w:sz w:val="20"/>
                <w:szCs w:val="20"/>
              </w:rPr>
              <w:t>对产品</w:t>
            </w:r>
            <w:r>
              <w:rPr>
                <w:rFonts w:ascii="楷体_GB2312" w:eastAsia="楷体_GB2312" w:cs="楷体_GB2312"/>
                <w:sz w:val="20"/>
                <w:szCs w:val="20"/>
              </w:rPr>
              <w:t>说明书做出修改的，无须</w:t>
            </w:r>
            <w:r>
              <w:rPr>
                <w:rFonts w:hint="eastAsia" w:ascii="楷体_GB2312" w:eastAsia="楷体_GB2312" w:cs="楷体_GB2312"/>
                <w:sz w:val="20"/>
                <w:szCs w:val="20"/>
              </w:rPr>
              <w:t>取得</w:t>
            </w:r>
            <w:r>
              <w:rPr>
                <w:rFonts w:ascii="楷体_GB2312" w:eastAsia="楷体_GB2312" w:cs="楷体_GB2312"/>
                <w:sz w:val="20"/>
                <w:szCs w:val="20"/>
              </w:rPr>
              <w:t>投资</w:t>
            </w:r>
            <w:r>
              <w:rPr>
                <w:rFonts w:hint="eastAsia" w:ascii="楷体_GB2312" w:eastAsia="楷体_GB2312" w:cs="楷体_GB2312"/>
                <w:sz w:val="20"/>
                <w:szCs w:val="20"/>
              </w:rPr>
              <w:t>者</w:t>
            </w:r>
            <w:r>
              <w:rPr>
                <w:rFonts w:ascii="楷体_GB2312" w:eastAsia="楷体_GB2312" w:cs="楷体_GB2312"/>
                <w:sz w:val="20"/>
                <w:szCs w:val="20"/>
              </w:rPr>
              <w:t>同意。</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本</w:t>
            </w:r>
            <w:r>
              <w:rPr>
                <w:rFonts w:ascii="楷体_GB2312" w:eastAsia="楷体_GB2312" w:cs="楷体_GB2312"/>
                <w:sz w:val="20"/>
                <w:szCs w:val="20"/>
              </w:rPr>
              <w:t>产品成立后，</w:t>
            </w:r>
            <w:r>
              <w:rPr>
                <w:rFonts w:hint="eastAsia" w:ascii="楷体_GB2312" w:eastAsia="楷体_GB2312" w:cs="楷体_GB2312"/>
                <w:sz w:val="20"/>
                <w:szCs w:val="20"/>
              </w:rPr>
              <w:t>信银理财</w:t>
            </w:r>
            <w:r>
              <w:rPr>
                <w:rFonts w:ascii="楷体_GB2312" w:eastAsia="楷体_GB2312" w:cs="楷体_GB2312"/>
                <w:sz w:val="20"/>
                <w:szCs w:val="20"/>
              </w:rPr>
              <w:t>将</w:t>
            </w:r>
            <w:r>
              <w:rPr>
                <w:rFonts w:hint="eastAsia" w:ascii="楷体_GB2312" w:eastAsia="楷体_GB2312" w:cs="楷体_GB2312"/>
                <w:sz w:val="20"/>
                <w:szCs w:val="20"/>
              </w:rPr>
              <w:t>在</w:t>
            </w:r>
            <w:r>
              <w:rPr>
                <w:rFonts w:ascii="楷体_GB2312" w:eastAsia="楷体_GB2312" w:cs="楷体_GB2312"/>
                <w:sz w:val="20"/>
                <w:szCs w:val="20"/>
              </w:rPr>
              <w:t>每个开放日结束后【</w:t>
            </w: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w:t>
            </w:r>
            <w:r>
              <w:rPr>
                <w:rFonts w:hint="eastAsia" w:ascii="楷体_GB2312" w:eastAsia="楷体_GB2312" w:cs="楷体_GB2312"/>
                <w:sz w:val="20"/>
                <w:szCs w:val="20"/>
              </w:rPr>
              <w:t>披露</w:t>
            </w:r>
            <w:r>
              <w:rPr>
                <w:rFonts w:ascii="楷体_GB2312" w:eastAsia="楷体_GB2312" w:cs="楷体_GB2312"/>
                <w:sz w:val="20"/>
                <w:szCs w:val="20"/>
              </w:rPr>
              <w:t>该开放日的份额净值、份额累计净值、认购</w:t>
            </w:r>
            <w:r>
              <w:rPr>
                <w:rFonts w:hint="eastAsia" w:ascii="楷体_GB2312" w:eastAsia="楷体_GB2312" w:cs="楷体_GB2312"/>
                <w:sz w:val="20"/>
                <w:szCs w:val="20"/>
              </w:rPr>
              <w:t>/申购</w:t>
            </w:r>
            <w:r>
              <w:rPr>
                <w:rFonts w:ascii="楷体_GB2312" w:eastAsia="楷体_GB2312" w:cs="楷体_GB2312"/>
                <w:sz w:val="20"/>
                <w:szCs w:val="20"/>
              </w:rPr>
              <w:t>价格和赎回价格</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如本产品合作销售机构有新增、减少和变更，信银理财将提前【2】个工作日内向投资者发布相关信息。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11.</w:t>
            </w:r>
            <w:r>
              <w:rPr>
                <w:rFonts w:hint="eastAsia" w:ascii="楷体_GB2312" w:eastAsia="楷体_GB2312" w:cs="楷体_GB2312"/>
                <w:sz w:val="20"/>
                <w:szCs w:val="20"/>
              </w:rPr>
              <w:t>管理人</w:t>
            </w:r>
            <w:r>
              <w:rPr>
                <w:rFonts w:ascii="楷体_GB2312" w:eastAsia="楷体_GB2312" w:cs="楷体_GB2312"/>
                <w:sz w:val="20"/>
                <w:szCs w:val="20"/>
              </w:rPr>
              <w:t>在运用收取短期赎回费、摆动定价等措施后，</w:t>
            </w:r>
            <w:r>
              <w:rPr>
                <w:rFonts w:hint="eastAsia" w:ascii="楷体_GB2312" w:eastAsia="楷体_GB2312" w:cs="楷体_GB2312"/>
                <w:sz w:val="20"/>
                <w:szCs w:val="20"/>
              </w:rPr>
              <w:t>将</w:t>
            </w:r>
            <w:r>
              <w:rPr>
                <w:rFonts w:ascii="楷体_GB2312" w:eastAsia="楷体_GB2312" w:cs="楷体_GB2312"/>
                <w:sz w:val="20"/>
                <w:szCs w:val="20"/>
              </w:rPr>
              <w:t>在【3</w:t>
            </w:r>
            <w:r>
              <w:rPr>
                <w:rFonts w:hint="eastAsia" w:ascii="楷体_GB2312" w:eastAsia="楷体_GB2312" w:cs="楷体_GB2312"/>
                <w:sz w:val="20"/>
                <w:szCs w:val="20"/>
              </w:rPr>
              <w:t>】</w:t>
            </w:r>
            <w:r>
              <w:rPr>
                <w:rFonts w:ascii="楷体_GB2312" w:eastAsia="楷体_GB2312" w:cs="楷体_GB2312"/>
                <w:sz w:val="20"/>
                <w:szCs w:val="20"/>
              </w:rPr>
              <w:t>个交易日内告知投资者；在运用暂停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/申</w:t>
            </w:r>
            <w:r>
              <w:rPr>
                <w:rFonts w:ascii="楷体_GB2312" w:eastAsia="楷体_GB2312" w:cs="楷体_GB2312"/>
                <w:sz w:val="20"/>
                <w:szCs w:val="20"/>
              </w:rPr>
              <w:t>购、延期办理巨额赎回申请、暂停</w:t>
            </w:r>
            <w:r>
              <w:rPr>
                <w:rFonts w:hint="eastAsia" w:ascii="楷体_GB2312" w:eastAsia="楷体_GB2312" w:cs="楷体_GB2312"/>
                <w:sz w:val="20"/>
                <w:szCs w:val="20"/>
              </w:rPr>
              <w:t>或</w:t>
            </w:r>
            <w:r>
              <w:rPr>
                <w:rFonts w:ascii="楷体_GB2312" w:eastAsia="楷体_GB2312" w:cs="楷体_GB2312"/>
                <w:sz w:val="20"/>
                <w:szCs w:val="20"/>
              </w:rPr>
              <w:t>拒绝接受赎回申请、延缓支付赎回款项、暂停理财产品估值等措施后，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12.如因实际投资运作需要等因素，管理人有权增加或调整开放日</w:t>
            </w:r>
            <w:r>
              <w:rPr>
                <w:rFonts w:hint="eastAsia" w:ascii="楷体_GB2312" w:eastAsia="楷体_GB2312" w:cs="楷体_GB2312"/>
                <w:sz w:val="20"/>
                <w:szCs w:val="20"/>
              </w:rPr>
              <w:t>和</w:t>
            </w:r>
            <w:r>
              <w:rPr>
                <w:rFonts w:ascii="楷体_GB2312" w:eastAsia="楷体_GB2312" w:cs="楷体_GB2312"/>
                <w:sz w:val="20"/>
                <w:szCs w:val="20"/>
              </w:rPr>
              <w:t>到期日，并最迟于增加或调整生效前</w:t>
            </w:r>
            <w:r>
              <w:rPr>
                <w:rFonts w:hint="eastAsia" w:ascii="楷体_GB2312" w:eastAsia="楷体_GB2312" w:cs="楷体_GB2312"/>
                <w:sz w:val="20"/>
                <w:szCs w:val="20"/>
              </w:rPr>
              <w:t>【2</w:t>
            </w:r>
            <w:r>
              <w:rPr>
                <w:rFonts w:ascii="楷体_GB2312" w:eastAsia="楷体_GB2312" w:cs="楷体_GB2312"/>
                <w:sz w:val="20"/>
                <w:szCs w:val="20"/>
              </w:rPr>
              <w:t>】个工作日</w:t>
            </w:r>
            <w:r>
              <w:rPr>
                <w:rFonts w:hint="eastAsia" w:ascii="楷体_GB2312" w:eastAsia="楷体_GB2312" w:cs="楷体_GB2312"/>
                <w:sz w:val="20"/>
                <w:szCs w:val="20"/>
              </w:rPr>
              <w:t>向投资者发布相关信息</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14.</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15.</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16.</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本</w:t>
            </w:r>
            <w:r>
              <w:rPr>
                <w:rFonts w:ascii="楷体_GB2312" w:eastAsia="楷体_GB2312" w:cs="楷体_GB2312"/>
                <w:sz w:val="20"/>
                <w:szCs w:val="20"/>
              </w:rPr>
              <w:t>产品存续期间，</w:t>
            </w:r>
            <w:r>
              <w:rPr>
                <w:rFonts w:hint="eastAsia" w:ascii="楷体_GB2312" w:eastAsia="楷体_GB2312" w:cs="楷体_GB2312"/>
                <w:sz w:val="20"/>
                <w:szCs w:val="20"/>
              </w:rPr>
              <w:t>信银理财</w:t>
            </w:r>
            <w:r>
              <w:rPr>
                <w:rFonts w:ascii="楷体_GB2312" w:eastAsia="楷体_GB2312" w:cs="楷体_GB2312"/>
                <w:sz w:val="20"/>
                <w:szCs w:val="20"/>
              </w:rPr>
              <w:t>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在</w:t>
            </w:r>
            <w:r>
              <w:rPr>
                <w:rFonts w:ascii="楷体_GB2312" w:eastAsia="楷体_GB2312" w:cs="楷体_GB2312"/>
                <w:sz w:val="20"/>
                <w:szCs w:val="20"/>
              </w:rPr>
              <w:t>定期报告中将披露本产品在季度、半年和年度最后一个市场交易日的份额净值、份额</w:t>
            </w:r>
            <w:r>
              <w:rPr>
                <w:rFonts w:hint="eastAsia" w:ascii="楷体_GB2312" w:eastAsia="楷体_GB2312" w:cs="楷体_GB2312"/>
                <w:sz w:val="20"/>
                <w:szCs w:val="20"/>
              </w:rPr>
              <w:t>累计</w:t>
            </w:r>
            <w:r>
              <w:rPr>
                <w:rFonts w:ascii="楷体_GB2312" w:eastAsia="楷体_GB2312" w:cs="楷体_GB2312"/>
                <w:sz w:val="20"/>
                <w:szCs w:val="20"/>
              </w:rPr>
              <w:t>净值和资产净值。</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管理人</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将在理财产品季度、半年和年度报告中披露理财产品组合资产情况及其流动性风险分析等</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w:t>
            </w:r>
            <w:r>
              <w:rPr>
                <w:rFonts w:hint="eastAsia" w:ascii="楷体_GB2312" w:eastAsia="楷体_GB2312" w:cs="楷体_GB2312"/>
                <w:sz w:val="20"/>
                <w:szCs w:val="20"/>
              </w:rPr>
              <w:t>信银理财</w:t>
            </w:r>
            <w:r>
              <w:rPr>
                <w:rFonts w:ascii="楷体_GB2312" w:eastAsia="楷体_GB2312" w:cs="楷体_GB2312"/>
                <w:sz w:val="20"/>
                <w:szCs w:val="20"/>
              </w:rPr>
              <w:t>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法律法规、监管规定及时向投资者发布相关信息。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w:t>
            </w:r>
            <w:r>
              <w:rPr>
                <w:rFonts w:hint="eastAsia" w:ascii="楷体_GB2312" w:eastAsia="楷体_GB2312" w:cs="楷体_GB2312"/>
                <w:sz w:val="20"/>
                <w:szCs w:val="20"/>
              </w:rPr>
              <w:t>信银理财</w:t>
            </w:r>
            <w:r>
              <w:rPr>
                <w:rFonts w:ascii="楷体_GB2312" w:eastAsia="楷体_GB2312" w:cs="楷体_GB2312"/>
                <w:sz w:val="20"/>
                <w:szCs w:val="20"/>
              </w:rPr>
              <w:t>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ind w:left="-2" w:leftChars="-1" w:right="53" w:rightChars="22" w:firstLine="400" w:firstLineChars="200"/>
        <w:jc w:val="both"/>
        <w:outlineLvl w:val="0"/>
      </w:pPr>
      <w:r>
        <w:rPr>
          <w:rFonts w:hint="eastAsia" w:ascii="黑体" w:hAnsi="Times New Roman" w:eastAsia="黑体" w:cs="黑体"/>
          <w:sz w:val="20"/>
          <w:szCs w:val="20"/>
        </w:rPr>
        <w:t>三、理财</w:t>
      </w:r>
      <w:r>
        <w:rPr>
          <w:rFonts w:ascii="黑体" w:hAnsi="Times New Roman" w:eastAsia="黑体" w:cs="黑体"/>
          <w:sz w:val="20"/>
          <w:szCs w:val="20"/>
        </w:rPr>
        <w:t>产品</w:t>
      </w:r>
      <w:r>
        <w:rPr>
          <w:rFonts w:hint="eastAsia" w:ascii="黑体" w:hAnsi="Times New Roman" w:eastAsia="黑体" w:cs="黑体"/>
          <w:sz w:val="20"/>
          <w:szCs w:val="20"/>
        </w:rPr>
        <w:t>管理人</w:t>
      </w:r>
    </w:p>
    <w:p>
      <w:pPr>
        <w:pStyle w:val="6"/>
        <w:spacing w:line="300" w:lineRule="exact"/>
        <w:ind w:right="36" w:rightChars="15" w:firstLine="4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sz w:val="20"/>
          <w:szCs w:val="20"/>
        </w:rPr>
        <w:t>在此授权并同意</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享有以下权利：</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sz w:val="20"/>
          <w:szCs w:val="20"/>
        </w:rPr>
        <w:t>1.</w:t>
      </w:r>
      <w:r>
        <w:rPr>
          <w:rFonts w:hint="eastAsia" w:ascii="Times New Roman" w:hAnsi="Times New Roman" w:eastAsia="楷体_GB2312"/>
          <w:sz w:val="20"/>
          <w:szCs w:val="20"/>
        </w:rPr>
        <w:t>按照理财</w:t>
      </w:r>
      <w:r>
        <w:rPr>
          <w:rFonts w:ascii="Times New Roman" w:hAnsi="Times New Roman" w:eastAsia="楷体_GB2312"/>
          <w:sz w:val="20"/>
          <w:szCs w:val="20"/>
        </w:rPr>
        <w:t>产品说明书</w:t>
      </w:r>
      <w:r>
        <w:rPr>
          <w:rFonts w:hint="eastAsia" w:ascii="Times New Roman" w:hAnsi="Times New Roman" w:eastAsia="楷体_GB2312"/>
          <w:sz w:val="20"/>
          <w:szCs w:val="20"/>
        </w:rPr>
        <w:t>的约定，管理、运用和处分理财资金。</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代表</w:t>
      </w:r>
      <w:r>
        <w:rPr>
          <w:rFonts w:ascii="Times New Roman" w:hAnsi="Times New Roman" w:eastAsia="楷体_GB2312" w:cs="楷体_GB2312"/>
          <w:sz w:val="20"/>
          <w:szCs w:val="20"/>
        </w:rPr>
        <w:t>理财产品</w:t>
      </w:r>
      <w:r>
        <w:rPr>
          <w:rFonts w:hint="eastAsia" w:ascii="Times New Roman" w:hAnsi="Times New Roman" w:eastAsia="楷体_GB2312" w:cs="楷体_GB2312"/>
          <w:sz w:val="20"/>
          <w:szCs w:val="20"/>
        </w:rPr>
        <w:t>签订投资和资产管理过程中涉及到的协议、合同等文本。</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cs="楷体_GB2312"/>
          <w:sz w:val="20"/>
          <w:szCs w:val="20"/>
        </w:rPr>
        <w:t>/企业等各类投资对象行使出资人/投资者权利（包括但不限于表决投票的权利）以及行使因理财产品财产投资于证券类基础资产（含债券、股票等）或其他基础资产（包括但不限于债权类资产）所产生的相关权利。</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sz w:val="20"/>
          <w:szCs w:val="20"/>
        </w:rPr>
        <w:t>4.</w:t>
      </w:r>
      <w:r>
        <w:rPr>
          <w:rFonts w:hint="eastAsia" w:ascii="Times New Roman" w:hAnsi="Times New Roman" w:eastAsia="楷体_GB2312"/>
          <w:sz w:val="20"/>
          <w:szCs w:val="20"/>
        </w:rPr>
        <w:t>以理财产品</w:t>
      </w:r>
      <w:r>
        <w:rPr>
          <w:rFonts w:ascii="Times New Roman" w:hAnsi="Times New Roman" w:eastAsia="楷体_GB2312"/>
          <w:sz w:val="20"/>
          <w:szCs w:val="20"/>
        </w:rPr>
        <w:t>投资管理人的名义，依照法律法规相关规定以及代表理财</w:t>
      </w:r>
      <w:r>
        <w:rPr>
          <w:rFonts w:hint="eastAsia" w:ascii="Times New Roman" w:hAnsi="Times New Roman" w:eastAsia="楷体_GB2312"/>
          <w:sz w:val="20"/>
          <w:szCs w:val="20"/>
        </w:rPr>
        <w:t>产品投资者</w:t>
      </w:r>
      <w:r>
        <w:rPr>
          <w:rFonts w:ascii="Times New Roman" w:hAnsi="Times New Roman" w:eastAsia="楷体_GB2312"/>
          <w:sz w:val="20"/>
          <w:szCs w:val="20"/>
        </w:rPr>
        <w:t>的利益行使代为追索的权利</w:t>
      </w:r>
      <w:r>
        <w:rPr>
          <w:rFonts w:hint="eastAsia" w:ascii="Times New Roman" w:hAnsi="Times New Roman" w:eastAsia="楷体_GB2312"/>
          <w:sz w:val="20"/>
          <w:szCs w:val="20"/>
        </w:rPr>
        <w:t>（包括</w:t>
      </w:r>
      <w:r>
        <w:rPr>
          <w:rFonts w:ascii="Times New Roman" w:hAnsi="Times New Roman" w:eastAsia="楷体_GB2312"/>
          <w:sz w:val="20"/>
          <w:szCs w:val="20"/>
        </w:rPr>
        <w:t>但不限于提起诉讼/</w:t>
      </w:r>
      <w:r>
        <w:rPr>
          <w:rFonts w:hint="eastAsia" w:ascii="Times New Roman" w:hAnsi="Times New Roman" w:eastAsia="楷体_GB2312"/>
          <w:sz w:val="20"/>
          <w:szCs w:val="20"/>
        </w:rPr>
        <w:t>仲裁</w:t>
      </w:r>
      <w:r>
        <w:rPr>
          <w:rFonts w:ascii="Times New Roman" w:hAnsi="Times New Roman" w:eastAsia="楷体_GB2312"/>
          <w:sz w:val="20"/>
          <w:szCs w:val="20"/>
        </w:rPr>
        <w:t>、申请保全/</w:t>
      </w:r>
      <w:r>
        <w:rPr>
          <w:rFonts w:hint="eastAsia" w:ascii="Times New Roman" w:hAnsi="Times New Roman" w:eastAsia="楷体_GB2312"/>
          <w:sz w:val="20"/>
          <w:szCs w:val="20"/>
        </w:rPr>
        <w:t>执行</w:t>
      </w:r>
      <w:r>
        <w:rPr>
          <w:rFonts w:ascii="Times New Roman" w:hAnsi="Times New Roman" w:eastAsia="楷体_GB2312"/>
          <w:sz w:val="20"/>
          <w:szCs w:val="20"/>
        </w:rPr>
        <w:t>的权利）或者实施</w:t>
      </w:r>
      <w:r>
        <w:rPr>
          <w:rFonts w:hint="eastAsia" w:ascii="Times New Roman" w:hAnsi="Times New Roman" w:eastAsia="楷体_GB2312"/>
          <w:sz w:val="20"/>
          <w:szCs w:val="20"/>
        </w:rPr>
        <w:t>风险处置，行使、放弃、变更相关权利义务等</w:t>
      </w:r>
      <w:r>
        <w:rPr>
          <w:rFonts w:ascii="Times New Roman" w:hAnsi="Times New Roman" w:eastAsia="楷体_GB2312"/>
          <w:sz w:val="20"/>
          <w:szCs w:val="20"/>
        </w:rPr>
        <w:t>其他法律行为</w:t>
      </w:r>
      <w:r>
        <w:rPr>
          <w:rFonts w:hint="eastAsia" w:ascii="Times New Roman" w:hAnsi="Times New Roman" w:eastAsia="楷体_GB2312"/>
          <w:sz w:val="20"/>
          <w:szCs w:val="20"/>
        </w:rPr>
        <w:t>，</w:t>
      </w:r>
      <w:r>
        <w:rPr>
          <w:rFonts w:ascii="Times New Roman" w:hAnsi="Times New Roman" w:eastAsia="楷体_GB2312"/>
          <w:sz w:val="20"/>
          <w:szCs w:val="20"/>
        </w:rPr>
        <w:t>产生的合理费用由理财产品承担。</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5.按照理财产品说明书的约定，及时、足额获得投资管理费和本产品说明书约定的其他费用（如有）</w:t>
      </w:r>
      <w:r>
        <w:rPr>
          <w:rFonts w:hint="eastAsia" w:ascii="Times New Roman" w:hAnsi="Times New Roman" w:eastAsia="楷体_GB2312" w:cs="楷体_GB2312"/>
          <w:sz w:val="20"/>
          <w:szCs w:val="20"/>
        </w:rPr>
        <w:t>。</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6.管理人以其固有财产先行垫付因处理本理财产品相关事务所支出的费用及税费的，对理财产品资金享有优先受偿的权利</w:t>
      </w:r>
      <w:r>
        <w:rPr>
          <w:rFonts w:hint="eastAsia" w:ascii="Times New Roman" w:hAnsi="Times New Roman" w:eastAsia="楷体_GB2312" w:cs="楷体_GB2312"/>
          <w:sz w:val="20"/>
          <w:szCs w:val="20"/>
        </w:rPr>
        <w:t>。</w:t>
      </w:r>
    </w:p>
    <w:p>
      <w:pPr>
        <w:spacing w:line="300" w:lineRule="exact"/>
        <w:ind w:right="36" w:rightChars="15"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7.管理人有权按照法律规定和监管机构的要求将投资者的信息向有权部门或相关机构披露</w:t>
      </w:r>
      <w:r>
        <w:rPr>
          <w:rFonts w:hint="eastAsia" w:ascii="Times New Roman" w:hAnsi="Times New Roman" w:eastAsia="楷体_GB2312" w:cs="楷体_GB2312"/>
          <w:sz w:val="20"/>
          <w:szCs w:val="20"/>
        </w:rPr>
        <w:t>。</w:t>
      </w:r>
    </w:p>
    <w:p>
      <w:pPr>
        <w:spacing w:line="300" w:lineRule="exact"/>
        <w:ind w:left="-2" w:leftChars="-1" w:right="36" w:rightChars="15" w:firstLine="480" w:firstLineChars="200"/>
      </w:pPr>
    </w:p>
    <w:p>
      <w:pPr>
        <w:spacing w:line="300" w:lineRule="exact"/>
        <w:ind w:left="-2" w:leftChars="-1" w:right="36" w:rightChars="15" w:firstLine="400" w:firstLineChars="200"/>
        <w:jc w:val="both"/>
        <w:rPr>
          <w:rFonts w:ascii="黑体" w:hAnsi="Times New Roman" w:eastAsia="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r>
        <w:rPr>
          <w:rFonts w:hint="eastAsia" w:ascii="黑体" w:hAnsi="Times New Roman" w:eastAsia="黑体" w:cs="黑体"/>
          <w:sz w:val="20"/>
          <w:szCs w:val="20"/>
        </w:rPr>
        <w:t>申购</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投资者</w:t>
      </w:r>
      <w:r>
        <w:rPr>
          <w:rFonts w:ascii="楷体_GB2312" w:eastAsia="楷体_GB2312" w:cs="楷体_GB2312"/>
          <w:sz w:val="20"/>
          <w:szCs w:val="20"/>
        </w:rPr>
        <w:t>可在</w:t>
      </w:r>
      <w:r>
        <w:rPr>
          <w:rFonts w:hint="eastAsia" w:ascii="楷体_GB2312" w:eastAsia="楷体_GB2312" w:cs="楷体_GB2312"/>
          <w:sz w:val="20"/>
          <w:szCs w:val="20"/>
        </w:rPr>
        <w:t>本产品募集期内</w:t>
      </w:r>
      <w:r>
        <w:rPr>
          <w:rFonts w:ascii="楷体_GB2312" w:eastAsia="楷体_GB2312" w:cs="楷体_GB2312"/>
          <w:sz w:val="20"/>
          <w:szCs w:val="20"/>
        </w:rPr>
        <w:t>进行认购。</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本产品采取金额认购</w:t>
      </w:r>
      <w:r>
        <w:rPr>
          <w:rFonts w:ascii="楷体_GB2312" w:eastAsia="楷体_GB2312" w:cs="楷体_GB2312"/>
          <w:sz w:val="20"/>
          <w:szCs w:val="20"/>
        </w:rPr>
        <w:t>的</w:t>
      </w:r>
      <w:r>
        <w:rPr>
          <w:rFonts w:hint="eastAsia" w:ascii="楷体_GB2312" w:eastAsia="楷体_GB2312" w:cs="楷体_GB2312"/>
          <w:sz w:val="20"/>
          <w:szCs w:val="20"/>
        </w:rPr>
        <w:t>方式，认购份额</w:t>
      </w:r>
      <w:r>
        <w:rPr>
          <w:rFonts w:ascii="楷体_GB2312" w:eastAsia="楷体_GB2312" w:cs="楷体_GB2312"/>
          <w:sz w:val="20"/>
          <w:szCs w:val="20"/>
        </w:rPr>
        <w:t>=</w:t>
      </w:r>
      <w:r>
        <w:rPr>
          <w:rFonts w:hint="eastAsia" w:ascii="楷体_GB2312" w:eastAsia="楷体_GB2312" w:cs="楷体_GB2312"/>
          <w:sz w:val="20"/>
          <w:szCs w:val="20"/>
        </w:rPr>
        <w:t>人民币认购金额×（</w:t>
      </w:r>
      <w:r>
        <w:rPr>
          <w:rFonts w:ascii="楷体_GB2312" w:eastAsia="楷体_GB2312" w:cs="楷体_GB2312"/>
          <w:sz w:val="20"/>
          <w:szCs w:val="20"/>
        </w:rPr>
        <w:t>1-</w:t>
      </w:r>
      <w:r>
        <w:rPr>
          <w:rFonts w:hint="eastAsia" w:ascii="楷体_GB2312" w:eastAsia="楷体_GB2312" w:cs="楷体_GB2312"/>
          <w:sz w:val="20"/>
          <w:szCs w:val="20"/>
        </w:rPr>
        <w:t>认购费率）</w:t>
      </w:r>
      <w:r>
        <w:rPr>
          <w:rFonts w:ascii="楷体_GB2312" w:eastAsia="楷体_GB2312" w:cs="楷体_GB2312"/>
          <w:sz w:val="20"/>
          <w:szCs w:val="20"/>
        </w:rPr>
        <w:t>/1</w:t>
      </w:r>
      <w:r>
        <w:rPr>
          <w:rFonts w:hint="eastAsia" w:ascii="楷体_GB2312" w:eastAsia="楷体_GB2312" w:cs="楷体_GB2312"/>
          <w:sz w:val="20"/>
          <w:szCs w:val="20"/>
        </w:rPr>
        <w:t>元，认购份额按照四舍五入方法计算，保留小数点后【2】位，由此误差产生的损失由理财财产承担，产生的收益归理财财产所有。</w:t>
      </w:r>
    </w:p>
    <w:p>
      <w:pPr>
        <w:spacing w:line="300" w:lineRule="exact"/>
        <w:ind w:right="36" w:rightChars="15"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】日为认购份额确认日，</w:t>
      </w:r>
      <w:r>
        <w:rPr>
          <w:rFonts w:hint="eastAsia" w:ascii="楷体_GB2312" w:eastAsia="楷体_GB2312" w:cs="楷体_GB2312"/>
          <w:sz w:val="20"/>
          <w:szCs w:val="20"/>
        </w:rPr>
        <w:t>认购</w:t>
      </w:r>
      <w:r>
        <w:rPr>
          <w:rFonts w:ascii="楷体_GB2312" w:eastAsia="楷体_GB2312" w:cs="楷体_GB2312"/>
          <w:sz w:val="20"/>
          <w:szCs w:val="20"/>
        </w:rPr>
        <w:t>份额确认日后投资者可向产品销售渠道查询认购是否成功。</w:t>
      </w:r>
    </w:p>
    <w:p>
      <w:pPr>
        <w:spacing w:line="300" w:lineRule="exact"/>
        <w:ind w:left="-2" w:leftChars="-1" w:right="36" w:rightChars="15" w:firstLine="400" w:firstLineChars="200"/>
        <w:jc w:val="both"/>
        <w:rPr>
          <w:rFonts w:ascii="楷体_GB2312" w:eastAsia="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投资者可在本产品开放日的交易时间内进行</w:t>
      </w:r>
      <w:r>
        <w:rPr>
          <w:rFonts w:ascii="楷体_GB2312" w:eastAsia="楷体_GB2312" w:cs="楷体_GB2312"/>
          <w:sz w:val="20"/>
          <w:szCs w:val="20"/>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sz w:val="20"/>
          <w:szCs w:val="20"/>
        </w:rPr>
        <w:t>。非交易时间提交的申购申请将于下一个申购开放日正式受理，</w:t>
      </w:r>
      <w:r>
        <w:rPr>
          <w:rFonts w:ascii="楷体_GB2312" w:eastAsia="楷体_GB2312" w:cs="楷体_GB2312"/>
          <w:sz w:val="20"/>
          <w:szCs w:val="20"/>
        </w:rPr>
        <w:t>代销机构</w:t>
      </w:r>
      <w:r>
        <w:rPr>
          <w:rFonts w:hint="eastAsia" w:ascii="楷体_GB2312" w:eastAsia="楷体_GB2312" w:cs="楷体_GB2312"/>
          <w:sz w:val="20"/>
          <w:szCs w:val="20"/>
        </w:rPr>
        <w:t>有</w:t>
      </w:r>
      <w:r>
        <w:rPr>
          <w:rFonts w:ascii="楷体_GB2312" w:eastAsia="楷体_GB2312" w:cs="楷体_GB2312"/>
          <w:sz w:val="20"/>
          <w:szCs w:val="20"/>
        </w:rPr>
        <w:t>另行规定的，以代销机构的规定为准</w:t>
      </w:r>
      <w:r>
        <w:rPr>
          <w:rFonts w:hint="eastAsia" w:ascii="楷体_GB2312" w:eastAsia="楷体_GB2312" w:cs="楷体_GB2312"/>
          <w:sz w:val="20"/>
          <w:szCs w:val="20"/>
        </w:rPr>
        <w:t>。本产品按金额申购，按【申购开放】</w:t>
      </w:r>
      <w:r>
        <w:rPr>
          <w:rFonts w:ascii="楷体_GB2312" w:eastAsia="楷体_GB2312" w:cs="楷体_GB2312"/>
          <w:sz w:val="20"/>
          <w:szCs w:val="20"/>
        </w:rPr>
        <w:t>日的</w:t>
      </w:r>
      <w:r>
        <w:rPr>
          <w:rFonts w:hint="eastAsia" w:ascii="楷体_GB2312" w:eastAsia="楷体_GB2312" w:cs="楷体_GB2312"/>
          <w:sz w:val="20"/>
          <w:szCs w:val="20"/>
        </w:rPr>
        <w:t>单位净值计算申购份额，即申购份额＝申购金额×（</w:t>
      </w:r>
      <w:r>
        <w:rPr>
          <w:rFonts w:ascii="楷体_GB2312" w:eastAsia="楷体_GB2312" w:cs="楷体_GB2312"/>
          <w:sz w:val="20"/>
          <w:szCs w:val="20"/>
        </w:rPr>
        <w:t>1-</w:t>
      </w:r>
      <w:r>
        <w:rPr>
          <w:rFonts w:hint="eastAsia" w:ascii="楷体_GB2312" w:eastAsia="楷体_GB2312" w:cs="楷体_GB2312"/>
          <w:sz w:val="20"/>
          <w:szCs w:val="20"/>
        </w:rPr>
        <w:t>申购费率）</w:t>
      </w:r>
      <w:r>
        <w:rPr>
          <w:rFonts w:ascii="楷体_GB2312" w:eastAsia="楷体_GB2312" w:cs="楷体_GB2312"/>
          <w:sz w:val="20"/>
          <w:szCs w:val="20"/>
        </w:rPr>
        <w:t>/</w:t>
      </w:r>
      <w:r>
        <w:rPr>
          <w:rFonts w:hint="eastAsia" w:ascii="楷体_GB2312" w:eastAsia="楷体_GB2312" w:cs="楷体_GB2312"/>
          <w:sz w:val="20"/>
          <w:szCs w:val="20"/>
        </w:rPr>
        <w:t>【申购开放】</w:t>
      </w:r>
      <w:r>
        <w:rPr>
          <w:rFonts w:ascii="楷体_GB2312" w:eastAsia="楷体_GB2312" w:cs="楷体_GB2312"/>
          <w:sz w:val="20"/>
          <w:szCs w:val="20"/>
        </w:rPr>
        <w:t>日的</w:t>
      </w:r>
      <w:r>
        <w:rPr>
          <w:rFonts w:hint="eastAsia" w:ascii="楷体_GB2312" w:eastAsia="楷体_GB2312" w:cs="楷体_GB2312"/>
          <w:sz w:val="20"/>
          <w:szCs w:val="20"/>
        </w:rPr>
        <w:t>单位净值（申购份额按照四舍五入方法计算，保留小数点后【2】位，由此误差产生的损失由理财财产承担，产生的收益归理财财产所有）。</w:t>
      </w:r>
    </w:p>
    <w:p>
      <w:pPr>
        <w:spacing w:line="300" w:lineRule="exact"/>
        <w:ind w:right="36" w:rightChars="15" w:firstLine="400" w:firstLineChars="200"/>
        <w:jc w:val="both"/>
        <w:rPr>
          <w:rFonts w:ascii="楷体_GB2312" w:eastAsia="楷体_GB2312" w:cs="楷体_GB2312"/>
          <w:sz w:val="20"/>
          <w:szCs w:val="20"/>
          <w:u w:val="single"/>
        </w:rPr>
      </w:pPr>
      <w:r>
        <w:rPr>
          <w:rFonts w:hint="eastAsia" w:ascii="楷体_GB2312" w:eastAsia="楷体_GB2312" w:cs="楷体_GB2312"/>
          <w:sz w:val="20"/>
          <w:szCs w:val="20"/>
        </w:rPr>
        <w:t>例如，【某开放日投资者以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hint="eastAsia" w:ascii="楷体_GB2312" w:eastAsia="楷体_GB2312" w:cs="楷体_GB2312"/>
          <w:sz w:val="20"/>
          <w:szCs w:val="20"/>
        </w:rPr>
        <w:t>。</w:t>
      </w:r>
    </w:p>
    <w:p>
      <w:pPr>
        <w:spacing w:line="300" w:lineRule="exact"/>
        <w:ind w:right="36" w:rightChars="15" w:firstLine="400" w:firstLineChars="200"/>
        <w:jc w:val="both"/>
        <w:rPr>
          <w:rFonts w:ascii="楷体_GB2312" w:eastAsia="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上述示例采用假设数据计算，并不代表投资者实际可获得的份额。）</w:t>
      </w:r>
    </w:p>
    <w:p>
      <w:pPr>
        <w:spacing w:line="300" w:lineRule="exact"/>
        <w:ind w:left="-2" w:leftChars="-1"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【申购申请正式受理的开放日后第一个工作】日即为申购份额确认日，申购份额确认日后投资者可向产品销售渠道查询申购是否成功。</w:t>
      </w:r>
    </w:p>
    <w:p>
      <w:pPr>
        <w:spacing w:line="300" w:lineRule="exact"/>
        <w:ind w:left="-2" w:leftChars="-1"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left="-2" w:leftChars="-1" w:right="36" w:rightChars="15" w:firstLine="400" w:firstLineChars="200"/>
        <w:jc w:val="both"/>
        <w:rPr>
          <w:rFonts w:ascii="楷体_GB2312" w:eastAsia="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管理人保留不接受认、申购申请的权利。</w:t>
      </w:r>
    </w:p>
    <w:p>
      <w:pPr>
        <w:spacing w:line="300" w:lineRule="exact"/>
        <w:ind w:left="-2" w:leftChars="-1" w:right="36" w:rightChars="15" w:firstLine="400" w:firstLineChars="200"/>
        <w:rPr>
          <w:rFonts w:ascii="楷体_GB2312" w:eastAsia="楷体_GB2312" w:cs="楷体_GB2312"/>
          <w:sz w:val="20"/>
          <w:szCs w:val="20"/>
        </w:rPr>
      </w:pPr>
    </w:p>
    <w:p>
      <w:pPr>
        <w:spacing w:line="300" w:lineRule="exact"/>
        <w:ind w:left="-2" w:leftChars="-1" w:right="36" w:rightChars="15" w:firstLine="400" w:firstLineChars="200"/>
        <w:jc w:val="both"/>
      </w:pPr>
      <w:r>
        <w:rPr>
          <w:rFonts w:hint="eastAsia" w:ascii="黑体" w:hAnsi="Times New Roman" w:eastAsia="黑体" w:cs="黑体"/>
          <w:sz w:val="20"/>
          <w:szCs w:val="20"/>
        </w:rPr>
        <w:t>五、理财产品的赎回</w:t>
      </w:r>
    </w:p>
    <w:p>
      <w:pPr>
        <w:spacing w:line="300" w:lineRule="exact"/>
        <w:ind w:right="36" w:rightChars="15" w:firstLine="400" w:firstLineChars="200"/>
        <w:jc w:val="both"/>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本产品按份额赎回，</w:t>
      </w:r>
      <w:r>
        <w:rPr>
          <w:rFonts w:ascii="楷体_GB2312" w:eastAsia="楷体_GB2312" w:cs="楷体_GB2312"/>
          <w:sz w:val="20"/>
          <w:szCs w:val="20"/>
        </w:rPr>
        <w:t>A类份额</w:t>
      </w:r>
      <w:r>
        <w:rPr>
          <w:rFonts w:hint="eastAsia" w:ascii="楷体_GB2312" w:eastAsia="楷体_GB2312" w:cs="楷体_GB2312"/>
          <w:sz w:val="20"/>
          <w:szCs w:val="20"/>
        </w:rPr>
        <w:t>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份，B</w:t>
      </w:r>
      <w:r>
        <w:rPr>
          <w:rFonts w:ascii="楷体_GB2312" w:eastAsia="楷体_GB2312" w:cs="楷体_GB2312"/>
          <w:sz w:val="20"/>
          <w:szCs w:val="20"/>
        </w:rPr>
        <w:t>类份额</w:t>
      </w:r>
      <w:r>
        <w:rPr>
          <w:rFonts w:hint="eastAsia" w:ascii="楷体_GB2312" w:eastAsia="楷体_GB2312" w:cs="楷体_GB2312"/>
          <w:sz w:val="20"/>
          <w:szCs w:val="20"/>
        </w:rPr>
        <w:t>单次</w:t>
      </w:r>
      <w:r>
        <w:rPr>
          <w:rFonts w:ascii="楷体_GB2312" w:eastAsia="楷体_GB2312" w:cs="楷体_GB2312"/>
          <w:sz w:val="20"/>
          <w:szCs w:val="20"/>
        </w:rPr>
        <w:t>最低赎回份额为【</w:t>
      </w:r>
      <w:r>
        <w:rPr>
          <w:rFonts w:hint="eastAsia" w:ascii="楷体_GB2312" w:eastAsia="楷体_GB2312" w:cs="楷体_GB2312"/>
          <w:sz w:val="20"/>
          <w:szCs w:val="20"/>
        </w:rPr>
        <w:t>0</w:t>
      </w:r>
      <w:r>
        <w:rPr>
          <w:rFonts w:ascii="楷体_GB2312" w:eastAsia="楷体_GB2312" w:cs="楷体_GB2312"/>
          <w:sz w:val="20"/>
          <w:szCs w:val="20"/>
        </w:rPr>
        <w:t>.01】</w:t>
      </w:r>
      <w:r>
        <w:rPr>
          <w:rFonts w:hint="eastAsia" w:ascii="楷体_GB2312" w:eastAsia="楷体_GB2312" w:cs="楷体_GB2312"/>
          <w:sz w:val="20"/>
          <w:szCs w:val="20"/>
        </w:rPr>
        <w:t>份。</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2.投资者可</w:t>
      </w:r>
      <w:r>
        <w:rPr>
          <w:rFonts w:hint="eastAsia" w:ascii="楷体_GB2312" w:eastAsia="楷体_GB2312" w:cs="楷体_GB2312"/>
          <w:sz w:val="20"/>
          <w:szCs w:val="20"/>
        </w:rPr>
        <w:t>在</w:t>
      </w:r>
      <w:r>
        <w:rPr>
          <w:rFonts w:ascii="楷体_GB2312" w:eastAsia="楷体_GB2312" w:cs="楷体_GB2312"/>
          <w:sz w:val="20"/>
          <w:szCs w:val="20"/>
        </w:rPr>
        <w:t>本产品开放日的</w:t>
      </w:r>
      <w:r>
        <w:rPr>
          <w:rFonts w:hint="eastAsia" w:ascii="楷体_GB2312" w:eastAsia="楷体_GB2312" w:cs="楷体_GB2312"/>
          <w:sz w:val="20"/>
          <w:szCs w:val="20"/>
        </w:rPr>
        <w:t>交易</w:t>
      </w:r>
      <w:r>
        <w:rPr>
          <w:rFonts w:ascii="楷体_GB2312" w:eastAsia="楷体_GB2312" w:cs="楷体_GB2312"/>
          <w:sz w:val="20"/>
          <w:szCs w:val="20"/>
        </w:rPr>
        <w:t>时间内</w:t>
      </w:r>
      <w:r>
        <w:rPr>
          <w:rFonts w:hint="eastAsia" w:ascii="楷体_GB2312" w:eastAsia="楷体_GB2312" w:cs="楷体_GB2312"/>
          <w:sz w:val="20"/>
          <w:szCs w:val="20"/>
        </w:rPr>
        <w:t>申请</w:t>
      </w:r>
      <w:r>
        <w:rPr>
          <w:rFonts w:ascii="楷体_GB2312" w:eastAsia="楷体_GB2312" w:cs="楷体_GB2312"/>
          <w:sz w:val="20"/>
          <w:szCs w:val="20"/>
        </w:rPr>
        <w:t>赎回</w:t>
      </w:r>
      <w:r>
        <w:rPr>
          <w:rFonts w:hint="eastAsia" w:ascii="楷体_GB2312" w:eastAsia="楷体_GB2312" w:cs="楷体_GB2312"/>
          <w:sz w:val="20"/>
          <w:szCs w:val="20"/>
        </w:rPr>
        <w:t>，同时可在开放日的交易时间内对提交的赎回申请进行撤销，开放日是否可以撤单以及撤单规则，如合作销售机构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sz w:val="20"/>
          <w:szCs w:val="20"/>
        </w:rPr>
        <w:t>。</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投资者在进行份额赎回时，赎回金额</w:t>
      </w:r>
      <w:r>
        <w:rPr>
          <w:rFonts w:ascii="楷体_GB2312" w:eastAsia="楷体_GB2312" w:cs="楷体_GB2312"/>
          <w:sz w:val="20"/>
          <w:szCs w:val="20"/>
        </w:rPr>
        <w:t>=</w:t>
      </w:r>
      <w:r>
        <w:rPr>
          <w:rFonts w:hint="eastAsia" w:ascii="楷体_GB2312" w:eastAsia="楷体_GB2312" w:cs="楷体_GB2312"/>
          <w:sz w:val="20"/>
          <w:szCs w:val="20"/>
        </w:rPr>
        <w:t>赎回份额×【赎回开放】日</w:t>
      </w:r>
      <w:r>
        <w:rPr>
          <w:rFonts w:ascii="楷体_GB2312" w:eastAsia="楷体_GB2312" w:cs="楷体_GB2312"/>
          <w:sz w:val="20"/>
          <w:szCs w:val="20"/>
        </w:rPr>
        <w:t>的</w:t>
      </w:r>
      <w:r>
        <w:rPr>
          <w:rFonts w:hint="eastAsia" w:ascii="楷体_GB2312" w:eastAsia="楷体_GB2312" w:cs="楷体_GB2312"/>
          <w:sz w:val="20"/>
          <w:szCs w:val="20"/>
        </w:rPr>
        <w:t>单位净值×（</w:t>
      </w:r>
      <w:r>
        <w:rPr>
          <w:rFonts w:ascii="楷体_GB2312" w:eastAsia="楷体_GB2312" w:cs="楷体_GB2312"/>
          <w:sz w:val="20"/>
          <w:szCs w:val="20"/>
        </w:rPr>
        <w:t>1-</w:t>
      </w:r>
      <w:r>
        <w:rPr>
          <w:rFonts w:hint="eastAsia" w:ascii="楷体_GB2312" w:eastAsia="楷体_GB2312" w:cs="楷体_GB2312"/>
          <w:sz w:val="20"/>
          <w:szCs w:val="20"/>
        </w:rPr>
        <w:t>赎回费率）。</w:t>
      </w:r>
    </w:p>
    <w:p>
      <w:pPr>
        <w:spacing w:line="300" w:lineRule="exact"/>
        <w:ind w:left="-2" w:leftChars="-1" w:right="36" w:rightChars="15" w:firstLine="400" w:firstLineChars="200"/>
        <w:jc w:val="both"/>
        <w:rPr>
          <w:rFonts w:ascii="楷体_GB2312" w:eastAsia="楷体_GB2312" w:cs="楷体_GB2312"/>
          <w:sz w:val="20"/>
          <w:szCs w:val="20"/>
        </w:rPr>
      </w:pPr>
      <w:r>
        <w:rPr>
          <w:rFonts w:hint="eastAsia" w:ascii="楷体_GB2312" w:eastAsia="楷体_GB2312" w:cs="楷体_GB2312"/>
          <w:sz w:val="20"/>
          <w:szCs w:val="20"/>
        </w:rPr>
        <w:t>赎回金额按照四舍五入原则保留至小数点后【2】位，由此误差产生的损失由理财财产承担，产生的收益归理财财产所有。</w:t>
      </w:r>
    </w:p>
    <w:p>
      <w:pPr>
        <w:spacing w:line="300" w:lineRule="exact"/>
        <w:ind w:left="-2" w:leftChars="-1" w:right="36" w:rightChars="15" w:firstLine="400" w:firstLineChars="200"/>
        <w:jc w:val="both"/>
        <w:rPr>
          <w:rFonts w:ascii="楷体_GB2312" w:eastAsia="楷体_GB2312"/>
          <w:sz w:val="20"/>
          <w:szCs w:val="20"/>
        </w:rPr>
      </w:pP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right="36" w:rightChars="15" w:firstLine="400" w:firstLineChars="200"/>
        <w:jc w:val="both"/>
        <w:rPr>
          <w:rFonts w:ascii="楷体_GB2312" w:eastAsia="楷体_GB2312" w:cs="楷体_GB2312"/>
          <w:sz w:val="20"/>
          <w:szCs w:val="20"/>
        </w:rPr>
      </w:pPr>
      <w:r>
        <w:rPr>
          <w:rFonts w:hint="eastAsia" w:ascii="楷体_GB2312" w:eastAsia="楷体_GB2312" w:cs="楷体_GB2312"/>
          <w:sz w:val="20"/>
          <w:szCs w:val="20"/>
        </w:rPr>
        <w:t>例如，【某开放日投资者成功赎回所持有</w:t>
      </w:r>
      <w:r>
        <w:rPr>
          <w:rFonts w:ascii="楷体_GB2312" w:eastAsia="楷体_GB2312" w:cs="楷体_GB2312"/>
          <w:sz w:val="20"/>
          <w:szCs w:val="20"/>
        </w:rPr>
        <w:t>500万份本产品份额，该开放日单位净值为1.1000，赎回费率为0%，则投资者获得的赎回金额=5,000,000.00×1.1000×（1-0%）=5,500,000.00 元】</w:t>
      </w:r>
      <w:r>
        <w:rPr>
          <w:rFonts w:hint="eastAsia" w:ascii="楷体_GB2312" w:eastAsia="楷体_GB2312" w:cs="楷体_GB2312"/>
          <w:sz w:val="20"/>
          <w:szCs w:val="20"/>
        </w:rPr>
        <w:t>。</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上述示例采用假设数据计算，并不代表投资者实际可获得的赎回金额。）</w:t>
      </w:r>
    </w:p>
    <w:p>
      <w:pPr>
        <w:spacing w:line="300" w:lineRule="exact"/>
        <w:ind w:left="-2" w:leftChars="-1" w:right="36" w:rightChars="15" w:firstLine="400" w:firstLineChars="200"/>
        <w:jc w:val="both"/>
        <w:rPr>
          <w:rFonts w:ascii="楷体_GB2312" w:eastAsia="楷体_GB2312"/>
          <w:sz w:val="20"/>
          <w:szCs w:val="20"/>
        </w:rPr>
      </w:pPr>
      <w:r>
        <w:rPr>
          <w:rFonts w:ascii="楷体_GB2312" w:eastAsia="楷体_GB2312"/>
          <w:sz w:val="20"/>
          <w:szCs w:val="20"/>
        </w:rPr>
        <w:t>4.</w:t>
      </w:r>
      <w:r>
        <w:rPr>
          <w:rFonts w:hint="eastAsia" w:ascii="楷体_GB2312" w:eastAsia="楷体_GB2312" w:cs="楷体_GB2312"/>
          <w:sz w:val="20"/>
          <w:szCs w:val="20"/>
        </w:rPr>
        <w:t>管理人按照先申请、先赎回原则确认</w:t>
      </w:r>
      <w:r>
        <w:rPr>
          <w:rFonts w:ascii="楷体_GB2312" w:eastAsia="楷体_GB2312" w:cs="楷体_GB2312"/>
          <w:sz w:val="20"/>
          <w:szCs w:val="20"/>
        </w:rPr>
        <w:t>赎回申请。</w:t>
      </w:r>
      <w:r>
        <w:rPr>
          <w:rFonts w:hint="eastAsia" w:ascii="楷体_GB2312" w:eastAsia="楷体_GB2312"/>
          <w:sz w:val="20"/>
          <w:szCs w:val="20"/>
        </w:rPr>
        <w:t>【赎回申请正式受理的开放日后第一个工作】日即为赎回确认日，赎回份额确认日后投资者可向产品销售渠道查询赎回是否成功。管理人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left="-2" w:leftChars="-1" w:right="36" w:rightChars="15" w:firstLine="400" w:firstLineChars="200"/>
        <w:jc w:val="both"/>
        <w:rPr>
          <w:rFonts w:ascii="楷体_GB2312" w:eastAsia="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投资者</w:t>
      </w:r>
      <w:r>
        <w:rPr>
          <w:rFonts w:ascii="楷体_GB2312" w:eastAsia="楷体_GB2312" w:cs="楷体_GB2312"/>
          <w:sz w:val="20"/>
          <w:szCs w:val="20"/>
        </w:rPr>
        <w:t>通过代销机构购买理财产品的，</w:t>
      </w:r>
      <w:r>
        <w:rPr>
          <w:rFonts w:hint="eastAsia" w:ascii="楷体_GB2312" w:eastAsia="楷体_GB2312" w:cs="楷体_GB2312"/>
          <w:sz w:val="20"/>
          <w:szCs w:val="20"/>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sz w:val="20"/>
          <w:szCs w:val="20"/>
        </w:rPr>
        <w:t>结果为</w:t>
      </w:r>
      <w:r>
        <w:rPr>
          <w:rFonts w:hint="eastAsia" w:ascii="楷体_GB2312" w:eastAsia="楷体_GB2312" w:cs="楷体_GB2312"/>
          <w:sz w:val="20"/>
          <w:szCs w:val="20"/>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left="-2" w:right="36" w:rightChars="15" w:firstLine="400" w:firstLineChars="200"/>
        <w:jc w:val="both"/>
      </w:pPr>
      <w:r>
        <w:rPr>
          <w:rFonts w:ascii="楷体_GB2312" w:eastAsia="楷体_GB2312" w:cs="楷体_GB2312"/>
          <w:sz w:val="20"/>
          <w:szCs w:val="20"/>
        </w:rPr>
        <w:t>6.</w:t>
      </w:r>
      <w:r>
        <w:rPr>
          <w:rFonts w:hint="eastAsia" w:ascii="楷体_GB2312" w:eastAsia="楷体_GB2312" w:cs="楷体_GB2312"/>
          <w:sz w:val="20"/>
          <w:szCs w:val="20"/>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sz w:val="20"/>
          <w:szCs w:val="20"/>
        </w:rPr>
        <w:t>。</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管理人保留不接受赎回申请的权利。</w:t>
      </w:r>
    </w:p>
    <w:p>
      <w:pPr>
        <w:spacing w:line="300" w:lineRule="exact"/>
        <w:ind w:left="-2" w:leftChars="-1" w:right="96" w:rightChars="40" w:firstLine="400" w:firstLineChars="200"/>
        <w:jc w:val="both"/>
        <w:rPr>
          <w:rFonts w:ascii="黑体" w:eastAsia="黑体" w:cs="黑体"/>
          <w:sz w:val="20"/>
          <w:szCs w:val="20"/>
        </w:rPr>
      </w:pPr>
    </w:p>
    <w:p>
      <w:pPr>
        <w:spacing w:line="300" w:lineRule="exact"/>
        <w:ind w:left="-2" w:leftChars="-1" w:right="96" w:rightChars="40" w:firstLine="400" w:firstLineChars="200"/>
        <w:jc w:val="both"/>
        <w:rPr>
          <w:rFonts w:ascii="黑体" w:eastAsia="黑体"/>
          <w:sz w:val="20"/>
          <w:szCs w:val="20"/>
        </w:rPr>
      </w:pPr>
      <w:r>
        <w:rPr>
          <w:rFonts w:hint="eastAsia" w:ascii="黑体" w:eastAsia="黑体" w:cs="黑体"/>
          <w:sz w:val="20"/>
          <w:szCs w:val="20"/>
        </w:rPr>
        <w:t>六、理财产品的巨额赎回</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如某开放日投资者净赎回份额超过本产品上一日终存续总份额的【</w:t>
      </w:r>
      <w:r>
        <w:rPr>
          <w:rFonts w:ascii="楷体_GB2312" w:eastAsia="楷体_GB2312" w:cs="楷体_GB2312"/>
          <w:sz w:val="20"/>
          <w:szCs w:val="20"/>
        </w:rPr>
        <w:t>10%</w:t>
      </w:r>
      <w:r>
        <w:rPr>
          <w:rFonts w:hint="eastAsia" w:ascii="楷体_GB2312" w:eastAsia="楷体_GB2312" w:cs="楷体_GB2312"/>
          <w:sz w:val="20"/>
          <w:szCs w:val="20"/>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2.在巨额赎回情况下，对于超过本产品上一日终存续总份额【10%】以上的赎回申请，管理人有权全部或部分暂停接受或延期办理。</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1）对于接受办理的部分，可以按照单个投资者的赎回申请占当日申请赎回总份额的比例确定该投资者当日办理的赎回份额；</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a．失效，投资者可在下一开放日正常赎回交易时间内重新提交赎回申请。</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b．延迟至下一个开放日办理，赎回价格为下一个开放日的价格。</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对于不予办理的部分，投资者是否在申请赎回时有选择撤销的权利，以销售机构为准</w:t>
      </w:r>
      <w:r>
        <w:rPr>
          <w:rFonts w:ascii="楷体_GB2312" w:eastAsia="楷体_GB2312" w:cs="楷体_GB2312"/>
          <w:sz w:val="20"/>
          <w:szCs w:val="20"/>
        </w:rPr>
        <w:t>。</w:t>
      </w:r>
    </w:p>
    <w:p>
      <w:pPr>
        <w:spacing w:line="300" w:lineRule="exact"/>
        <w:ind w:left="-2" w:leftChars="-1" w:right="96" w:rightChars="40"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本产品连续【2】个以上开放日（含）发生巨额赎回，管理人有权暂停接受投资者的申购和赎回申请、</w:t>
      </w:r>
      <w:r>
        <w:rPr>
          <w:rFonts w:ascii="楷体_GB2312" w:eastAsia="楷体_GB2312" w:cs="楷体_GB2312"/>
          <w:sz w:val="20"/>
          <w:szCs w:val="20"/>
        </w:rPr>
        <w:t>延期办理巨额赎回申请等</w:t>
      </w:r>
      <w:r>
        <w:rPr>
          <w:rFonts w:hint="eastAsia" w:ascii="楷体_GB2312" w:eastAsia="楷体_GB2312" w:cs="楷体_GB2312"/>
          <w:sz w:val="20"/>
          <w:szCs w:val="20"/>
        </w:rPr>
        <w:t>。投资者根据管理人披露的开放日可重新进行申购和赎回。</w:t>
      </w:r>
      <w:r>
        <w:rPr>
          <w:rFonts w:ascii="楷体_GB2312" w:eastAsia="楷体_GB2312" w:cs="楷体_GB2312"/>
          <w:sz w:val="20"/>
          <w:szCs w:val="20"/>
        </w:rPr>
        <w:t>对于已经接受的赎回申请，</w:t>
      </w:r>
      <w:r>
        <w:rPr>
          <w:rFonts w:hint="eastAsia" w:ascii="楷体_GB2312" w:eastAsia="楷体_GB2312" w:cs="楷体_GB2312"/>
          <w:sz w:val="20"/>
          <w:szCs w:val="20"/>
        </w:rPr>
        <w:t>管理人</w:t>
      </w:r>
      <w:r>
        <w:rPr>
          <w:rFonts w:ascii="楷体_GB2312" w:eastAsia="楷体_GB2312" w:cs="楷体_GB2312"/>
          <w:sz w:val="20"/>
          <w:szCs w:val="20"/>
        </w:rPr>
        <w:t>还可以延缓支付赎回款项，但延缓期限不得超过20个工作日。</w:t>
      </w:r>
    </w:p>
    <w:p>
      <w:pPr>
        <w:spacing w:line="300" w:lineRule="exact"/>
        <w:ind w:right="36" w:rightChars="15"/>
        <w:rPr>
          <w:rFonts w:ascii="楷体_GB2312" w:eastAsia="楷体_GB2312"/>
          <w:sz w:val="20"/>
          <w:szCs w:val="20"/>
        </w:rPr>
      </w:pPr>
    </w:p>
    <w:p>
      <w:pPr>
        <w:spacing w:line="300" w:lineRule="exact"/>
        <w:ind w:left="-2" w:leftChars="-1" w:right="96" w:rightChars="40" w:firstLine="400" w:firstLineChars="200"/>
        <w:jc w:val="both"/>
        <w:rPr>
          <w:rFonts w:ascii="黑体" w:eastAsia="黑体"/>
          <w:sz w:val="20"/>
          <w:szCs w:val="20"/>
        </w:rPr>
      </w:pPr>
      <w:r>
        <w:rPr>
          <w:rFonts w:hint="eastAsia" w:ascii="黑体" w:eastAsia="黑体" w:cs="黑体"/>
          <w:sz w:val="20"/>
          <w:szCs w:val="20"/>
        </w:rPr>
        <w:t>七、拒绝或暂停接受认、申购或赎回申请、延缓支付赎回款项等情形及处理</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1.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银保监会规定的其他措施。（b）赎回风险应对措施，包括：设置赎回上限、延期办理巨额赎回申请、暂停接受赎回申请、延缓支付赎回款项、收取短期赎回费、暂停理财产品估值、摆动定价，以及银保监会规定的其他措施。</w:t>
      </w:r>
    </w:p>
    <w:p>
      <w:pPr>
        <w:spacing w:line="300" w:lineRule="exact"/>
        <w:ind w:right="96" w:rightChars="40" w:firstLine="400" w:firstLineChars="200"/>
        <w:jc w:val="both"/>
        <w:rPr>
          <w:rFonts w:ascii="楷体_GB2312" w:eastAsia="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管理人可拒绝接受或暂停接受投资者的认、申购申请的情形包括：</w:t>
      </w:r>
    </w:p>
    <w:p>
      <w:pPr>
        <w:spacing w:line="300" w:lineRule="exact"/>
        <w:ind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）本产品资产规模过大，管理人无法找到合适的投资品种，或继续接受认/申购可能对理财产品业绩产生影响；</w:t>
      </w:r>
    </w:p>
    <w:p>
      <w:pPr>
        <w:spacing w:line="300" w:lineRule="exact"/>
        <w:ind w:left="-2" w:leftChars="-1"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）当管理人认为某笔认/申购申请会有损于本产品其他份额持有人利益时，或基于</w:t>
      </w:r>
      <w:r>
        <w:rPr>
          <w:rFonts w:ascii="楷体_GB2312" w:eastAsia="楷体_GB2312" w:cs="楷体_GB2312"/>
          <w:sz w:val="20"/>
          <w:szCs w:val="20"/>
        </w:rPr>
        <w:t>投资运作和风险控制需要，</w:t>
      </w:r>
      <w:r>
        <w:rPr>
          <w:rFonts w:hint="eastAsia" w:ascii="楷体_GB2312" w:eastAsia="楷体_GB2312" w:cs="楷体_GB2312"/>
          <w:sz w:val="20"/>
          <w:szCs w:val="20"/>
        </w:rPr>
        <w:t>可拒绝该笔认/申购申请；</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w:t>
      </w:r>
      <w:r>
        <w:rPr>
          <w:rFonts w:hint="eastAsia" w:ascii="楷体_GB2312" w:eastAsia="楷体_GB2312" w:cs="楷体_GB2312"/>
          <w:sz w:val="20"/>
          <w:szCs w:val="20"/>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sz w:val="20"/>
          <w:szCs w:val="20"/>
        </w:rPr>
        <w:t>金额时，</w:t>
      </w:r>
      <w:r>
        <w:rPr>
          <w:rFonts w:hint="eastAsia" w:ascii="楷体_GB2312" w:eastAsia="楷体_GB2312" w:cs="楷体_GB2312"/>
          <w:sz w:val="20"/>
          <w:szCs w:val="20"/>
        </w:rPr>
        <w:t>管理人有权拒绝投资者的认/申购申请。</w:t>
      </w:r>
    </w:p>
    <w:p>
      <w:pPr>
        <w:spacing w:line="300" w:lineRule="exact"/>
        <w:ind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（6</w:t>
      </w:r>
      <w:r>
        <w:rPr>
          <w:rFonts w:ascii="楷体_GB2312" w:eastAsia="楷体_GB2312" w:cs="楷体_GB2312"/>
          <w:sz w:val="20"/>
          <w:szCs w:val="20"/>
        </w:rPr>
        <w:t>）</w:t>
      </w:r>
      <w:r>
        <w:rPr>
          <w:rFonts w:hint="eastAsia" w:ascii="楷体_GB2312" w:eastAsia="楷体_GB2312" w:cs="楷体_GB2312"/>
          <w:sz w:val="20"/>
          <w:szCs w:val="20"/>
        </w:rPr>
        <w:t>发生本</w:t>
      </w:r>
      <w:r>
        <w:rPr>
          <w:rFonts w:ascii="楷体_GB2312" w:eastAsia="楷体_GB2312" w:cs="楷体_GB2312"/>
          <w:sz w:val="20"/>
          <w:szCs w:val="20"/>
        </w:rPr>
        <w:t>说明书约定的产品暂停估值的情形；</w:t>
      </w:r>
    </w:p>
    <w:p>
      <w:pPr>
        <w:spacing w:line="300" w:lineRule="exact"/>
        <w:ind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（7</w:t>
      </w:r>
      <w:r>
        <w:rPr>
          <w:rFonts w:ascii="楷体_GB2312" w:eastAsia="楷体_GB2312" w:cs="楷体_GB2312"/>
          <w:sz w:val="20"/>
          <w:szCs w:val="20"/>
        </w:rPr>
        <w:t>）</w:t>
      </w:r>
      <w:r>
        <w:rPr>
          <w:rFonts w:hint="eastAsia" w:ascii="楷体_GB2312" w:eastAsia="楷体_GB2312" w:cs="楷体_GB2312"/>
          <w:sz w:val="20"/>
          <w:szCs w:val="20"/>
        </w:rPr>
        <w:t>本产品连续【</w:t>
      </w:r>
      <w:r>
        <w:rPr>
          <w:rFonts w:ascii="楷体_GB2312" w:eastAsia="楷体_GB2312" w:cs="楷体_GB2312"/>
          <w:sz w:val="20"/>
          <w:szCs w:val="20"/>
        </w:rPr>
        <w:t>2】个以上开放日（含）发生巨额赎回</w:t>
      </w:r>
      <w:r>
        <w:rPr>
          <w:rFonts w:hint="eastAsia" w:ascii="楷体_GB2312" w:eastAsia="楷体_GB2312" w:cs="楷体_GB2312"/>
          <w:sz w:val="20"/>
          <w:szCs w:val="20"/>
        </w:rPr>
        <w:t>；</w:t>
      </w:r>
    </w:p>
    <w:p>
      <w:pPr>
        <w:spacing w:line="300" w:lineRule="exact"/>
        <w:ind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w:t>
      </w:r>
      <w:r>
        <w:rPr>
          <w:rFonts w:hint="eastAsia" w:ascii="楷体_GB2312" w:eastAsia="楷体_GB2312" w:cs="楷体_GB2312"/>
          <w:sz w:val="20"/>
          <w:szCs w:val="20"/>
        </w:rPr>
        <w:t>法律法规规定或管理人基于审慎考虑认定的其他情形。</w:t>
      </w:r>
    </w:p>
    <w:p>
      <w:pPr>
        <w:spacing w:line="300" w:lineRule="exact"/>
        <w:ind w:left="-2" w:leftChars="-1"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right="96" w:rightChars="40"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管理人可拒绝接受或暂停接受投资者的赎回申请，延缓支付赎回款项的情形包括：</w:t>
      </w:r>
    </w:p>
    <w:p>
      <w:pPr>
        <w:spacing w:line="300" w:lineRule="exact"/>
        <w:ind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）因不可抗力或国家经济金融政策发生变化等原因导致管理人不能支付赎回款项；</w:t>
      </w:r>
    </w:p>
    <w:p>
      <w:pPr>
        <w:spacing w:line="300" w:lineRule="exact"/>
        <w:ind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right="96" w:rightChars="40"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）本产品投资的公开或非公开交易市场的资产无法变现，或经管理人基于审慎的原则判断资产变现可能会对本产品投资收益造成重大不利影响的；</w:t>
      </w:r>
    </w:p>
    <w:p>
      <w:pPr>
        <w:spacing w:line="300" w:lineRule="exact"/>
        <w:ind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）本产品发生巨额赎回情形的；</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）当管理人认为某笔</w:t>
      </w:r>
      <w:r>
        <w:rPr>
          <w:rFonts w:hint="eastAsia" w:ascii="楷体_GB2312" w:eastAsia="楷体_GB2312" w:cs="楷体_GB2312"/>
          <w:sz w:val="20"/>
          <w:szCs w:val="20"/>
        </w:rPr>
        <w:t>赎回</w:t>
      </w:r>
      <w:r>
        <w:rPr>
          <w:rFonts w:ascii="楷体_GB2312" w:eastAsia="楷体_GB2312" w:cs="楷体_GB2312"/>
          <w:sz w:val="20"/>
          <w:szCs w:val="20"/>
        </w:rPr>
        <w:t>申请会有损于本产品其他份额持有人利益时，或基于投资运作和风险控制需要；</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（6</w:t>
      </w:r>
      <w:r>
        <w:rPr>
          <w:rFonts w:ascii="楷体_GB2312" w:eastAsia="楷体_GB2312" w:cs="楷体_GB2312"/>
          <w:sz w:val="20"/>
          <w:szCs w:val="20"/>
        </w:rPr>
        <w:t>）</w:t>
      </w:r>
      <w:r>
        <w:rPr>
          <w:rFonts w:hint="eastAsia" w:ascii="楷体_GB2312" w:eastAsia="楷体_GB2312" w:cs="楷体_GB2312"/>
          <w:sz w:val="20"/>
          <w:szCs w:val="20"/>
        </w:rPr>
        <w:t>单个投资者在单个开放日申请赎回份额超过产品总份额【1</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%的，</w:t>
      </w:r>
      <w:r>
        <w:rPr>
          <w:rFonts w:hint="eastAsia" w:ascii="楷体_GB2312" w:eastAsia="楷体_GB2312" w:cs="楷体_GB2312"/>
          <w:sz w:val="20"/>
          <w:szCs w:val="20"/>
        </w:rPr>
        <w:t>管理人</w:t>
      </w:r>
      <w:r>
        <w:rPr>
          <w:rFonts w:ascii="楷体_GB2312" w:eastAsia="楷体_GB2312" w:cs="楷体_GB2312"/>
          <w:sz w:val="20"/>
          <w:szCs w:val="20"/>
        </w:rPr>
        <w:t>可以暂停接受其赎回申请；已经接受的赎回申请可以延缓支付赎回款项，但延缓期限不得超过20个工作日。</w:t>
      </w:r>
    </w:p>
    <w:p>
      <w:pPr>
        <w:spacing w:line="300" w:lineRule="exact"/>
        <w:ind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（7</w:t>
      </w:r>
      <w:r>
        <w:rPr>
          <w:rFonts w:ascii="楷体_GB2312" w:eastAsia="楷体_GB2312" w:cs="楷体_GB2312"/>
          <w:sz w:val="20"/>
          <w:szCs w:val="20"/>
        </w:rPr>
        <w:t>）</w:t>
      </w:r>
      <w:r>
        <w:rPr>
          <w:rFonts w:hint="eastAsia" w:ascii="楷体_GB2312" w:eastAsia="楷体_GB2312" w:cs="楷体_GB2312"/>
          <w:sz w:val="20"/>
          <w:szCs w:val="20"/>
        </w:rPr>
        <w:t>发生本</w:t>
      </w:r>
      <w:r>
        <w:rPr>
          <w:rFonts w:ascii="楷体_GB2312" w:eastAsia="楷体_GB2312" w:cs="楷体_GB2312"/>
          <w:sz w:val="20"/>
          <w:szCs w:val="20"/>
        </w:rPr>
        <w:t>说明书约定的产品暂停估值的情形；</w:t>
      </w:r>
    </w:p>
    <w:p>
      <w:pPr>
        <w:spacing w:line="300" w:lineRule="exact"/>
        <w:ind w:left="-2" w:leftChars="-1"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（8</w:t>
      </w:r>
      <w:r>
        <w:rPr>
          <w:rFonts w:ascii="楷体_GB2312" w:eastAsia="楷体_GB2312" w:cs="楷体_GB2312"/>
          <w:sz w:val="20"/>
          <w:szCs w:val="20"/>
        </w:rPr>
        <w:t>）</w:t>
      </w:r>
      <w:r>
        <w:rPr>
          <w:rFonts w:hint="eastAsia" w:ascii="楷体_GB2312" w:eastAsia="楷体_GB2312" w:cs="楷体_GB2312"/>
          <w:sz w:val="20"/>
          <w:szCs w:val="20"/>
        </w:rPr>
        <w:t>本产品连续【</w:t>
      </w:r>
      <w:r>
        <w:rPr>
          <w:rFonts w:ascii="楷体_GB2312" w:eastAsia="楷体_GB2312" w:cs="楷体_GB2312"/>
          <w:sz w:val="20"/>
          <w:szCs w:val="20"/>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right="96" w:rightChars="40"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）法律法规规定或管理人基于审慎考虑认定的其他情形。</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管理人可以向连续持有少于</w:t>
      </w:r>
      <w:r>
        <w:rPr>
          <w:rFonts w:ascii="楷体_GB2312" w:eastAsia="楷体_GB2312" w:cs="楷体_GB2312"/>
          <w:sz w:val="20"/>
          <w:szCs w:val="20"/>
        </w:rPr>
        <w:t>7日的投资者收取赎回费，并将上述赎回费全额计入理财产品财产。</w:t>
      </w:r>
    </w:p>
    <w:p>
      <w:pPr>
        <w:spacing w:line="300" w:lineRule="exact"/>
        <w:ind w:left="-2" w:leftChars="-1" w:right="96" w:rightChars="40" w:firstLine="400" w:firstLineChars="200"/>
        <w:jc w:val="both"/>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当</w:t>
      </w:r>
      <w:r>
        <w:rPr>
          <w:rFonts w:ascii="楷体_GB2312" w:eastAsia="楷体_GB2312" w:cs="楷体_GB2312"/>
          <w:sz w:val="20"/>
          <w:szCs w:val="20"/>
        </w:rPr>
        <w:t>产品发生大额认购或赎回时，</w:t>
      </w:r>
      <w:r>
        <w:rPr>
          <w:rFonts w:hint="eastAsia" w:ascii="楷体_GB2312" w:eastAsia="楷体_GB2312" w:cs="楷体_GB2312"/>
          <w:sz w:val="20"/>
          <w:szCs w:val="20"/>
        </w:rPr>
        <w:t>管理人</w:t>
      </w:r>
      <w:r>
        <w:rPr>
          <w:rFonts w:ascii="楷体_GB2312" w:eastAsia="楷体_GB2312" w:cs="楷体_GB2312"/>
          <w:sz w:val="20"/>
          <w:szCs w:val="20"/>
        </w:rPr>
        <w:t>可以采用摆动定价机制。摆动定价机制的相关原理与操作方法</w:t>
      </w:r>
      <w:r>
        <w:rPr>
          <w:rFonts w:hint="eastAsia" w:ascii="楷体_GB2312" w:eastAsia="楷体_GB2312" w:cs="楷体_GB2312"/>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sz w:val="20"/>
          <w:szCs w:val="20"/>
        </w:rPr>
        <w:t>。</w:t>
      </w:r>
    </w:p>
    <w:p>
      <w:pPr>
        <w:spacing w:line="300" w:lineRule="exact"/>
        <w:ind w:right="96" w:rightChars="40"/>
        <w:rPr>
          <w:rFonts w:ascii="楷体_GB2312" w:eastAsia="楷体_GB2312"/>
          <w:sz w:val="20"/>
          <w:szCs w:val="20"/>
        </w:rPr>
      </w:pPr>
    </w:p>
    <w:p>
      <w:pPr>
        <w:spacing w:line="300" w:lineRule="exact"/>
        <w:ind w:right="36" w:rightChars="15" w:firstLine="400" w:firstLineChars="200"/>
        <w:jc w:val="both"/>
        <w:rPr>
          <w:rFonts w:ascii="黑体" w:hAnsi="Times New Roman" w:eastAsia="黑体" w:cs="黑体"/>
          <w:sz w:val="20"/>
          <w:szCs w:val="20"/>
        </w:rPr>
      </w:pPr>
      <w:r>
        <w:rPr>
          <w:rFonts w:hint="eastAsia" w:ascii="黑体" w:hAnsi="Times New Roman" w:eastAsia="黑体" w:cs="黑体"/>
          <w:sz w:val="20"/>
          <w:szCs w:val="20"/>
        </w:rPr>
        <w:t>八、理财资金分配</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right="36" w:rightChars="15"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，产品到期日视情况将可能相应进行调整，若进行调整，信银理财将以本产品说明书约定的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right="36" w:rightChars="15"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right="36" w:rightChars="15"/>
      </w:pPr>
    </w:p>
    <w:p>
      <w:pPr>
        <w:snapToGrid w:val="0"/>
        <w:spacing w:line="300" w:lineRule="exact"/>
        <w:ind w:left="-2" w:leftChars="-1" w:right="53" w:rightChars="22" w:firstLine="402" w:firstLineChars="200"/>
        <w:jc w:val="both"/>
        <w:outlineLvl w:val="0"/>
        <w:rPr>
          <w:rFonts w:ascii="黑体" w:eastAsia="黑体" w:cs="黑体"/>
          <w:b/>
          <w:sz w:val="20"/>
          <w:szCs w:val="20"/>
        </w:rPr>
      </w:pPr>
      <w:r>
        <w:rPr>
          <w:rFonts w:hint="eastAsia" w:ascii="黑体" w:eastAsia="黑体" w:cs="黑体"/>
          <w:b/>
          <w:sz w:val="20"/>
          <w:szCs w:val="20"/>
        </w:rPr>
        <w:t>九、理财产品的费用</w:t>
      </w:r>
    </w:p>
    <w:p>
      <w:pPr>
        <w:snapToGrid w:val="0"/>
        <w:spacing w:line="300" w:lineRule="exact"/>
        <w:ind w:left="-2" w:leftChars="-1" w:right="53" w:rightChars="22" w:firstLine="402" w:firstLineChars="200"/>
        <w:jc w:val="both"/>
        <w:outlineLvl w:val="0"/>
        <w:rPr>
          <w:rFonts w:ascii="楷体_GB2312" w:eastAsia="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申购费、赎回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240" w:lineRule="exact"/>
        <w:ind w:right="53" w:rightChars="22" w:firstLine="402" w:firstLineChars="200"/>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ascii="楷体_GB2312" w:eastAsia="楷体_GB2312" w:cs="楷体_GB2312"/>
          <w:b/>
          <w:sz w:val="20"/>
          <w:szCs w:val="20"/>
        </w:rPr>
        <w:t>：A类份额不收取认购费</w:t>
      </w:r>
      <w:r>
        <w:rPr>
          <w:rFonts w:hint="eastAsia" w:ascii="楷体_GB2312" w:eastAsia="楷体_GB2312" w:cs="楷体_GB2312"/>
          <w:b/>
          <w:sz w:val="20"/>
          <w:szCs w:val="20"/>
        </w:rPr>
        <w:t>；</w:t>
      </w:r>
      <w:r>
        <w:rPr>
          <w:rFonts w:ascii="楷体_GB2312" w:eastAsia="楷体_GB2312" w:cs="楷体_GB2312"/>
          <w:b/>
          <w:sz w:val="20"/>
          <w:szCs w:val="20"/>
        </w:rPr>
        <w:t>B类份额不收取认购费</w:t>
      </w:r>
      <w:r>
        <w:rPr>
          <w:rFonts w:hint="eastAsia" w:ascii="楷体_GB2312" w:eastAsia="楷体_GB2312" w:cs="楷体_GB2312"/>
          <w:b/>
          <w:sz w:val="20"/>
          <w:szCs w:val="20"/>
        </w:rPr>
        <w:t>。</w:t>
      </w:r>
    </w:p>
    <w:p>
      <w:pPr>
        <w:snapToGrid w:val="0"/>
        <w:spacing w:line="300" w:lineRule="exact"/>
        <w:ind w:left="-2" w:leftChars="-1"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sz w:val="20"/>
          <w:szCs w:val="20"/>
        </w:rPr>
        <w:t>3.</w:t>
      </w:r>
      <w:r>
        <w:rPr>
          <w:rFonts w:hint="eastAsia" w:ascii="楷体_GB2312" w:eastAsia="楷体_GB2312" w:cs="楷体_GB2312"/>
          <w:b/>
          <w:sz w:val="20"/>
          <w:szCs w:val="20"/>
        </w:rPr>
        <w:t>申购费：</w:t>
      </w: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color w:val="000000" w:themeColor="text1"/>
          <w:sz w:val="20"/>
          <w:szCs w:val="20"/>
          <w14:textFill>
            <w14:solidFill>
              <w14:schemeClr w14:val="tx1"/>
            </w14:solidFill>
          </w14:textFill>
        </w:rPr>
        <w:t>不收取申购费；</w:t>
      </w: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不收取申购费</w:t>
      </w:r>
      <w:r>
        <w:rPr>
          <w:rFonts w:ascii="楷体_GB2312" w:eastAsia="楷体_GB2312" w:cs="楷体_GB2312"/>
          <w:b/>
          <w:sz w:val="20"/>
          <w:szCs w:val="20"/>
        </w:rPr>
        <w:t>。</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赎回费：</w:t>
      </w: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color w:val="000000" w:themeColor="text1"/>
          <w:sz w:val="20"/>
          <w:szCs w:val="20"/>
          <w14:textFill>
            <w14:solidFill>
              <w14:schemeClr w14:val="tx1"/>
            </w14:solidFill>
          </w14:textFill>
        </w:rPr>
        <w:t>不收取赎回费;</w:t>
      </w:r>
      <w:r>
        <w:rPr>
          <w:rFonts w:ascii="楷体_GB2312" w:eastAsia="楷体_GB2312" w:cs="楷体_GB2312"/>
          <w:b/>
          <w:color w:val="000000" w:themeColor="text1"/>
          <w:sz w:val="20"/>
          <w:szCs w:val="20"/>
          <w14:textFill>
            <w14:solidFill>
              <w14:schemeClr w14:val="tx1"/>
            </w14:solidFill>
          </w14:textFill>
        </w:rPr>
        <w:t xml:space="preserve"> B类份额</w:t>
      </w:r>
      <w:r>
        <w:rPr>
          <w:rFonts w:hint="eastAsia" w:ascii="楷体_GB2312" w:eastAsia="楷体_GB2312" w:cs="楷体_GB2312"/>
          <w:b/>
          <w:color w:val="000000" w:themeColor="text1"/>
          <w:sz w:val="20"/>
          <w:szCs w:val="20"/>
          <w14:textFill>
            <w14:solidFill>
              <w14:schemeClr w14:val="tx1"/>
            </w14:solidFill>
          </w14:textFill>
        </w:rPr>
        <w:t>不收取赎回费</w:t>
      </w:r>
      <w:r>
        <w:rPr>
          <w:rFonts w:ascii="楷体_GB2312" w:eastAsia="楷体_GB2312" w:cs="楷体_GB2312"/>
          <w:b/>
          <w:sz w:val="20"/>
          <w:szCs w:val="20"/>
        </w:rPr>
        <w:t>。</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销售服务费</w:t>
      </w:r>
    </w:p>
    <w:p>
      <w:pPr>
        <w:snapToGrid w:val="0"/>
        <w:spacing w:line="300" w:lineRule="exact"/>
        <w:ind w:right="96" w:rightChars="40" w:firstLine="402" w:firstLineChars="200"/>
        <w:jc w:val="both"/>
        <w:outlineLvl w:val="0"/>
        <w:rPr>
          <w:rFonts w:ascii="楷体_GB2312" w:eastAsia="楷体_GB2312"/>
          <w:b/>
          <w:sz w:val="20"/>
          <w:szCs w:val="20"/>
        </w:rPr>
      </w:pPr>
      <w:r>
        <w:rPr>
          <w:rFonts w:ascii="楷体_GB2312" w:eastAsia="楷体_GB2312" w:cs="楷体_GB2312"/>
          <w:b/>
          <w:sz w:val="20"/>
          <w:szCs w:val="20"/>
        </w:rPr>
        <w:t>A类份额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w:t>
      </w:r>
      <w:r>
        <w:rPr>
          <w:rFonts w:hint="eastAsia" w:ascii="楷体_GB2312" w:eastAsia="楷体_GB2312" w:cs="楷体_GB2312"/>
          <w:b/>
          <w:sz w:val="20"/>
          <w:szCs w:val="20"/>
        </w:rPr>
        <w:t>B</w:t>
      </w:r>
      <w:r>
        <w:rPr>
          <w:rFonts w:ascii="楷体_GB2312" w:eastAsia="楷体_GB2312" w:cs="楷体_GB2312"/>
          <w:b/>
          <w:sz w:val="20"/>
          <w:szCs w:val="20"/>
        </w:rPr>
        <w:t>类份额</w:t>
      </w: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.30</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代销机构收取</w:t>
      </w:r>
      <w:r>
        <w:rPr>
          <w:rFonts w:ascii="楷体_GB2312" w:eastAsia="楷体_GB2312" w:cs="楷体_GB2312"/>
          <w:b/>
          <w:sz w:val="20"/>
          <w:szCs w:val="20"/>
        </w:rPr>
        <w:t>的销售相关费用以代销机构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托管费</w:t>
      </w:r>
    </w:p>
    <w:p>
      <w:pPr>
        <w:snapToGrid w:val="0"/>
        <w:spacing w:line="300" w:lineRule="exact"/>
        <w:ind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w:t>
      </w:r>
      <w:r>
        <w:rPr>
          <w:rFonts w:hint="eastAsia" w:ascii="楷体_GB2312" w:eastAsia="楷体_GB2312" w:cs="楷体_GB2312"/>
          <w:b/>
          <w:sz w:val="20"/>
          <w:szCs w:val="20"/>
        </w:rPr>
        <w:t>0</w:t>
      </w:r>
      <w:r>
        <w:rPr>
          <w:rFonts w:ascii="楷体_GB2312" w:eastAsia="楷体_GB2312" w:cs="楷体_GB2312"/>
          <w:b/>
          <w:sz w:val="20"/>
          <w:szCs w:val="20"/>
        </w:rPr>
        <w:t>.05</w:t>
      </w:r>
      <w:r>
        <w:rPr>
          <w:rFonts w:hint="eastAsia" w:ascii="楷体_GB2312" w:eastAsia="楷体_GB2312" w:cs="楷体_GB2312"/>
          <w:b/>
          <w:sz w:val="20"/>
          <w:szCs w:val="20"/>
        </w:rPr>
        <w:t>%</w:t>
      </w:r>
      <w:r>
        <w:rPr>
          <w:rFonts w:ascii="楷体_GB2312" w:eastAsia="楷体_GB2312" w:cs="楷体_GB2312"/>
          <w:b/>
          <w:sz w:val="20"/>
          <w:szCs w:val="20"/>
        </w:rPr>
        <w:t>】</w:t>
      </w:r>
      <w:r>
        <w:rPr>
          <w:rFonts w:hint="eastAsia" w:ascii="楷体_GB2312" w:eastAsia="楷体_GB2312" w:cs="楷体_GB2312"/>
          <w:b/>
          <w:sz w:val="20"/>
          <w:szCs w:val="20"/>
        </w:rPr>
        <w:t>/年</w:t>
      </w:r>
      <w:r>
        <w:rPr>
          <w:rFonts w:ascii="楷体_GB2312" w:eastAsia="楷体_GB2312" w:cs="楷体_GB2312"/>
          <w:b/>
          <w:sz w:val="20"/>
          <w:szCs w:val="20"/>
        </w:rPr>
        <w:t>，计算方式为【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7.</w:t>
      </w:r>
      <w:r>
        <w:rPr>
          <w:rFonts w:hint="eastAsia" w:ascii="楷体_GB2312" w:eastAsia="楷体_GB2312" w:cs="楷体_GB2312"/>
          <w:b/>
          <w:sz w:val="20"/>
          <w:szCs w:val="20"/>
        </w:rPr>
        <w:t>固定管理费</w:t>
      </w:r>
    </w:p>
    <w:p>
      <w:pPr>
        <w:snapToGrid w:val="0"/>
        <w:spacing w:line="300" w:lineRule="exact"/>
        <w:ind w:right="53" w:rightChars="22"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费率【0.</w:t>
      </w:r>
      <w:r>
        <w:rPr>
          <w:rFonts w:ascii="楷体_GB2312" w:eastAsia="楷体_GB2312" w:cs="楷体_GB2312"/>
          <w:b/>
          <w:sz w:val="20"/>
          <w:szCs w:val="20"/>
        </w:rPr>
        <w:t>30%</w:t>
      </w:r>
      <w:r>
        <w:rPr>
          <w:rFonts w:hint="eastAsia" w:ascii="楷体_GB2312" w:eastAsia="楷体_GB2312" w:cs="楷体_GB2312"/>
          <w:b/>
          <w:sz w:val="20"/>
          <w:szCs w:val="20"/>
        </w:rPr>
        <w:t>】/年，计算方式</w:t>
      </w:r>
      <w:r>
        <w:rPr>
          <w:rFonts w:ascii="楷体_GB2312" w:eastAsia="楷体_GB2312" w:cs="楷体_GB2312"/>
          <w:b/>
          <w:sz w:val="20"/>
          <w:szCs w:val="20"/>
        </w:rPr>
        <w:t>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right="53" w:rightChars="22"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53" w:rightChars="22"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8.</w:t>
      </w:r>
      <w:r>
        <w:rPr>
          <w:rFonts w:hint="eastAsia" w:ascii="楷体_GB2312" w:eastAsia="楷体_GB2312" w:cs="楷体_GB2312"/>
          <w:b/>
          <w:sz w:val="20"/>
          <w:szCs w:val="20"/>
        </w:rPr>
        <w:t>浮动管理费</w:t>
      </w:r>
    </w:p>
    <w:p>
      <w:pPr>
        <w:snapToGrid w:val="0"/>
        <w:spacing w:line="300" w:lineRule="exact"/>
        <w:ind w:left="-2" w:leftChars="-1"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A类份额</w:t>
      </w:r>
      <w:r>
        <w:rPr>
          <w:rFonts w:hint="eastAsia" w:ascii="楷体_GB2312" w:eastAsia="楷体_GB2312" w:cs="楷体_GB2312"/>
          <w:b/>
          <w:color w:val="000000" w:themeColor="text1"/>
          <w:sz w:val="20"/>
          <w:szCs w:val="20"/>
          <w14:textFill>
            <w14:solidFill>
              <w14:schemeClr w14:val="tx1"/>
            </w14:solidFill>
          </w14:textFill>
        </w:rPr>
        <w:t>不收取浮动管理费；</w:t>
      </w: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right="53" w:rightChars="22" w:firstLine="402" w:firstLineChars="200"/>
        <w:jc w:val="both"/>
        <w:outlineLvl w:val="0"/>
        <w:rPr>
          <w:rFonts w:ascii="楷体_GB2312" w:eastAsia="楷体_GB2312" w:cs="楷体_GB2312"/>
          <w:b/>
          <w:sz w:val="20"/>
          <w:szCs w:val="20"/>
        </w:rPr>
      </w:pPr>
      <w:r>
        <w:rPr>
          <w:rFonts w:hint="eastAsia" w:ascii="楷体_GB2312" w:eastAsia="楷体_GB2312" w:cs="楷体_GB2312"/>
          <w:b/>
          <w:sz w:val="20"/>
          <w:szCs w:val="20"/>
        </w:rPr>
        <w:t>9.产品运作和清算中产生的其他资金汇划费、结算费、交易手续费、注册登记费、信息披露费、账户服务费、审计费、律师费及按照法律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p>
    <w:p>
      <w:pPr>
        <w:spacing w:line="300" w:lineRule="exact"/>
        <w:ind w:right="29" w:rightChars="12" w:firstLine="400" w:firstLineChars="200"/>
        <w:jc w:val="both"/>
        <w:rPr>
          <w:rFonts w:ascii="黑体" w:eastAsia="黑体"/>
          <w:sz w:val="20"/>
          <w:szCs w:val="20"/>
        </w:rPr>
      </w:pPr>
      <w:r>
        <w:rPr>
          <w:rFonts w:hint="eastAsia" w:ascii="黑体" w:eastAsia="黑体" w:cs="黑体"/>
          <w:sz w:val="20"/>
          <w:szCs w:val="20"/>
        </w:rPr>
        <w:t>十、资产估值</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理财产品所投资各类资产原则上按照公允价值估值。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按第三方估值机构（中债、中证等）提供的相应品种当日的估值净价进行估值，未获取到第三方估值结果的，按照最新监管规定进行估值。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4）非标准化债权，存在并可以确定公允价值的，以公允价值估值，公允价值不能确定的，按照最新监管规定进行估值。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6）期货、互换、期权等衍生金融工具，有活跃市场的交易，以最近交易日结算价或收盘价进行估值；无活跃市场的交易，按照第三方机构提供的估值数据或我司认可的估值技术进行估值。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7）若本产品存续期间持有其他投资品种，以管理人和托管人共同认可的方法估值。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我司认可的估值技术进行估值。</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按照以上</w:t>
      </w:r>
      <w:r>
        <w:rPr>
          <w:rFonts w:ascii="楷体_GB2312" w:eastAsia="楷体_GB2312" w:cs="楷体_GB2312"/>
          <w:sz w:val="20"/>
          <w:szCs w:val="20"/>
        </w:rPr>
        <w:t>估值方法进行估值</w:t>
      </w:r>
      <w:r>
        <w:rPr>
          <w:rFonts w:hint="eastAsia" w:ascii="楷体_GB2312" w:eastAsia="楷体_GB2312" w:cs="楷体_GB2312"/>
          <w:sz w:val="20"/>
          <w:szCs w:val="20"/>
        </w:rPr>
        <w:t>时</w:t>
      </w:r>
      <w:r>
        <w:rPr>
          <w:rFonts w:ascii="楷体_GB2312" w:eastAsia="楷体_GB2312" w:cs="楷体_GB2312"/>
          <w:sz w:val="20"/>
          <w:szCs w:val="20"/>
        </w:rPr>
        <w:t>，所造成的误差不作为理财产品估值错误处理。</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2）估值错误处理程序</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A查明估值错误发生的原因，列明所有的管理人和托管人并根据估值错误发生的原因确定估值错误的责任方；</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 根据估值错误处理原则对因估值错误造成的损失进行评估；</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C根据管理人和托管人协商的方法，由管理人和托管人共同进行更正，由估值错误的责任方进行赔偿损失。</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3.特殊情况的处理</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4.暂停估值的情形</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2）理财产品投资所涉及的交易市场遇法定节假日或因其他原因暂停营业时；</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cs="楷体_GB2312"/>
          <w:sz w:val="20"/>
          <w:szCs w:val="20"/>
        </w:rPr>
        <w:t>遇以上情形，管理人可暂停本产品估值直至另行通知。</w:t>
      </w:r>
    </w:p>
    <w:p>
      <w:pPr>
        <w:spacing w:line="300" w:lineRule="exact"/>
        <w:ind w:left="-2" w:leftChars="-1" w:right="36" w:rightChars="15" w:firstLine="400" w:firstLineChars="200"/>
        <w:jc w:val="both"/>
        <w:rPr>
          <w:rFonts w:ascii="黑体" w:hAnsi="Times New Roman" w:eastAsia="黑体" w:cs="黑体"/>
          <w:sz w:val="20"/>
          <w:szCs w:val="20"/>
        </w:rPr>
      </w:pPr>
    </w:p>
    <w:p>
      <w:pPr>
        <w:spacing w:line="300" w:lineRule="exact"/>
        <w:ind w:left="-2" w:leftChars="-1" w:right="36" w:rightChars="15" w:firstLine="400" w:firstLineChars="200"/>
        <w:jc w:val="both"/>
      </w:pPr>
      <w:r>
        <w:rPr>
          <w:rFonts w:hint="eastAsia" w:ascii="黑体" w:hAnsi="Times New Roman" w:eastAsia="黑体" w:cs="黑体"/>
          <w:sz w:val="20"/>
          <w:szCs w:val="20"/>
        </w:rPr>
        <w:t>十一、产品不成立</w:t>
      </w:r>
    </w:p>
    <w:p>
      <w:pPr>
        <w:spacing w:line="300" w:lineRule="exact"/>
        <w:ind w:left="-2" w:leftChars="-1" w:right="36" w:rightChars="15"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right="36" w:rightChars="15" w:firstLine="400" w:firstLineChars="200"/>
        <w:jc w:val="both"/>
        <w:rPr>
          <w:rFonts w:ascii="Times New Roman" w:hAnsi="Times New Roman"/>
          <w:b/>
          <w:bCs/>
          <w:sz w:val="20"/>
          <w:szCs w:val="20"/>
        </w:rPr>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sz w:val="20"/>
          <w:szCs w:val="20"/>
        </w:rPr>
        <w:t> </w:t>
      </w:r>
    </w:p>
    <w:p>
      <w:pPr>
        <w:spacing w:line="300" w:lineRule="exact"/>
        <w:ind w:left="-2" w:leftChars="-1" w:right="36" w:rightChars="15" w:firstLine="480" w:firstLineChars="200"/>
        <w:jc w:val="both"/>
      </w:pPr>
    </w:p>
    <w:p>
      <w:pPr>
        <w:snapToGrid w:val="0"/>
        <w:spacing w:line="300" w:lineRule="exact"/>
        <w:ind w:left="-2" w:leftChars="-1" w:right="53" w:rightChars="22" w:firstLine="400" w:firstLineChars="200"/>
        <w:jc w:val="both"/>
        <w:outlineLvl w:val="0"/>
      </w:pPr>
      <w:r>
        <w:rPr>
          <w:rFonts w:hint="eastAsia" w:ascii="黑体" w:hAnsi="Times New Roman" w:eastAsia="黑体" w:cs="黑体"/>
          <w:sz w:val="20"/>
          <w:szCs w:val="20"/>
        </w:rPr>
        <w:t>十二、产品的提前终止</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right="53" w:rightChars="22"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right="53" w:rightChars="22"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right="53" w:rightChars="22"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pPr>
    </w:p>
    <w:p>
      <w:pPr>
        <w:snapToGrid w:val="0"/>
        <w:spacing w:line="300" w:lineRule="exact"/>
        <w:ind w:left="-2" w:leftChars="-1" w:right="53" w:rightChars="22" w:firstLine="402" w:firstLineChars="200"/>
      </w:pPr>
      <w:r>
        <w:rPr>
          <w:rFonts w:ascii="Times New Roman" w:hAnsi="Times New Roman"/>
          <w:b/>
          <w:bCs/>
          <w:sz w:val="20"/>
          <w:szCs w:val="20"/>
        </w:rPr>
        <w:t> </w:t>
      </w:r>
      <w:r>
        <w:rPr>
          <w:rFonts w:hint="eastAsia" w:ascii="黑体" w:hAnsi="Times New Roman" w:eastAsia="黑体" w:cs="黑体"/>
          <w:sz w:val="20"/>
          <w:szCs w:val="20"/>
        </w:rPr>
        <w:t>十三、产品的延期清算</w:t>
      </w:r>
    </w:p>
    <w:p>
      <w:pPr>
        <w:snapToGrid w:val="0"/>
        <w:spacing w:line="300" w:lineRule="exact"/>
        <w:ind w:right="53" w:rightChars="22"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pacing w:line="300" w:lineRule="exact"/>
        <w:ind w:left="402" w:right="29" w:rightChars="12" w:hanging="402" w:hangingChars="200"/>
        <w:rPr>
          <w:rFonts w:ascii="Times New Roman" w:hAnsi="Times New Roman"/>
          <w:b/>
          <w:bCs/>
          <w:sz w:val="20"/>
          <w:szCs w:val="20"/>
        </w:rPr>
      </w:pPr>
      <w:r>
        <w:rPr>
          <w:rFonts w:ascii="Times New Roman" w:hAnsi="Times New Roman"/>
          <w:b/>
          <w:bCs/>
          <w:sz w:val="20"/>
          <w:szCs w:val="20"/>
        </w:rPr>
        <w:t> </w:t>
      </w:r>
    </w:p>
    <w:p>
      <w:pPr>
        <w:snapToGrid w:val="0"/>
        <w:spacing w:line="300" w:lineRule="exact"/>
        <w:ind w:left="-2" w:leftChars="-1" w:right="53" w:rightChars="22"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十四、产品管理人</w:t>
      </w:r>
      <w:r>
        <w:rPr>
          <w:rFonts w:ascii="黑体" w:hAnsi="Times New Roman" w:eastAsia="黑体" w:cs="黑体"/>
          <w:b/>
          <w:sz w:val="20"/>
          <w:szCs w:val="20"/>
        </w:rPr>
        <w:t>与投资者</w:t>
      </w:r>
      <w:r>
        <w:rPr>
          <w:rFonts w:hint="eastAsia" w:ascii="黑体" w:hAnsi="Times New Roman" w:eastAsia="黑体" w:cs="黑体"/>
          <w:b/>
          <w:sz w:val="20"/>
          <w:szCs w:val="20"/>
        </w:rPr>
        <w:t>权利义务</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right="53" w:rightChars="22" w:firstLine="402" w:firstLineChars="200"/>
        <w:jc w:val="both"/>
        <w:rPr>
          <w:rFonts w:ascii="楷体_GB2312" w:eastAsia="楷体_GB2312"/>
          <w:b/>
          <w:sz w:val="20"/>
          <w:szCs w:val="20"/>
        </w:rPr>
      </w:pPr>
      <w:r>
        <w:rPr>
          <w:rFonts w:hint="eastAsia" w:ascii="楷体_GB2312" w:eastAsia="楷体_GB2312"/>
          <w:b/>
          <w:sz w:val="20"/>
          <w:szCs w:val="20"/>
        </w:rPr>
        <w:t>（1）</w:t>
      </w:r>
      <w:r>
        <w:rPr>
          <w:rFonts w:ascii="Times New Roman" w:hAnsi="Times New Roman" w:eastAsia="楷体_GB2312" w:cs="楷体_GB2312"/>
          <w:b/>
          <w:sz w:val="20"/>
          <w:szCs w:val="20"/>
        </w:rPr>
        <w:t>产品管理人具有开办理财业务的经营资质，保证以诚实守信、勤勉尽职的</w:t>
      </w:r>
      <w:r>
        <w:rPr>
          <w:rFonts w:hint="eastAsia" w:ascii="Times New Roman" w:hAnsi="Times New Roman" w:eastAsia="楷体_GB2312" w:cs="楷体_GB2312"/>
          <w:b/>
          <w:sz w:val="20"/>
          <w:szCs w:val="20"/>
        </w:rPr>
        <w:t>原则管理和</w:t>
      </w:r>
      <w:r>
        <w:rPr>
          <w:rFonts w:ascii="Times New Roman" w:hAnsi="Times New Roman" w:eastAsia="楷体_GB2312" w:cs="楷体_GB2312"/>
          <w:b/>
          <w:sz w:val="20"/>
          <w:szCs w:val="20"/>
        </w:rPr>
        <w:t>运用理财资金</w:t>
      </w:r>
      <w:r>
        <w:rPr>
          <w:rFonts w:hint="eastAsia" w:ascii="Times New Roman" w:hAnsi="Times New Roman" w:eastAsia="楷体_GB2312" w:cs="楷体_GB2312"/>
          <w:b/>
          <w:sz w:val="20"/>
          <w:szCs w:val="20"/>
        </w:rPr>
        <w:t>；</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（2）</w:t>
      </w:r>
      <w:r>
        <w:rPr>
          <w:rFonts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（1）</w:t>
      </w:r>
      <w:r>
        <w:rPr>
          <w:rFonts w:ascii="Times New Roman" w:hAnsi="Times New Roman" w:eastAsia="楷体_GB2312" w:cs="楷体_GB2312"/>
          <w:b/>
          <w:sz w:val="20"/>
          <w:szCs w:val="20"/>
        </w:rPr>
        <w:t>投资者具有完全民事行为能力，有完全适当的资格与能力订立并履行本理</w:t>
      </w:r>
      <w:r>
        <w:rPr>
          <w:rFonts w:hint="eastAsia" w:ascii="Times New Roman" w:hAnsi="Times New Roman" w:eastAsia="楷体_GB2312" w:cs="楷体_GB2312"/>
          <w:b/>
          <w:sz w:val="20"/>
          <w:szCs w:val="20"/>
        </w:rPr>
        <w:t>财产品合同，不存在法律、行政法规有关规定禁止或限制投资理财产品的情形（适用于</w:t>
      </w:r>
      <w:r>
        <w:rPr>
          <w:rFonts w:ascii="Times New Roman" w:hAnsi="Times New Roman" w:eastAsia="楷体_GB2312" w:cs="楷体_GB2312"/>
          <w:b/>
          <w:sz w:val="20"/>
          <w:szCs w:val="20"/>
        </w:rPr>
        <w:t>个人投资者）</w:t>
      </w:r>
      <w:r>
        <w:rPr>
          <w:rFonts w:hint="eastAsia" w:ascii="Times New Roman" w:hAnsi="Times New Roman" w:eastAsia="楷体_GB2312" w:cs="楷体_GB2312"/>
          <w:b/>
          <w:sz w:val="20"/>
          <w:szCs w:val="20"/>
        </w:rPr>
        <w:t>。</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w:t>
      </w:r>
      <w:r>
        <w:rPr>
          <w:rFonts w:ascii="Times New Roman" w:hAnsi="Times New Roman" w:eastAsia="楷体_GB2312" w:cs="楷体_GB2312"/>
          <w:b/>
          <w:sz w:val="20"/>
          <w:szCs w:val="20"/>
        </w:rPr>
        <w:t>文件</w:t>
      </w:r>
      <w:r>
        <w:rPr>
          <w:rFonts w:hint="eastAsia" w:ascii="Times New Roman" w:hAnsi="Times New Roman" w:eastAsia="楷体_GB2312" w:cs="楷体_GB2312"/>
          <w:b/>
          <w:sz w:val="20"/>
          <w:szCs w:val="20"/>
        </w:rPr>
        <w:t>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（2）</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（3）</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（5）</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（6）</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（7）</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（8）</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（9）</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（1）</w:t>
      </w:r>
      <w:r>
        <w:rPr>
          <w:rFonts w:ascii="Times New Roman" w:hAnsi="Times New Roman" w:eastAsia="楷体_GB2312" w:cs="楷体_GB2312"/>
          <w:b/>
          <w:sz w:val="20"/>
          <w:szCs w:val="20"/>
        </w:rPr>
        <w:t>未经产品管理人同意，投资者不得以本理财产品项</w:t>
      </w:r>
      <w:r>
        <w:rPr>
          <w:rFonts w:hint="eastAsia" w:ascii="Times New Roman" w:hAnsi="Times New Roman" w:eastAsia="楷体_GB2312" w:cs="楷体_GB2312"/>
          <w:b/>
          <w:sz w:val="20"/>
          <w:szCs w:val="20"/>
        </w:rPr>
        <w:t>下的任何权利、利益、权益（包括单独和整体）为投资者和任何第三人的债务设定担保或其他权益。</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（2）</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right="53" w:rightChars="22"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（3）</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sz w:val="20"/>
          <w:szCs w:val="20"/>
        </w:rPr>
      </w:pPr>
    </w:p>
    <w:p>
      <w:pPr>
        <w:spacing w:line="300" w:lineRule="exact"/>
        <w:ind w:right="29" w:rightChars="12" w:firstLine="400" w:firstLineChars="200"/>
        <w:jc w:val="both"/>
        <w:rPr>
          <w:rFonts w:ascii="黑体" w:eastAsia="黑体" w:cs="黑体"/>
          <w:sz w:val="20"/>
          <w:szCs w:val="20"/>
        </w:rPr>
      </w:pPr>
      <w:r>
        <w:rPr>
          <w:rFonts w:hint="eastAsia" w:ascii="黑体" w:eastAsia="黑体" w:cs="黑体"/>
          <w:sz w:val="20"/>
          <w:szCs w:val="20"/>
        </w:rPr>
        <w:t>十五、保密</w:t>
      </w:r>
      <w:r>
        <w:rPr>
          <w:rFonts w:ascii="黑体" w:eastAsia="黑体" w:cs="黑体"/>
          <w:sz w:val="20"/>
          <w:szCs w:val="20"/>
        </w:rPr>
        <w:t>条款</w:t>
      </w:r>
    </w:p>
    <w:p>
      <w:pPr>
        <w:spacing w:line="300" w:lineRule="exact"/>
        <w:ind w:right="29" w:rightChars="12" w:firstLine="400" w:firstLineChars="200"/>
        <w:jc w:val="both"/>
        <w:rPr>
          <w:rFonts w:ascii="黑体" w:eastAsia="黑体" w:cs="黑体"/>
          <w:sz w:val="20"/>
          <w:szCs w:val="20"/>
        </w:rPr>
      </w:pPr>
      <w:r>
        <w:rPr>
          <w:rFonts w:ascii="黑体" w:eastAsia="黑体" w:cs="黑体"/>
          <w:sz w:val="20"/>
          <w:szCs w:val="20"/>
        </w:rPr>
        <w:t>1.</w:t>
      </w:r>
      <w:r>
        <w:rPr>
          <w:rFonts w:hint="eastAsia" w:ascii="Times New Roman" w:hAnsi="Times New Roman" w:eastAsia="楷体_GB2312" w:cs="楷体_GB2312"/>
          <w:sz w:val="20"/>
          <w:szCs w:val="20"/>
        </w:rPr>
        <w:t>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sz w:val="20"/>
          <w:szCs w:val="20"/>
        </w:rPr>
        <w:t>，或</w:t>
      </w:r>
      <w:r>
        <w:rPr>
          <w:rFonts w:hint="eastAsia" w:ascii="Times New Roman" w:hAnsi="Times New Roman" w:eastAsia="楷体_GB2312" w:cs="楷体_GB2312"/>
          <w:sz w:val="20"/>
          <w:szCs w:val="20"/>
        </w:rPr>
        <w:t>应监管机构及其他有权机关的要求，或与投资者另有约定外，不向第三方披露。</w:t>
      </w:r>
    </w:p>
    <w:p>
      <w:pPr>
        <w:spacing w:line="300" w:lineRule="exact"/>
        <w:ind w:right="29" w:rightChars="1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sz w:val="20"/>
          <w:szCs w:val="20"/>
        </w:rPr>
        <w:t>1</w:t>
      </w:r>
      <w:r>
        <w:rPr>
          <w:rFonts w:hint="eastAsia" w:ascii="Times New Roman" w:hAnsi="Times New Roman" w:eastAsia="楷体_GB2312" w:cs="楷体_GB2312"/>
          <w:sz w:val="20"/>
          <w:szCs w:val="20"/>
        </w:rPr>
        <w:t>）向与本次投资有关而需要获知以上信息并受保密协议约束的律师、会计师、顾问和咨询人员披露的；（</w:t>
      </w: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）根据适用的法律法规的要求，向有关政府部门、监管机构或者管理机构（包括证券交易所）披露的；（</w:t>
      </w:r>
      <w:r>
        <w:rPr>
          <w:rFonts w:ascii="Times New Roman" w:hAnsi="Times New Roman" w:eastAsia="楷体_GB2312" w:cs="楷体_GB2312"/>
          <w:sz w:val="20"/>
          <w:szCs w:val="20"/>
        </w:rPr>
        <w:t>3</w:t>
      </w:r>
      <w:r>
        <w:rPr>
          <w:rFonts w:hint="eastAsia" w:ascii="Times New Roman" w:hAnsi="Times New Roman" w:eastAsia="楷体_GB2312" w:cs="楷体_GB2312"/>
          <w:sz w:val="20"/>
          <w:szCs w:val="20"/>
        </w:rPr>
        <w:t>）本产品说明书另有约定的。前述保密义务不因本理财产品销售文件或相关协议的无效、被撤销、终止而受影响。</w:t>
      </w:r>
    </w:p>
    <w:p>
      <w:pPr>
        <w:spacing w:line="300" w:lineRule="exact"/>
        <w:ind w:right="29" w:rightChars="1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right="29" w:rightChars="12"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为更好地服务理财投资者，信银理财将【租用</w:t>
      </w:r>
      <w:r>
        <w:rPr>
          <w:rFonts w:ascii="Times New Roman" w:hAnsi="Times New Roman" w:eastAsia="楷体_GB2312" w:cs="楷体_GB2312"/>
          <w:sz w:val="20"/>
          <w:szCs w:val="20"/>
        </w:rPr>
        <w:t>/购买】第三方供应商【上海鸿联九五信息技术有限公司】公司提供的【九五云客服系统】系统（联系方式：【021-65085089】），用于向理财投资者提供客服服务，提供客服服务的过程将被录音，录音将会被暂时存储在【九五云客服系统】系统中，因提供客服服务过程中可能不可避免的涉及到投资者的个人身份信息、持仓信息、交易信息等，上述信息可能包含于被储存的录音当中，录音仅用于【事后追溯客服过程，保护投资者权益】。信银理财不会将上述被记录和存储的信息用于任何其他目的，也不会向任何其他第</w:t>
      </w:r>
      <w:r>
        <w:rPr>
          <w:rFonts w:hint="eastAsia" w:ascii="Times New Roman" w:hAnsi="Times New Roman" w:eastAsia="楷体_GB2312" w:cs="楷体_GB2312"/>
          <w:sz w:val="20"/>
          <w:szCs w:val="20"/>
        </w:rPr>
        <w:t>三方提供，同时将要求供应商履行同样义务，并在与供应商结束合作后要求其删除上述信息数据。投资者知悉并同意上述情况。如消费者不同意信银理财通过上述系统向其提供客服服务，可通过信银理财客服邮箱（</w:t>
      </w:r>
      <w:r>
        <w:rPr>
          <w:rFonts w:ascii="Times New Roman" w:hAnsi="Times New Roman" w:eastAsia="楷体_GB2312" w:cs="楷体_GB2312"/>
          <w:sz w:val="20"/>
          <w:szCs w:val="20"/>
        </w:rPr>
        <w:t>customerservice@citic-wealth.com）联系信银理财。</w:t>
      </w:r>
    </w:p>
    <w:p>
      <w:pPr>
        <w:pStyle w:val="6"/>
        <w:spacing w:line="300" w:lineRule="exact"/>
        <w:ind w:left="644" w:right="29" w:rightChars="12" w:firstLine="0" w:firstLineChars="0"/>
        <w:rPr>
          <w:rFonts w:ascii="Times New Roman" w:hAnsi="Times New Roman" w:eastAsia="楷体_GB2312" w:cs="楷体_GB2312"/>
          <w:sz w:val="20"/>
          <w:szCs w:val="20"/>
        </w:rPr>
      </w:pPr>
    </w:p>
    <w:p>
      <w:pPr>
        <w:spacing w:line="300" w:lineRule="exact"/>
        <w:ind w:right="29" w:rightChars="12" w:firstLine="400" w:firstLineChars="200"/>
        <w:jc w:val="both"/>
        <w:rPr>
          <w:rFonts w:ascii="楷体_GB2312" w:eastAsia="楷体_GB2312"/>
          <w:sz w:val="20"/>
          <w:szCs w:val="20"/>
        </w:rPr>
      </w:pPr>
      <w:r>
        <w:rPr>
          <w:rFonts w:hint="eastAsia" w:ascii="黑体" w:hAnsi="Times New Roman" w:eastAsia="黑体" w:cs="黑体"/>
          <w:sz w:val="20"/>
          <w:szCs w:val="20"/>
        </w:rPr>
        <w:t>十六、特别提示</w:t>
      </w:r>
    </w:p>
    <w:p>
      <w:pPr>
        <w:spacing w:line="300" w:lineRule="exact"/>
        <w:ind w:left="-2" w:leftChars="-1" w:right="36" w:rightChars="15"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本产品面临的风险包括信用风险、市场风险、流动性风险、提前终止风险、政策风险、信息传递风险、管理风险、延期清算风险、产品</w:t>
      </w:r>
      <w:r>
        <w:rPr>
          <w:rFonts w:ascii="楷体_GB2312" w:eastAsia="楷体_GB2312" w:cs="楷体_GB2312"/>
          <w:sz w:val="20"/>
          <w:szCs w:val="20"/>
        </w:rPr>
        <w:t>不成立风险、</w:t>
      </w:r>
      <w:r>
        <w:rPr>
          <w:rFonts w:hint="eastAsia" w:ascii="楷体_GB2312" w:eastAsia="楷体_GB2312" w:cs="楷体_GB2312"/>
          <w:sz w:val="20"/>
          <w:szCs w:val="20"/>
        </w:rPr>
        <w:t>不可抗力及</w:t>
      </w:r>
      <w:r>
        <w:rPr>
          <w:rFonts w:ascii="楷体_GB2312" w:eastAsia="楷体_GB2312" w:cs="楷体_GB2312"/>
          <w:sz w:val="20"/>
          <w:szCs w:val="20"/>
        </w:rPr>
        <w:t>意外事件</w:t>
      </w:r>
      <w:r>
        <w:rPr>
          <w:rFonts w:hint="eastAsia" w:ascii="楷体_GB2312" w:eastAsia="楷体_GB2312" w:cs="楷体_GB2312"/>
          <w:sz w:val="20"/>
          <w:szCs w:val="20"/>
        </w:rPr>
        <w:t>风险、</w:t>
      </w:r>
      <w:r>
        <w:rPr>
          <w:rFonts w:ascii="楷体_GB2312" w:eastAsia="楷体_GB2312" w:cs="楷体_GB2312"/>
          <w:sz w:val="20"/>
          <w:szCs w:val="20"/>
        </w:rPr>
        <w:t>关联交易风险</w:t>
      </w:r>
      <w:r>
        <w:rPr>
          <w:rFonts w:hint="eastAsia" w:ascii="楷体_GB2312" w:eastAsia="楷体_GB2312" w:cs="楷体_GB2312"/>
          <w:sz w:val="20"/>
          <w:szCs w:val="20"/>
        </w:rPr>
        <w:t>、合作销售机构风险、</w:t>
      </w:r>
      <w:r>
        <w:rPr>
          <w:rFonts w:ascii="楷体_GB2312" w:eastAsia="楷体_GB2312" w:cs="楷体_GB2312"/>
          <w:sz w:val="20"/>
          <w:szCs w:val="20"/>
        </w:rPr>
        <w:t>操作风险</w:t>
      </w:r>
      <w:r>
        <w:rPr>
          <w:rFonts w:hint="eastAsia" w:ascii="楷体_GB2312" w:eastAsia="楷体_GB2312" w:cs="楷体_GB2312"/>
          <w:sz w:val="20"/>
          <w:szCs w:val="20"/>
        </w:rPr>
        <w:t>等风险，将可能导致投资者无法</w:t>
      </w:r>
      <w:r>
        <w:rPr>
          <w:rFonts w:ascii="楷体_GB2312" w:eastAsia="楷体_GB2312" w:cs="楷体_GB2312"/>
          <w:sz w:val="20"/>
          <w:szCs w:val="20"/>
        </w:rPr>
        <w:t>取得收益，甚至</w:t>
      </w:r>
      <w:r>
        <w:rPr>
          <w:rFonts w:hint="eastAsia" w:ascii="楷体_GB2312" w:eastAsia="楷体_GB2312" w:cs="楷体_GB2312"/>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sz w:val="20"/>
          <w:szCs w:val="20"/>
        </w:rPr>
        <w:t xml:space="preserve">  </w:t>
      </w:r>
    </w:p>
    <w:p>
      <w:pPr>
        <w:spacing w:line="300" w:lineRule="exact"/>
        <w:ind w:left="-2" w:leftChars="-1" w:right="36" w:rightChars="15"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关于费用</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1）双方确认：本产品说明书约定的收费标准经双方协商确定，双方均认可该收费标准。</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4.</w:t>
      </w:r>
      <w:r>
        <w:rPr>
          <w:rFonts w:hint="eastAsia" w:ascii="楷体_GB2312" w:eastAsia="楷体_GB2312"/>
          <w:sz w:val="20"/>
          <w:szCs w:val="20"/>
        </w:rPr>
        <w:t>咨询与投诉：投资者对本理财产品有任何建议、意见或投诉，请联系信银理财理财经理，或反馈至信银理财营业场所，拨打信银理财客户服务热线【</w:t>
      </w:r>
      <w:r>
        <w:rPr>
          <w:rFonts w:ascii="楷体_GB2312" w:eastAsia="楷体_GB2312"/>
          <w:sz w:val="20"/>
          <w:szCs w:val="20"/>
        </w:rPr>
        <w:t>950950，工作时间为工作日8：30-20：30</w:t>
      </w:r>
      <w:r>
        <w:rPr>
          <w:rFonts w:hint="eastAsia" w:ascii="楷体_GB2312" w:eastAsia="楷体_GB2312"/>
          <w:sz w:val="20"/>
          <w:szCs w:val="20"/>
        </w:rPr>
        <w:t>】，登录信银理财网站【</w:t>
      </w:r>
      <w:r>
        <w:rPr>
          <w:rFonts w:ascii="楷体_GB2312" w:eastAsia="楷体_GB2312"/>
          <w:sz w:val="20"/>
          <w:szCs w:val="20"/>
        </w:rPr>
        <w:t>http://www.citic-wealth.com/</w:t>
      </w:r>
      <w:r>
        <w:rPr>
          <w:rFonts w:hint="eastAsia" w:ascii="楷体_GB2312" w:eastAsia="楷体_GB2312"/>
          <w:sz w:val="20"/>
          <w:szCs w:val="20"/>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5.本产品说明书中</w:t>
      </w:r>
      <w:r>
        <w:rPr>
          <w:rFonts w:hint="eastAsia" w:ascii="楷体_GB2312" w:eastAsia="楷体_GB2312"/>
          <w:sz w:val="20"/>
          <w:szCs w:val="20"/>
        </w:rPr>
        <w:t>关于</w:t>
      </w:r>
      <w:r>
        <w:rPr>
          <w:rFonts w:ascii="楷体_GB2312" w:eastAsia="楷体_GB2312"/>
          <w:sz w:val="20"/>
          <w:szCs w:val="20"/>
        </w:rPr>
        <w:t>时间</w:t>
      </w:r>
      <w:r>
        <w:rPr>
          <w:rFonts w:hint="eastAsia" w:ascii="楷体_GB2312" w:eastAsia="楷体_GB2312"/>
          <w:sz w:val="20"/>
          <w:szCs w:val="20"/>
        </w:rPr>
        <w:t>的</w:t>
      </w:r>
      <w:r>
        <w:rPr>
          <w:rFonts w:ascii="楷体_GB2312" w:eastAsia="楷体_GB2312"/>
          <w:sz w:val="20"/>
          <w:szCs w:val="20"/>
        </w:rPr>
        <w:t>标准</w:t>
      </w:r>
      <w:r>
        <w:rPr>
          <w:rFonts w:hint="eastAsia" w:ascii="楷体_GB2312" w:eastAsia="楷体_GB2312"/>
          <w:sz w:val="20"/>
          <w:szCs w:val="20"/>
        </w:rPr>
        <w:t>，</w:t>
      </w:r>
      <w:r>
        <w:rPr>
          <w:rFonts w:ascii="楷体_GB2312" w:eastAsia="楷体_GB2312"/>
          <w:sz w:val="20"/>
          <w:szCs w:val="20"/>
        </w:rPr>
        <w:t>以信银理财业务处理系统记录的北京时间为准。</w:t>
      </w:r>
    </w:p>
    <w:p>
      <w:p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6.信银理财有权依法对本产品说明书进行</w:t>
      </w:r>
      <w:r>
        <w:rPr>
          <w:rFonts w:hint="eastAsia" w:ascii="楷体_GB2312" w:eastAsia="楷体_GB2312"/>
          <w:sz w:val="20"/>
          <w:szCs w:val="20"/>
        </w:rPr>
        <w:t>解释</w:t>
      </w:r>
      <w:r>
        <w:rPr>
          <w:rFonts w:ascii="楷体_GB2312" w:eastAsia="楷体_GB2312"/>
          <w:sz w:val="20"/>
          <w:szCs w:val="20"/>
        </w:rPr>
        <w:t>。</w:t>
      </w:r>
    </w:p>
    <w:p>
      <w:pPr>
        <w:spacing w:line="300" w:lineRule="exact"/>
        <w:ind w:left="-2" w:right="36" w:rightChars="15" w:firstLine="428" w:firstLineChars="214"/>
        <w:rPr>
          <w:rFonts w:ascii="楷体_GB2312" w:eastAsia="楷体_GB2312"/>
          <w:sz w:val="20"/>
          <w:szCs w:val="20"/>
        </w:rPr>
      </w:pPr>
    </w:p>
    <w:p>
      <w:pPr>
        <w:spacing w:line="300" w:lineRule="exact"/>
        <w:ind w:right="29" w:rightChars="12"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十七、违约责任</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sz w:val="20"/>
          <w:szCs w:val="20"/>
        </w:rPr>
      </w:pPr>
    </w:p>
    <w:p>
      <w:pPr>
        <w:spacing w:line="300" w:lineRule="exact"/>
        <w:ind w:right="29" w:rightChars="1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十八、免责内容</w:t>
      </w:r>
    </w:p>
    <w:p>
      <w:pPr>
        <w:spacing w:line="300" w:lineRule="exact"/>
        <w:ind w:left="-2" w:right="36" w:rightChars="15"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right="36" w:rightChars="15" w:firstLine="428" w:firstLineChars="214"/>
        <w:rPr>
          <w:rFonts w:ascii="楷体_GB2312" w:eastAsia="楷体_GB2312"/>
          <w:sz w:val="20"/>
          <w:szCs w:val="20"/>
        </w:rPr>
      </w:pPr>
    </w:p>
    <w:p>
      <w:pPr>
        <w:spacing w:line="300" w:lineRule="exact"/>
        <w:ind w:right="29" w:rightChars="12"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十九、本说明书的生效与终止</w:t>
      </w:r>
    </w:p>
    <w:p>
      <w:pPr>
        <w:pStyle w:val="6"/>
        <w:numPr>
          <w:ilvl w:val="255"/>
          <w:numId w:val="0"/>
        </w:num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理财营业场所购买理财产品的，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6"/>
        <w:numPr>
          <w:ilvl w:val="255"/>
          <w:numId w:val="0"/>
        </w:numPr>
        <w:spacing w:line="300" w:lineRule="exact"/>
        <w:ind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6"/>
        <w:spacing w:line="300" w:lineRule="exact"/>
        <w:ind w:left="786" w:right="36" w:rightChars="15" w:firstLine="0" w:firstLineChars="0"/>
        <w:rPr>
          <w:rFonts w:ascii="楷体_GB2312" w:eastAsia="楷体_GB2312"/>
          <w:sz w:val="20"/>
          <w:szCs w:val="20"/>
        </w:rPr>
      </w:pPr>
    </w:p>
    <w:p>
      <w:pPr>
        <w:tabs>
          <w:tab w:val="left" w:pos="5592"/>
        </w:tabs>
        <w:spacing w:line="300" w:lineRule="exact"/>
        <w:ind w:right="29" w:rightChars="12" w:firstLine="400" w:firstLineChars="200"/>
        <w:jc w:val="both"/>
        <w:rPr>
          <w:rFonts w:ascii="黑体" w:hAnsi="Times New Roman" w:eastAsia="黑体" w:cs="黑体"/>
          <w:sz w:val="20"/>
          <w:szCs w:val="20"/>
        </w:rPr>
      </w:pPr>
      <w:r>
        <w:rPr>
          <w:rFonts w:hint="eastAsia" w:ascii="黑体" w:hAnsi="Times New Roman" w:eastAsia="黑体" w:cs="黑体"/>
          <w:sz w:val="20"/>
          <w:szCs w:val="20"/>
        </w:rPr>
        <w:t>二十、争议解决</w:t>
      </w:r>
      <w:r>
        <w:rPr>
          <w:rFonts w:ascii="黑体" w:hAnsi="Times New Roman" w:eastAsia="黑体" w:cs="黑体"/>
          <w:sz w:val="20"/>
          <w:szCs w:val="20"/>
        </w:rPr>
        <w:tab/>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400" w:right="29" w:rightChars="12" w:hanging="400" w:hangingChars="200"/>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楷体" w:hAnsi="楷体" w:eastAsia="楷体"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rPr>
          <w:rFonts w:ascii="楷体" w:hAnsi="楷体" w:eastAsia="楷体"/>
        </w:rPr>
      </w:pPr>
      <w:r>
        <w:rPr>
          <w:rFonts w:ascii="Calibri" w:hAnsi="Calibri" w:eastAsia="楷体" w:cs="Calibri"/>
        </w:rPr>
        <w:t> </w:t>
      </w:r>
    </w:p>
    <w:p>
      <w:pPr>
        <w:ind w:right="-902" w:rightChars="-376"/>
        <w:rPr>
          <w:rFonts w:ascii="黑体" w:hAnsi="Times New Roman" w:eastAsia="黑体"/>
        </w:rPr>
      </w:pPr>
    </w:p>
    <w:p>
      <w:pPr>
        <w:ind w:right="-902" w:rightChars="-376"/>
      </w:pPr>
      <w:r>
        <w:rPr>
          <w:rFonts w:hint="eastAsia" w:ascii="黑体" w:hAnsi="Times New Roman" w:eastAsia="黑体"/>
        </w:rPr>
        <w:t>机构客户（盖章）：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rPr>
          <w:rFonts w:ascii="黑体" w:hAnsi="Times New Roman" w:eastAsia="黑体"/>
        </w:rPr>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ind w:right="-902" w:rightChars="-376"/>
        <w:rPr>
          <w:rFonts w:ascii="黑体" w:hAnsi="Times New Roman" w:eastAsia="黑体"/>
        </w:rPr>
      </w:pPr>
    </w:p>
    <w:p>
      <w:pPr>
        <w:ind w:right="-902" w:rightChars="-376"/>
      </w:pPr>
    </w:p>
    <w:p>
      <w:pPr>
        <w:spacing w:line="300" w:lineRule="exact"/>
        <w:ind w:left="-2" w:leftChars="-1" w:right="36" w:rightChars="15"/>
        <w:rPr>
          <w:rFonts w:ascii="黑体" w:hAnsi="Times New Roman" w:eastAsia="黑体"/>
        </w:rPr>
      </w:pPr>
    </w:p>
    <w:p>
      <w:pPr>
        <w:spacing w:line="300" w:lineRule="exact"/>
        <w:ind w:left="-2" w:leftChars="-1" w:right="36" w:rightChars="15"/>
      </w:pPr>
    </w:p>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color w:val="000000" w:themeColor="text1"/>
        <w14:textFill>
          <w14:solidFill>
            <w14:schemeClr w14:val="tx1"/>
          </w14:solidFill>
        </w14:textFill>
      </w:rPr>
    </w:pPr>
    <w:r>
      <w:rPr>
        <w:rFonts w:hint="eastAsia"/>
      </w:rPr>
      <w:t xml:space="preserve"> </w:t>
    </w:r>
    <w:r>
      <w:t xml:space="preserve">                              </w:t>
    </w:r>
    <w:r>
      <w:rPr>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1285A"/>
    <w:rsid w:val="340B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2023-06-02T05:16:00Z</dcterms:created>
  <dc:creator>lenovo</dc:creator>
  <cp:lastModifiedBy>lenovo</cp:lastModifiedBy>
  <dcterms:modified xsi:type="dcterms:W3CDTF">2023-06-08T08:37:51Z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