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0" w:firstLineChars="200"/>
        <w:jc w:val="both"/>
      </w:pPr>
      <w:r>
        <w:rPr>
          <w:rFonts w:hint="eastAsia" w:ascii="楷体_GB2312" w:hAnsi="Arial" w:eastAsia="楷体_GB2312" w:cs="楷体_GB2312"/>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rPr>
        <w:t>产品不成立风险、</w:t>
      </w:r>
      <w:r>
        <w:rPr>
          <w:rFonts w:hint="eastAsia" w:ascii="楷体_GB2312" w:hAnsi="Arial" w:eastAsia="楷体_GB2312" w:cs="楷体_GB2312"/>
        </w:rPr>
        <w:t>不可抗力及意外</w:t>
      </w:r>
      <w:r>
        <w:rPr>
          <w:rFonts w:ascii="楷体_GB2312" w:hAnsi="Arial" w:eastAsia="楷体_GB2312" w:cs="楷体_GB2312"/>
        </w:rPr>
        <w:t>事件</w:t>
      </w:r>
      <w:r>
        <w:rPr>
          <w:rFonts w:hint="eastAsia" w:ascii="楷体_GB2312" w:hAnsi="Arial" w:eastAsia="楷体_GB2312" w:cs="楷体_GB2312"/>
        </w:rPr>
        <w:t>风险、</w:t>
      </w:r>
      <w:r>
        <w:rPr>
          <w:rFonts w:ascii="楷体_GB2312" w:hAnsi="Arial" w:eastAsia="楷体_GB2312" w:cs="楷体_GB2312"/>
        </w:rPr>
        <w:t>关联交易风险</w:t>
      </w:r>
      <w:r>
        <w:rPr>
          <w:rFonts w:hint="eastAsia" w:ascii="楷体_GB2312" w:hAnsi="Arial" w:eastAsia="楷体_GB2312" w:cs="楷体_GB2312"/>
        </w:rPr>
        <w:t>、</w:t>
      </w:r>
      <w:r>
        <w:rPr>
          <w:rFonts w:ascii="楷体_GB2312" w:hAnsi="Arial" w:eastAsia="楷体_GB2312" w:cs="楷体_GB2312"/>
        </w:rPr>
        <w:t>合作销售机构风险</w:t>
      </w:r>
      <w:r>
        <w:rPr>
          <w:rFonts w:hint="eastAsia" w:ascii="楷体_GB2312" w:hAnsi="Arial" w:eastAsia="楷体_GB2312" w:cs="楷体_GB2312"/>
        </w:rPr>
        <w:t>、</w:t>
      </w:r>
      <w:r>
        <w:rPr>
          <w:rFonts w:ascii="楷体_GB2312" w:hAnsi="Arial" w:eastAsia="楷体_GB2312" w:cs="楷体_GB2312"/>
        </w:rPr>
        <w:t>操作风险</w:t>
      </w:r>
      <w:r>
        <w:rPr>
          <w:rFonts w:hint="eastAsia" w:ascii="楷体_GB2312" w:hAnsi="Arial" w:eastAsia="楷体_GB2312" w:cs="楷体_GB2312"/>
        </w:rPr>
        <w:t>等风险。具体风险的含义，请您认真阅读本理财产品说明书中相应的风险揭示部分。</w:t>
      </w:r>
    </w:p>
    <w:p>
      <w:pPr>
        <w:spacing w:line="300" w:lineRule="exact"/>
        <w:ind w:firstLine="480" w:firstLineChars="200"/>
        <w:jc w:val="both"/>
      </w:pPr>
      <w:r>
        <w:rPr>
          <w:rFonts w:hint="eastAsia" w:ascii="楷体_GB2312" w:hAnsi="Arial" w:eastAsia="楷体_GB2312" w:cs="楷体_GB2312"/>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rPr>
        <w:t>产品投资协议书、</w:t>
      </w:r>
      <w:r>
        <w:rPr>
          <w:rFonts w:hint="eastAsia" w:ascii="楷体_GB2312" w:hAnsi="Arial" w:eastAsia="楷体_GB2312" w:cs="楷体_GB2312"/>
        </w:rPr>
        <w:t>理财产品说明书、风险揭示书及客户权益须知等，</w:t>
      </w:r>
      <w:r>
        <w:rPr>
          <w:rFonts w:ascii="楷体_GB2312" w:hAnsi="Arial" w:eastAsia="楷体_GB2312" w:cs="楷体_GB2312"/>
        </w:rPr>
        <w:t>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【信银理财安盈象固收稳健日开3号理财产品</w:t>
      </w:r>
      <w:r>
        <w:rPr>
          <w:rFonts w:ascii="楷体_GB2312" w:hAnsi="楷体_GB2312" w:eastAsia="楷体_GB2312" w:cs="楷体_GB2312"/>
          <w:b/>
          <w:bCs/>
        </w:rPr>
        <w:t>】</w:t>
      </w:r>
      <w:r>
        <w:rPr>
          <w:rFonts w:hint="eastAsia" w:ascii="楷体_GB2312" w:hAnsi="Arial" w:eastAsia="楷体_GB2312" w:cs="楷体_GB2312"/>
        </w:rPr>
        <w:t>，产品代码为【AF223200】，类型为【公募】、【固定收益类</w:t>
      </w:r>
      <w:r>
        <w:rPr>
          <w:rFonts w:ascii="楷体_GB2312" w:hAnsi="Arial" w:eastAsia="楷体_GB2312" w:cs="楷体_GB2312"/>
        </w:rPr>
        <w:t>】</w:t>
      </w:r>
      <w:r>
        <w:rPr>
          <w:rFonts w:hint="eastAsia" w:ascii="楷体_GB2312" w:hAnsi="Arial" w:eastAsia="楷体_GB2312" w:cs="楷体_GB2312"/>
        </w:rPr>
        <w:t>、【开放</w:t>
      </w:r>
      <w:r>
        <w:rPr>
          <w:rFonts w:ascii="楷体_GB2312" w:hAnsi="Arial" w:eastAsia="楷体_GB2312" w:cs="楷体_GB2312"/>
        </w:rPr>
        <w:t>式】</w:t>
      </w:r>
      <w:r>
        <w:rPr>
          <w:rFonts w:hint="eastAsia" w:ascii="楷体_GB2312" w:hAnsi="Arial" w:eastAsia="楷体_GB2312" w:cs="楷体_GB2312"/>
        </w:rPr>
        <w:t>产品，</w:t>
      </w:r>
      <w:r>
        <w:rPr>
          <w:rFonts w:hint="eastAsia" w:ascii="楷体_GB2312" w:hAnsi="Arial" w:eastAsia="楷体_GB2312" w:cs="楷体_GB2312"/>
          <w:color w:val="000000" w:themeColor="text1"/>
          <w14:textFill>
            <w14:solidFill>
              <w14:schemeClr w14:val="tx1"/>
            </w14:solidFill>
          </w14:textFill>
        </w:rPr>
        <w:t>产品无固定期限</w:t>
      </w:r>
      <w:r>
        <w:rPr>
          <w:rFonts w:hint="eastAsia" w:ascii="楷体_GB2312" w:hAnsi="Arial" w:eastAsia="楷体_GB2312" w:cs="楷体_GB2312"/>
        </w:rPr>
        <w:t>，风险评级为【PR</w:t>
      </w:r>
      <w:r>
        <w:rPr>
          <w:rFonts w:ascii="楷体_GB2312" w:hAnsi="Arial" w:eastAsia="楷体_GB2312" w:cs="楷体_GB2312"/>
        </w:rPr>
        <w:t>2</w:t>
      </w:r>
      <w:r>
        <w:rPr>
          <w:rFonts w:hint="eastAsia" w:ascii="楷体_GB2312" w:hAnsi="Arial" w:eastAsia="楷体_GB2312" w:cs="楷体_GB2312"/>
        </w:rPr>
        <w:t>】，适合购买客户为风险承受能力为【稳健型】及以上的客户。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rPr>
        <w:t>信银理财提醒您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ind w:firstLine="480" w:firstLineChars="200"/>
        <w:jc w:val="both"/>
        <w:rPr>
          <w:rFonts w:ascii="楷体_GB2312" w:hAnsi="Arial" w:eastAsia="楷体_GB2312"/>
        </w:rPr>
      </w:pPr>
    </w:p>
    <w:p>
      <w:pPr>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ind w:firstLine="482" w:firstLineChars="200"/>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right"/>
        <w:rPr>
          <w:rFonts w:ascii="楷体_GB2312" w:eastAsia="楷体_GB2312"/>
        </w:rPr>
      </w:pPr>
    </w:p>
    <w:p>
      <w:pP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spacing w:line="300" w:lineRule="exact"/>
        <w:ind w:firstLine="480" w:firstLineChars="200"/>
        <w:jc w:val="both"/>
        <w:rPr>
          <w:rFonts w:ascii="楷体_GB2312" w:hAnsi="Arial" w:eastAsia="楷体_GB2312" w:cs="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rPr>
        <w:t>机构</w:t>
      </w:r>
      <w:r>
        <w:rPr>
          <w:rFonts w:hint="eastAsia" w:ascii="楷体_GB2312" w:hAnsi="Arial" w:eastAsia="楷体_GB2312" w:cs="楷体_GB2312"/>
        </w:rPr>
        <w:t>相关业务人员对于理财产品销售文件中限制或排除本人/本单位权利、增加或加重本人/本单位义务或责任以及有关免除或减轻信银理财责任或信银理财单方面拥有某些权利的条款已向本人予以说明，本人/本单位已完全理解并自愿接受。</w:t>
      </w:r>
      <w:r>
        <w:rPr>
          <w:rFonts w:ascii="楷体_GB2312" w:hAnsi="Arial" w:eastAsia="楷体_GB2312" w:cs="楷体_GB2312"/>
        </w:rPr>
        <w:t xml:space="preserve"> </w:t>
      </w:r>
    </w:p>
    <w:p>
      <w:pPr>
        <w:pStyle w:val="6"/>
        <w:spacing w:line="300" w:lineRule="exact"/>
        <w:ind w:firstLine="482"/>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确认，将向本理财产品销售机构真实提供信息，自主作出认（申</w:t>
      </w:r>
      <w:r>
        <w:rPr>
          <w:rFonts w:ascii="楷体_GB2312" w:eastAsia="楷体_GB2312"/>
          <w:b/>
        </w:rPr>
        <w:t>）</w:t>
      </w:r>
      <w:r>
        <w:rPr>
          <w:rFonts w:hint="eastAsia" w:ascii="楷体_GB2312" w:eastAsia="楷体_GB2312"/>
          <w:b/>
        </w:rPr>
        <w:t>购/赎回等决定，独立对销售文件进行签字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本人/本单位确认已阅知客户权益须知，完全清楚理财产品购买流程、风险评估、产品评级含义、信息披露方式及渠道、信银理财及代销机构联系方式及投诉程序等内容。</w:t>
      </w:r>
    </w:p>
    <w:p>
      <w:pPr>
        <w:ind w:firstLine="480" w:firstLineChars="200"/>
        <w:jc w:val="both"/>
        <w:rPr>
          <w:rFonts w:ascii="楷体_GB2312" w:hAnsi="Arial" w:eastAsia="楷体_GB2312" w:cs="楷体_GB2312"/>
        </w:rPr>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w:t>
      </w:r>
      <w:r>
        <w:rPr>
          <w:rFonts w:ascii="楷体_GB2312" w:hAnsi="Arial" w:eastAsia="楷体_GB2312" w:cs="楷体_GB2312"/>
        </w:rPr>
        <w:t>/机构客户</w:t>
      </w:r>
      <w:r>
        <w:rPr>
          <w:rFonts w:hint="eastAsia" w:ascii="楷体_GB2312" w:hAnsi="Arial" w:eastAsia="楷体_GB2312" w:cs="楷体_GB2312"/>
        </w:rPr>
        <w:t>授权</w:t>
      </w:r>
      <w:r>
        <w:rPr>
          <w:rFonts w:ascii="楷体_GB2312" w:hAnsi="Arial" w:eastAsia="楷体_GB2312" w:cs="楷体_GB2312"/>
        </w:rPr>
        <w:t>经办人</w:t>
      </w:r>
      <w:r>
        <w:rPr>
          <w:rFonts w:hint="eastAsia" w:ascii="楷体_GB2312" w:hAnsi="Arial" w:eastAsia="楷体_GB2312" w:cs="楷体_GB2312"/>
        </w:rPr>
        <w:t>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w:t>
      </w:r>
      <w:r>
        <w:rPr>
          <w:rFonts w:hint="eastAsia" w:ascii="楷体_GB2312" w:hAnsi="Arial" w:eastAsia="楷体_GB2312" w:cs="楷体_GB2312"/>
        </w:rPr>
        <w:t>/本单位</w:t>
      </w:r>
      <w:r>
        <w:rPr>
          <w:rFonts w:hint="eastAsia" w:ascii="楷体_GB2312" w:eastAsia="楷体_GB2312" w:cs="楷体_GB2312"/>
          <w:b/>
          <w:bCs/>
        </w:rPr>
        <w:t>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rPr>
          <w:rFonts w:ascii="楷体_GB2312" w:eastAsia="楷体_GB2312"/>
          <w:u w:val="single"/>
        </w:rPr>
      </w:pPr>
      <w:r>
        <w:rPr>
          <w:rFonts w:ascii="楷体_GB2312" w:eastAsia="楷体_GB2312"/>
          <w:u w:val="single"/>
        </w:rPr>
        <w:t>                                 </w:t>
      </w:r>
    </w:p>
    <w:p>
      <w:pPr>
        <w:snapToGrid w:val="0"/>
        <w:rPr>
          <w:rFonts w:ascii="楷体_GB2312" w:eastAsia="楷体_GB2312"/>
          <w:u w:val="single"/>
        </w:rPr>
      </w:pPr>
    </w:p>
    <w:p>
      <w:pPr>
        <w:snapToGrid w:val="0"/>
        <w:rPr>
          <w:rFonts w:ascii="楷体_GB2312" w:eastAsia="楷体_GB2312"/>
        </w:rPr>
      </w:pPr>
    </w:p>
    <w:p>
      <w:pPr>
        <w:snapToGrid w:val="0"/>
        <w:ind w:right="440"/>
        <w:rPr>
          <w:rFonts w:ascii="楷体_GB2312" w:eastAsia="楷体_GB2312" w:cs="楷体_GB2312"/>
        </w:rPr>
      </w:pPr>
      <w:r>
        <w:rPr>
          <w:rFonts w:hint="eastAsia" w:ascii="黑体" w:hAnsi="Times New Roman" w:eastAsia="黑体" w:cs="Arial"/>
        </w:rPr>
        <w:t xml:space="preserve">个人客户（签字）：           </w:t>
      </w:r>
      <w:r>
        <w:rPr>
          <w:rFonts w:ascii="黑体" w:hAnsi="Times New Roman" w:eastAsia="黑体" w:cs="Arial"/>
        </w:rPr>
        <w:t xml:space="preserve"> </w:t>
      </w:r>
      <w:r>
        <w:rPr>
          <w:rFonts w:hint="eastAsia" w:ascii="黑体" w:hAnsi="Times New Roman" w:eastAsia="黑体" w:cs="Arial"/>
        </w:rPr>
        <w:t>机构客户（盖章）：</w:t>
      </w:r>
    </w:p>
    <w:p>
      <w:pPr>
        <w:snapToGrid w:val="0"/>
        <w:ind w:right="440"/>
        <w:rPr>
          <w:rFonts w:ascii="黑体" w:hAnsi="Times New Roman" w:eastAsia="黑体" w:cs="Arial"/>
        </w:rPr>
      </w:pPr>
      <w:r>
        <w:rPr>
          <w:rFonts w:hint="eastAsia" w:ascii="黑体" w:hAnsi="Times New Roman" w:eastAsia="黑体" w:cs="Arial"/>
        </w:rPr>
        <w:t xml:space="preserve">                               </w:t>
      </w:r>
      <w:r>
        <w:rPr>
          <w:rFonts w:ascii="黑体" w:hAnsi="Times New Roman" w:eastAsia="黑体" w:cs="Arial"/>
        </w:rPr>
        <w:t xml:space="preserve">   </w:t>
      </w:r>
    </w:p>
    <w:p>
      <w:pPr>
        <w:snapToGrid w:val="0"/>
        <w:ind w:right="440" w:firstLine="3600" w:firstLineChars="1500"/>
        <w:rPr>
          <w:rFonts w:ascii="黑体" w:hAnsi="Times New Roman" w:eastAsia="黑体" w:cs="Arial"/>
        </w:rPr>
      </w:pPr>
    </w:p>
    <w:p>
      <w:pPr>
        <w:snapToGrid w:val="0"/>
        <w:ind w:right="440" w:firstLine="3600" w:firstLineChars="15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pPr>
      <w:r>
        <w:rPr>
          <w:rFonts w:hint="eastAsia" w:ascii="黑体" w:hAnsi="Times New Roman" w:eastAsia="黑体" w:cs="Arial"/>
        </w:rPr>
        <w:t>日期：年 月 日                日期：年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557901"/>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000000" w:themeColor="text1"/>
        <w14:textFill>
          <w14:solidFill>
            <w14:schemeClr w14:val="tx1"/>
          </w14:solidFill>
        </w14:textFill>
      </w:rPr>
    </w:pPr>
    <w:r>
      <w:rPr>
        <w:rFonts w:hint="eastAsia"/>
      </w:rPr>
      <w:t xml:space="preserve"> </w:t>
    </w:r>
    <w:r>
      <w:t xml:space="preserve">                              </w:t>
    </w:r>
    <w:r>
      <w:rPr>
        <w:color w:val="000000" w:themeColor="text1"/>
        <w14:textFill>
          <w14:solidFill>
            <w14:schemeClr w14:val="tx1"/>
          </w14:solidFill>
        </w14:textFill>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00CB2"/>
    <w:rsid w:val="6A0E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2023-06-02T05:15:00Z</dcterms:created>
  <dc:creator>lenovo</dc:creator>
  <cp:lastModifiedBy>lenovo</cp:lastModifiedBy>
  <dcterms:modified xsi:type="dcterms:W3CDTF">2023-06-02T05:24:31Z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