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DC6605">
      <w:pPr>
        <w:jc w:val="center"/>
        <w:outlineLvl w:val="0"/>
        <w:rPr>
          <w:rFonts w:hint="eastAsia"/>
          <w:b/>
          <w:sz w:val="44"/>
          <w:szCs w:val="44"/>
        </w:rPr>
      </w:pPr>
      <w:bookmarkStart w:id="0" w:name="_GoBack"/>
      <w:bookmarkEnd w:id="0"/>
      <w:r>
        <w:rPr>
          <w:rFonts w:hint="eastAsia"/>
          <w:b/>
          <w:sz w:val="44"/>
          <w:szCs w:val="44"/>
        </w:rPr>
        <w:t>杭银理财理财计划投资协议书</w:t>
      </w:r>
    </w:p>
    <w:p w:rsidR="00000000" w:rsidRDefault="00DC6605">
      <w:pPr>
        <w:jc w:val="center"/>
        <w:rPr>
          <w:rFonts w:hint="eastAsia"/>
          <w:b/>
          <w:sz w:val="44"/>
          <w:szCs w:val="44"/>
        </w:rPr>
      </w:pPr>
      <w:r>
        <w:rPr>
          <w:rFonts w:ascii="宋体" w:hAnsi="宋体" w:cs="宋体" w:hint="eastAsia"/>
          <w:sz w:val="28"/>
          <w:szCs w:val="28"/>
        </w:rPr>
        <w:t>（</w:t>
      </w:r>
      <w:r>
        <w:rPr>
          <w:rFonts w:ascii="宋体" w:hAnsi="宋体" w:cs="宋体" w:hint="eastAsia"/>
          <w:sz w:val="28"/>
          <w:szCs w:val="28"/>
        </w:rPr>
        <w:t>202201</w:t>
      </w:r>
      <w:r>
        <w:rPr>
          <w:rFonts w:ascii="宋体" w:hAnsi="宋体" w:cs="宋体" w:hint="eastAsia"/>
          <w:sz w:val="28"/>
          <w:szCs w:val="28"/>
        </w:rPr>
        <w:t>版）</w:t>
      </w:r>
    </w:p>
    <w:p w:rsidR="00000000" w:rsidRDefault="00DC6605">
      <w:pPr>
        <w:spacing w:line="360" w:lineRule="auto"/>
        <w:jc w:val="center"/>
        <w:rPr>
          <w:rFonts w:hint="eastAsia"/>
          <w:b/>
          <w:sz w:val="32"/>
          <w:szCs w:val="32"/>
        </w:rPr>
      </w:pPr>
      <w:r>
        <w:rPr>
          <w:rFonts w:ascii="宋体" w:hAnsi="宋体" w:cs="宋体" w:hint="eastAsia"/>
          <w:b/>
          <w:bCs/>
          <w:sz w:val="24"/>
          <w:u w:val="single"/>
        </w:rPr>
        <w:t>理财非存款、产品有风险、投资须谨慎</w:t>
      </w:r>
    </w:p>
    <w:p w:rsidR="00000000" w:rsidRDefault="00DC6605">
      <w:pPr>
        <w:spacing w:line="360" w:lineRule="auto"/>
        <w:ind w:firstLineChars="200" w:firstLine="482"/>
        <w:rPr>
          <w:rFonts w:hint="eastAsia"/>
          <w:b/>
          <w:bCs/>
          <w:sz w:val="24"/>
        </w:rPr>
      </w:pPr>
      <w:r>
        <w:rPr>
          <w:rFonts w:hint="eastAsia"/>
          <w:b/>
          <w:bCs/>
          <w:sz w:val="24"/>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rsidR="00000000" w:rsidRDefault="00DC6605">
      <w:pPr>
        <w:spacing w:line="360" w:lineRule="auto"/>
        <w:ind w:firstLineChars="200" w:firstLine="480"/>
        <w:rPr>
          <w:rFonts w:hint="eastAsia"/>
          <w:sz w:val="24"/>
        </w:rPr>
      </w:pPr>
      <w:r>
        <w:rPr>
          <w:rFonts w:hint="eastAsia"/>
          <w:sz w:val="24"/>
        </w:rPr>
        <w:t>投资者与管理人（即杭银理财有限责任公司）经平等友好协商，</w:t>
      </w:r>
      <w:r>
        <w:rPr>
          <w:rFonts w:hint="eastAsia"/>
          <w:sz w:val="24"/>
        </w:rPr>
        <w:t>本着自愿、诚实信用原则，就投资者购买管理人发行的理财计划有关事宜达成如下协议（以下简称“本协议”）：</w:t>
      </w:r>
    </w:p>
    <w:p w:rsidR="00000000" w:rsidRDefault="00DC6605">
      <w:pPr>
        <w:spacing w:line="360" w:lineRule="auto"/>
        <w:ind w:firstLineChars="200" w:firstLine="480"/>
        <w:rPr>
          <w:rFonts w:hint="eastAsia"/>
          <w:sz w:val="24"/>
        </w:rPr>
      </w:pPr>
    </w:p>
    <w:p w:rsidR="00000000" w:rsidRDefault="00DC6605">
      <w:pPr>
        <w:numPr>
          <w:ilvl w:val="0"/>
          <w:numId w:val="1"/>
        </w:numPr>
        <w:spacing w:line="360" w:lineRule="auto"/>
        <w:ind w:firstLineChars="200" w:firstLine="482"/>
        <w:outlineLvl w:val="1"/>
        <w:rPr>
          <w:rFonts w:ascii="宋体" w:hAnsi="宋体" w:hint="eastAsia"/>
          <w:b/>
          <w:bCs/>
          <w:sz w:val="24"/>
        </w:rPr>
      </w:pPr>
      <w:r>
        <w:rPr>
          <w:rFonts w:hint="eastAsia"/>
          <w:b/>
          <w:bCs/>
          <w:sz w:val="24"/>
        </w:rPr>
        <w:t>名词释义</w:t>
      </w:r>
    </w:p>
    <w:p w:rsidR="00000000" w:rsidRDefault="00DC6605">
      <w:pPr>
        <w:spacing w:line="360" w:lineRule="auto"/>
        <w:ind w:firstLineChars="200" w:firstLine="480"/>
        <w:rPr>
          <w:rFonts w:hint="eastAsia"/>
          <w:bCs/>
          <w:sz w:val="24"/>
        </w:rPr>
      </w:pPr>
      <w:r>
        <w:rPr>
          <w:rFonts w:hint="eastAsia"/>
          <w:bCs/>
          <w:sz w:val="24"/>
        </w:rPr>
        <w:t>详见理财计划说明书“释义”部分。</w:t>
      </w:r>
    </w:p>
    <w:p w:rsidR="00000000" w:rsidRDefault="00DC6605">
      <w:pPr>
        <w:spacing w:line="360" w:lineRule="auto"/>
        <w:ind w:firstLineChars="200" w:firstLine="480"/>
        <w:rPr>
          <w:rFonts w:hint="eastAsia"/>
          <w:bCs/>
          <w:sz w:val="24"/>
        </w:rPr>
      </w:pPr>
    </w:p>
    <w:p w:rsidR="00000000" w:rsidRDefault="00DC6605">
      <w:pPr>
        <w:numPr>
          <w:ilvl w:val="0"/>
          <w:numId w:val="1"/>
        </w:numPr>
        <w:spacing w:line="360" w:lineRule="auto"/>
        <w:ind w:firstLineChars="200" w:firstLine="482"/>
        <w:outlineLvl w:val="1"/>
        <w:rPr>
          <w:rFonts w:hint="eastAsia"/>
          <w:b/>
          <w:sz w:val="24"/>
        </w:rPr>
      </w:pPr>
      <w:r>
        <w:rPr>
          <w:rFonts w:hint="eastAsia"/>
          <w:b/>
          <w:sz w:val="24"/>
        </w:rPr>
        <w:t>投资者权利与义务</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ascii="宋体" w:hAnsi="宋体" w:cs="宋体" w:hint="eastAsia"/>
          <w:color w:val="000000"/>
          <w:kern w:val="0"/>
          <w:sz w:val="24"/>
        </w:rPr>
        <w:t>法院裁定或命令的要求，投资者具有完全民事行为能力，能够自行识别、判断和承担理财计划的相关</w:t>
      </w:r>
      <w:r>
        <w:rPr>
          <w:rFonts w:ascii="宋体" w:hAnsi="宋体" w:cs="宋体" w:hint="eastAsia"/>
          <w:color w:val="000000"/>
          <w:kern w:val="0"/>
          <w:sz w:val="24"/>
        </w:rPr>
        <w:t>风险；不存在法律法规、有权机关或主管机关禁止或限制购买理财计划的各种情形。投资者按其投资金额在本理财计划投资协议书中享有相应的权利，承担相应的义务和风险。</w:t>
      </w:r>
      <w:r>
        <w:rPr>
          <w:rFonts w:ascii="宋体" w:hAnsi="宋体" w:cs="宋体" w:hint="eastAsia"/>
          <w:color w:val="000000"/>
          <w:kern w:val="0"/>
          <w:sz w:val="24"/>
        </w:rPr>
        <w:t xml:space="preserve"> </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投资者保证自身完全了解理财投资的性质，投资所涉及的风险以及自身风险承受能力，在慎重考虑后独立作出交易决定。</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投资者保证其有权利签署本协议和履行本协议所述的义务，并已为此采取一切所需的行为。</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lastRenderedPageBreak/>
        <w:t>投资者保证执行及交付任何文件或履行本协议项下的义务，均不会违反任何适用法律、法规、法令或法律限制，任何法院或其他政府机关所作出的适用于投资者或投资者任何资产的指令或</w:t>
      </w:r>
      <w:r>
        <w:rPr>
          <w:rFonts w:ascii="宋体" w:hAnsi="宋体" w:hint="eastAsia"/>
          <w:sz w:val="24"/>
        </w:rPr>
        <w:t>判决；对投资者或投资者任何资产有约束力的任何重大协议条款。投资者应在签署本协议的同时在授权指定账户存入足额的资金以确保账户余额大于或等于认</w:t>
      </w:r>
      <w:r>
        <w:rPr>
          <w:rFonts w:ascii="宋体" w:hAnsi="宋体" w:hint="eastAsia"/>
          <w:sz w:val="24"/>
        </w:rPr>
        <w:t>/</w:t>
      </w:r>
      <w:r>
        <w:rPr>
          <w:rFonts w:ascii="宋体" w:hAnsi="宋体" w:hint="eastAsia"/>
          <w:sz w:val="24"/>
        </w:rPr>
        <w:t>申购金额。</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本协议终止前，投资者应保证其“授权指定账户”处于正常状态，投资者授权指定账户发生资金余额不足、挂失、换卡、长期不动户等特殊情况或被有权机关采取冻结、扣划、强制措施等变更或异常情形，导致认</w:t>
      </w:r>
      <w:r>
        <w:rPr>
          <w:rFonts w:ascii="宋体" w:hAnsi="宋体" w:hint="eastAsia"/>
          <w:sz w:val="24"/>
        </w:rPr>
        <w:t>/</w:t>
      </w:r>
      <w:r>
        <w:rPr>
          <w:rFonts w:ascii="宋体" w:hAnsi="宋体" w:hint="eastAsia"/>
          <w:sz w:val="24"/>
        </w:rPr>
        <w:t>申购不成功，以及在本理财计划存续期内如因有权机关依法采取强制措施导致理财份额、理财账户、授权指定账户被冻结或扣划的，管理人对此不承担任何责任。</w:t>
      </w:r>
      <w:r>
        <w:rPr>
          <w:rFonts w:ascii="宋体" w:hAnsi="宋体" w:hint="eastAsia"/>
          <w:sz w:val="24"/>
        </w:rPr>
        <w:t xml:space="preserve"> </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在本理财计划存续期内，如有</w:t>
      </w:r>
      <w:r>
        <w:rPr>
          <w:rFonts w:ascii="宋体" w:hAnsi="宋体" w:hint="eastAsia"/>
          <w:sz w:val="24"/>
        </w:rPr>
        <w:t>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w:t>
      </w:r>
      <w:r>
        <w:rPr>
          <w:rFonts w:ascii="宋体" w:hAnsi="宋体" w:hint="eastAsia"/>
          <w:sz w:val="24"/>
        </w:rPr>
        <w:t xml:space="preserve"> </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本协议终止前，投资者不得将授权指定账户销户。若发生因投资者注销授权指定账户造成理财计划无法正常兑付的，管理人不承担任何责任。</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投资者应确保其提供的所有资料真实、</w:t>
      </w:r>
      <w:r>
        <w:rPr>
          <w:rFonts w:ascii="宋体" w:hAnsi="宋体" w:hint="eastAsia"/>
          <w:sz w:val="24"/>
        </w:rPr>
        <w:t>完整、合法、有效，如果有任何变更，投资者应及时通知管理人并办理变更手续。如因投资者未及时通知管理人并办理相应的变更手续，由此导致的一切后果由投资者自行承担，管理人对此不承担任何责任。</w:t>
      </w:r>
      <w:r>
        <w:rPr>
          <w:rFonts w:ascii="宋体" w:hAnsi="宋体" w:hint="eastAsia"/>
          <w:sz w:val="24"/>
        </w:rPr>
        <w:t xml:space="preserve"> </w:t>
      </w:r>
    </w:p>
    <w:p w:rsidR="00000000" w:rsidRDefault="00DC6605">
      <w:pPr>
        <w:widowControl/>
        <w:numPr>
          <w:ilvl w:val="0"/>
          <w:numId w:val="2"/>
        </w:numPr>
        <w:spacing w:line="360" w:lineRule="auto"/>
        <w:contextualSpacing/>
        <w:outlineLvl w:val="2"/>
        <w:rPr>
          <w:rFonts w:ascii="宋体" w:hAnsi="宋体"/>
          <w:sz w:val="24"/>
        </w:rPr>
      </w:pPr>
      <w:r>
        <w:rPr>
          <w:rFonts w:ascii="宋体" w:hAnsi="宋体" w:hint="eastAsia"/>
          <w:sz w:val="24"/>
        </w:rPr>
        <w:t>投资者进行投资时，应严格遵守反洗钱相关法规的规定，切实履行反洗钱及反恐怖融资义务。</w:t>
      </w:r>
      <w:r>
        <w:rPr>
          <w:rFonts w:ascii="宋体" w:hAnsi="宋体" w:hint="eastAsia"/>
          <w:sz w:val="24"/>
        </w:rPr>
        <w:t xml:space="preserve"> </w:t>
      </w:r>
    </w:p>
    <w:p w:rsidR="00000000" w:rsidRDefault="00DC6605">
      <w:pPr>
        <w:spacing w:line="360" w:lineRule="auto"/>
        <w:ind w:left="482"/>
        <w:rPr>
          <w:b/>
          <w:sz w:val="24"/>
        </w:rPr>
      </w:pPr>
    </w:p>
    <w:p w:rsidR="00000000" w:rsidRDefault="00DC6605">
      <w:pPr>
        <w:numPr>
          <w:ilvl w:val="0"/>
          <w:numId w:val="1"/>
        </w:numPr>
        <w:spacing w:line="360" w:lineRule="auto"/>
        <w:ind w:firstLineChars="200" w:firstLine="482"/>
        <w:outlineLvl w:val="1"/>
        <w:rPr>
          <w:rFonts w:hint="eastAsia"/>
          <w:b/>
          <w:sz w:val="24"/>
        </w:rPr>
      </w:pPr>
      <w:r>
        <w:rPr>
          <w:rFonts w:hint="eastAsia"/>
          <w:b/>
          <w:sz w:val="24"/>
        </w:rPr>
        <w:t>管理人权利与义务</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管理人应当诚实守信、勤勉尽责地履行受人之托、代人理财职责。</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管理人应当按照理财计划销售文件的约定收取管理费用、确定收益分配方案、向投资者分配收益。</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lastRenderedPageBreak/>
        <w:t>管理人应当按照理财计划销售文件的约定履行风险揭示及信息披露义务。</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管理人应当确保理财业务与其他业务相分离，理财计划之间相分离，理财业务操作与其他业务操作相分离。</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sz w:val="24"/>
        </w:rPr>
        <w:t>管理人不得将理财</w:t>
      </w:r>
      <w:r>
        <w:rPr>
          <w:rFonts w:ascii="宋体" w:hAnsi="宋体" w:hint="eastAsia"/>
          <w:sz w:val="24"/>
        </w:rPr>
        <w:t>计划</w:t>
      </w:r>
      <w:r>
        <w:rPr>
          <w:rFonts w:ascii="宋体" w:hAnsi="宋体"/>
          <w:sz w:val="24"/>
        </w:rPr>
        <w:t>财产归入其自有资产</w:t>
      </w:r>
      <w:r>
        <w:rPr>
          <w:rFonts w:ascii="宋体" w:hAnsi="宋体" w:hint="eastAsia"/>
          <w:sz w:val="24"/>
        </w:rPr>
        <w:t>，</w:t>
      </w:r>
      <w:r>
        <w:rPr>
          <w:rFonts w:ascii="宋体" w:hAnsi="宋体"/>
          <w:sz w:val="24"/>
        </w:rPr>
        <w:t>因依法解散</w:t>
      </w:r>
      <w:r>
        <w:rPr>
          <w:rFonts w:ascii="宋体" w:hAnsi="宋体" w:hint="eastAsia"/>
          <w:sz w:val="24"/>
        </w:rPr>
        <w:t>、</w:t>
      </w:r>
      <w:r>
        <w:rPr>
          <w:rFonts w:ascii="宋体" w:hAnsi="宋体"/>
          <w:sz w:val="24"/>
        </w:rPr>
        <w:t>被依法撤销或者被依法宣告破产等原因进行清算的</w:t>
      </w:r>
      <w:r>
        <w:rPr>
          <w:rFonts w:ascii="宋体" w:hAnsi="宋体" w:hint="eastAsia"/>
          <w:sz w:val="24"/>
        </w:rPr>
        <w:t>，</w:t>
      </w:r>
      <w:r>
        <w:rPr>
          <w:rFonts w:ascii="宋体" w:hAnsi="宋体"/>
          <w:sz w:val="24"/>
        </w:rPr>
        <w:t>理财</w:t>
      </w:r>
      <w:r>
        <w:rPr>
          <w:rFonts w:ascii="宋体" w:hAnsi="宋体" w:hint="eastAsia"/>
          <w:sz w:val="24"/>
        </w:rPr>
        <w:t>计划</w:t>
      </w:r>
      <w:r>
        <w:rPr>
          <w:rFonts w:ascii="宋体" w:hAnsi="宋体"/>
          <w:sz w:val="24"/>
        </w:rPr>
        <w:t>财产不属于其清算财产</w:t>
      </w:r>
      <w:r>
        <w:rPr>
          <w:rFonts w:ascii="宋体" w:hAnsi="宋体" w:hint="eastAsia"/>
          <w:sz w:val="24"/>
        </w:rPr>
        <w:t>。</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管理人应当选择具有证券投资基金托管业务资格的金融机构、银行业理财登记托管机构或者国务院银行业监督管理机构认可的其他机构托管理财计划。</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管理人作为理财计划管理人，全权负责理财计划资金的运用和理财计划资产的管理，管理人有权并代表投资者利益，按照法律法规和监管部门相关规定对理财计划投资产</w:t>
      </w:r>
      <w:r>
        <w:rPr>
          <w:rFonts w:ascii="宋体" w:hAnsi="宋体" w:hint="eastAsia"/>
          <w:sz w:val="24"/>
        </w:rPr>
        <w:t>生的风险资产进行多种方式的处置，包括但不限于转让、重组、债转股、资产证券化、催收、抵债资产收取与处置、破产重整等。</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w:t>
      </w:r>
      <w:r>
        <w:rPr>
          <w:rFonts w:ascii="宋体" w:hAnsi="宋体" w:hint="eastAsia"/>
          <w:sz w:val="24"/>
        </w:rPr>
        <w:t xml:space="preserve"> </w:t>
      </w:r>
    </w:p>
    <w:p w:rsidR="00000000" w:rsidRDefault="00DC6605">
      <w:pPr>
        <w:widowControl/>
        <w:numPr>
          <w:ilvl w:val="0"/>
          <w:numId w:val="3"/>
        </w:numPr>
        <w:spacing w:line="360" w:lineRule="auto"/>
        <w:contextualSpacing/>
        <w:outlineLvl w:val="2"/>
        <w:rPr>
          <w:rFonts w:ascii="宋体" w:hAnsi="宋体"/>
          <w:sz w:val="24"/>
        </w:rPr>
      </w:pPr>
      <w:r>
        <w:rPr>
          <w:rFonts w:ascii="宋体" w:hAnsi="宋体" w:hint="eastAsia"/>
          <w:sz w:val="24"/>
        </w:rPr>
        <w:t>管理人在此特别披露：若理财计划管理人的关联方担任理财计划的代销机构、托管人、合作机构的，</w:t>
      </w:r>
      <w:r>
        <w:rPr>
          <w:rFonts w:ascii="宋体" w:hAnsi="宋体" w:hint="eastAsia"/>
          <w:sz w:val="24"/>
        </w:rPr>
        <w:t>理财计划管理人将按照法律法规和监管要求履行相应程序，投资者认购或申购理财计划即视为同意该等安排。</w:t>
      </w:r>
      <w:r>
        <w:rPr>
          <w:rFonts w:ascii="宋体" w:hAnsi="宋体" w:hint="eastAsia"/>
          <w:sz w:val="24"/>
        </w:rPr>
        <w:t xml:space="preserve"> </w:t>
      </w:r>
    </w:p>
    <w:p w:rsidR="00000000" w:rsidRDefault="00DC6605">
      <w:pPr>
        <w:spacing w:line="360" w:lineRule="auto"/>
        <w:rPr>
          <w:b/>
          <w:sz w:val="24"/>
        </w:rPr>
      </w:pPr>
    </w:p>
    <w:p w:rsidR="00000000" w:rsidRDefault="00DC6605">
      <w:pPr>
        <w:numPr>
          <w:ilvl w:val="0"/>
          <w:numId w:val="1"/>
        </w:numPr>
        <w:spacing w:line="360" w:lineRule="auto"/>
        <w:ind w:firstLineChars="200" w:firstLine="482"/>
        <w:outlineLvl w:val="1"/>
        <w:rPr>
          <w:rFonts w:hint="eastAsia"/>
          <w:b/>
          <w:sz w:val="24"/>
        </w:rPr>
      </w:pPr>
      <w:r>
        <w:rPr>
          <w:rFonts w:hint="eastAsia"/>
          <w:b/>
          <w:sz w:val="24"/>
        </w:rPr>
        <w:t>理财计划认（申）购、赎回及终止</w:t>
      </w:r>
    </w:p>
    <w:p w:rsidR="00000000" w:rsidRDefault="00DC6605">
      <w:pPr>
        <w:widowControl/>
        <w:numPr>
          <w:ilvl w:val="0"/>
          <w:numId w:val="4"/>
        </w:numPr>
        <w:spacing w:line="360" w:lineRule="auto"/>
        <w:contextualSpacing/>
        <w:outlineLvl w:val="2"/>
        <w:rPr>
          <w:rFonts w:ascii="宋体" w:hAnsi="宋体"/>
          <w:sz w:val="24"/>
        </w:rPr>
      </w:pPr>
      <w:r>
        <w:rPr>
          <w:rFonts w:ascii="宋体" w:hAnsi="宋体" w:hint="eastAsia"/>
          <w:sz w:val="24"/>
        </w:rPr>
        <w:t>理财计划认</w:t>
      </w:r>
      <w:r>
        <w:rPr>
          <w:rFonts w:ascii="宋体" w:hAnsi="宋体" w:hint="eastAsia"/>
          <w:sz w:val="24"/>
        </w:rPr>
        <w:t>/</w:t>
      </w:r>
      <w:r>
        <w:rPr>
          <w:rFonts w:ascii="宋体" w:hAnsi="宋体" w:hint="eastAsia"/>
          <w:sz w:val="24"/>
        </w:rPr>
        <w:t>申购办理流程：参照《投资者权益须知》约定。</w:t>
      </w:r>
      <w:r>
        <w:rPr>
          <w:rFonts w:ascii="宋体" w:hAnsi="宋体" w:hint="eastAsia"/>
          <w:sz w:val="24"/>
        </w:rPr>
        <w:t xml:space="preserve"> </w:t>
      </w:r>
    </w:p>
    <w:p w:rsidR="00000000" w:rsidRDefault="00DC6605">
      <w:pPr>
        <w:widowControl/>
        <w:numPr>
          <w:ilvl w:val="0"/>
          <w:numId w:val="4"/>
        </w:numPr>
        <w:spacing w:line="360" w:lineRule="auto"/>
        <w:contextualSpacing/>
        <w:outlineLvl w:val="2"/>
        <w:rPr>
          <w:rFonts w:ascii="宋体" w:hAnsi="宋体"/>
          <w:sz w:val="24"/>
        </w:rPr>
      </w:pPr>
      <w:r>
        <w:rPr>
          <w:rFonts w:ascii="宋体" w:hAnsi="宋体" w:hint="eastAsia"/>
          <w:sz w:val="24"/>
        </w:rPr>
        <w:t>理财计划认</w:t>
      </w:r>
      <w:r>
        <w:rPr>
          <w:rFonts w:ascii="宋体" w:hAnsi="宋体" w:hint="eastAsia"/>
          <w:sz w:val="24"/>
        </w:rPr>
        <w:t>/</w:t>
      </w:r>
      <w:r>
        <w:rPr>
          <w:rFonts w:ascii="宋体" w:hAnsi="宋体" w:hint="eastAsia"/>
          <w:sz w:val="24"/>
        </w:rPr>
        <w:t>申购确认：通过杭银理财直销渠道认</w:t>
      </w:r>
      <w:r>
        <w:rPr>
          <w:rFonts w:ascii="宋体" w:hAnsi="宋体" w:hint="eastAsia"/>
          <w:sz w:val="24"/>
        </w:rPr>
        <w:t>/</w:t>
      </w:r>
      <w:r>
        <w:rPr>
          <w:rFonts w:ascii="宋体" w:hAnsi="宋体" w:hint="eastAsia"/>
          <w:sz w:val="24"/>
        </w:rPr>
        <w:t>申购理财计划的，投资者须指定账户用于认</w:t>
      </w:r>
      <w:r>
        <w:rPr>
          <w:rFonts w:ascii="宋体" w:hAnsi="宋体" w:hint="eastAsia"/>
          <w:sz w:val="24"/>
        </w:rPr>
        <w:t>/</w:t>
      </w:r>
      <w:r>
        <w:rPr>
          <w:rFonts w:ascii="宋体" w:hAnsi="宋体" w:hint="eastAsia"/>
          <w:sz w:val="24"/>
        </w:rPr>
        <w:t>申购交易和赎回资金清算，投资者购买及扣划时应确保足额资金；如投资者通过代销渠道认</w:t>
      </w:r>
      <w:r>
        <w:rPr>
          <w:rFonts w:ascii="宋体" w:hAnsi="宋体" w:hint="eastAsia"/>
          <w:sz w:val="24"/>
        </w:rPr>
        <w:t>/</w:t>
      </w:r>
      <w:r>
        <w:rPr>
          <w:rFonts w:ascii="宋体" w:hAnsi="宋体" w:hint="eastAsia"/>
          <w:sz w:val="24"/>
        </w:rPr>
        <w:t>申购理财计划的，管理人仅根据代销渠道提供的交易信息及资金划付对投资者相应认</w:t>
      </w:r>
      <w:r>
        <w:rPr>
          <w:rFonts w:ascii="宋体" w:hAnsi="宋体" w:hint="eastAsia"/>
          <w:sz w:val="24"/>
        </w:rPr>
        <w:t>/</w:t>
      </w:r>
      <w:r>
        <w:rPr>
          <w:rFonts w:ascii="宋体" w:hAnsi="宋体" w:hint="eastAsia"/>
          <w:sz w:val="24"/>
        </w:rPr>
        <w:t>申购进行确认。</w:t>
      </w:r>
    </w:p>
    <w:p w:rsidR="00000000" w:rsidRDefault="00DC6605">
      <w:pPr>
        <w:widowControl/>
        <w:numPr>
          <w:ilvl w:val="0"/>
          <w:numId w:val="4"/>
        </w:numPr>
        <w:spacing w:line="360" w:lineRule="auto"/>
        <w:contextualSpacing/>
        <w:outlineLvl w:val="2"/>
        <w:rPr>
          <w:rFonts w:ascii="宋体" w:hAnsi="宋体"/>
          <w:sz w:val="24"/>
        </w:rPr>
      </w:pPr>
      <w:r>
        <w:rPr>
          <w:rFonts w:ascii="宋体" w:hAnsi="宋体" w:hint="eastAsia"/>
          <w:sz w:val="24"/>
        </w:rPr>
        <w:lastRenderedPageBreak/>
        <w:t>理财计划不成立：若在募集期结束日，本理财计划发行规模未能达到</w:t>
      </w:r>
      <w:r>
        <w:rPr>
          <w:rFonts w:ascii="宋体" w:hAnsi="宋体" w:hint="eastAsia"/>
          <w:sz w:val="24"/>
        </w:rPr>
        <w:t>对应期次的《理财计划产品说明书》规定的要求，则本理财计划不成立，管理人将按对应期次的《理财计划产品说明书》约定条款向投资者进行公告，并将及时解除对投资者授权指定账户中认购资金的冻结。</w:t>
      </w:r>
      <w:r>
        <w:rPr>
          <w:rFonts w:ascii="宋体" w:hAnsi="宋体" w:hint="eastAsia"/>
          <w:sz w:val="24"/>
        </w:rPr>
        <w:t xml:space="preserve"> </w:t>
      </w:r>
    </w:p>
    <w:p w:rsidR="00000000" w:rsidRDefault="00DC6605">
      <w:pPr>
        <w:widowControl/>
        <w:numPr>
          <w:ilvl w:val="0"/>
          <w:numId w:val="4"/>
        </w:numPr>
        <w:spacing w:line="360" w:lineRule="auto"/>
        <w:contextualSpacing/>
        <w:outlineLvl w:val="2"/>
        <w:rPr>
          <w:rFonts w:ascii="宋体" w:hAnsi="宋体" w:hint="eastAsia"/>
          <w:sz w:val="24"/>
        </w:rPr>
      </w:pPr>
      <w:r>
        <w:rPr>
          <w:rFonts w:ascii="宋体" w:hAnsi="宋体" w:hint="eastAsia"/>
          <w:sz w:val="24"/>
        </w:rPr>
        <w:t>理财计划投资品种、投资起点金额、收益支付方式：参照对应期次的《理财计划产品说明书》中的条款约定。</w:t>
      </w:r>
      <w:r>
        <w:rPr>
          <w:rFonts w:ascii="宋体" w:hAnsi="宋体" w:hint="eastAsia"/>
          <w:sz w:val="24"/>
        </w:rPr>
        <w:t xml:space="preserve"> </w:t>
      </w:r>
    </w:p>
    <w:p w:rsidR="00000000" w:rsidRDefault="00DC6605">
      <w:pPr>
        <w:widowControl/>
        <w:numPr>
          <w:ilvl w:val="0"/>
          <w:numId w:val="4"/>
        </w:numPr>
        <w:spacing w:line="360" w:lineRule="auto"/>
        <w:contextualSpacing/>
        <w:outlineLvl w:val="2"/>
        <w:rPr>
          <w:rFonts w:ascii="宋体" w:hAnsi="宋体"/>
          <w:sz w:val="24"/>
        </w:rPr>
      </w:pPr>
      <w:r>
        <w:rPr>
          <w:rFonts w:ascii="宋体" w:hAnsi="宋体" w:hint="eastAsia"/>
          <w:sz w:val="24"/>
        </w:rPr>
        <w:t>理财计划赎回</w:t>
      </w:r>
      <w:r>
        <w:rPr>
          <w:rFonts w:ascii="宋体" w:hAnsi="宋体" w:hint="eastAsia"/>
          <w:sz w:val="24"/>
        </w:rPr>
        <w:t>/</w:t>
      </w:r>
      <w:r>
        <w:rPr>
          <w:rFonts w:ascii="宋体" w:hAnsi="宋体" w:hint="eastAsia"/>
          <w:sz w:val="24"/>
        </w:rPr>
        <w:t>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w:t>
      </w:r>
      <w:r>
        <w:rPr>
          <w:rFonts w:ascii="宋体" w:hAnsi="宋体" w:hint="eastAsia"/>
          <w:sz w:val="24"/>
        </w:rPr>
        <w:t>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rsidR="00000000" w:rsidRDefault="00DC6605">
      <w:pPr>
        <w:widowControl/>
        <w:numPr>
          <w:ilvl w:val="0"/>
          <w:numId w:val="4"/>
        </w:numPr>
        <w:spacing w:line="360" w:lineRule="auto"/>
        <w:contextualSpacing/>
        <w:outlineLvl w:val="2"/>
        <w:rPr>
          <w:rFonts w:ascii="宋体" w:hAnsi="宋体"/>
          <w:sz w:val="24"/>
        </w:rPr>
      </w:pPr>
      <w:r>
        <w:rPr>
          <w:rFonts w:ascii="宋体" w:hAnsi="宋体" w:hint="eastAsia"/>
          <w:sz w:val="24"/>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w:t>
      </w:r>
      <w:r>
        <w:rPr>
          <w:rFonts w:ascii="宋体" w:hAnsi="宋体" w:hint="eastAsia"/>
          <w:sz w:val="24"/>
        </w:rPr>
        <w:t>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rsidR="00000000" w:rsidRDefault="00DC6605">
      <w:pPr>
        <w:spacing w:line="360" w:lineRule="auto"/>
        <w:ind w:left="482"/>
        <w:rPr>
          <w:b/>
          <w:sz w:val="24"/>
        </w:rPr>
      </w:pPr>
    </w:p>
    <w:p w:rsidR="00000000" w:rsidRDefault="00DC6605">
      <w:pPr>
        <w:numPr>
          <w:ilvl w:val="0"/>
          <w:numId w:val="1"/>
        </w:numPr>
        <w:spacing w:line="360" w:lineRule="auto"/>
        <w:ind w:firstLineChars="200" w:firstLine="482"/>
        <w:outlineLvl w:val="1"/>
        <w:rPr>
          <w:rFonts w:hint="eastAsia"/>
          <w:b/>
          <w:sz w:val="24"/>
        </w:rPr>
      </w:pPr>
      <w:r>
        <w:rPr>
          <w:rFonts w:hint="eastAsia"/>
          <w:b/>
          <w:sz w:val="24"/>
        </w:rPr>
        <w:t>税收处理</w:t>
      </w:r>
    </w:p>
    <w:p w:rsidR="00000000" w:rsidRDefault="00DC6605">
      <w:pPr>
        <w:widowControl/>
        <w:spacing w:line="360" w:lineRule="auto"/>
        <w:ind w:firstLineChars="200" w:firstLine="480"/>
        <w:contextualSpacing/>
        <w:rPr>
          <w:rFonts w:ascii="宋体" w:hAnsi="宋体" w:hint="eastAsia"/>
          <w:sz w:val="24"/>
        </w:rPr>
      </w:pPr>
      <w:r>
        <w:rPr>
          <w:rFonts w:ascii="宋体" w:hAnsi="宋体" w:hint="eastAsia"/>
          <w:sz w:val="24"/>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rsidR="00000000" w:rsidRDefault="00DC6605">
      <w:pPr>
        <w:widowControl/>
        <w:spacing w:line="360" w:lineRule="auto"/>
        <w:ind w:firstLineChars="200" w:firstLine="480"/>
        <w:contextualSpacing/>
        <w:rPr>
          <w:rFonts w:ascii="宋体" w:hAnsi="宋体"/>
          <w:sz w:val="24"/>
        </w:rPr>
      </w:pPr>
    </w:p>
    <w:p w:rsidR="00000000" w:rsidRDefault="00DC6605">
      <w:pPr>
        <w:numPr>
          <w:ilvl w:val="0"/>
          <w:numId w:val="1"/>
        </w:numPr>
        <w:spacing w:line="360" w:lineRule="auto"/>
        <w:ind w:firstLineChars="200" w:firstLine="482"/>
        <w:outlineLvl w:val="1"/>
        <w:rPr>
          <w:rFonts w:hint="eastAsia"/>
          <w:b/>
          <w:sz w:val="24"/>
        </w:rPr>
      </w:pPr>
      <w:r>
        <w:rPr>
          <w:rFonts w:hint="eastAsia"/>
          <w:b/>
          <w:sz w:val="24"/>
        </w:rPr>
        <w:t>违约责任及免责条款</w:t>
      </w:r>
    </w:p>
    <w:p w:rsidR="00000000" w:rsidRDefault="00DC6605">
      <w:pPr>
        <w:widowControl/>
        <w:numPr>
          <w:ilvl w:val="0"/>
          <w:numId w:val="5"/>
        </w:numPr>
        <w:spacing w:line="360" w:lineRule="auto"/>
        <w:contextualSpacing/>
        <w:outlineLvl w:val="2"/>
        <w:rPr>
          <w:rFonts w:ascii="宋体" w:hAnsi="宋体"/>
          <w:sz w:val="24"/>
        </w:rPr>
      </w:pPr>
      <w:r>
        <w:rPr>
          <w:rFonts w:ascii="宋体" w:hAnsi="宋体" w:hint="eastAsia"/>
          <w:sz w:val="24"/>
        </w:rPr>
        <w:lastRenderedPageBreak/>
        <w:t>若因投资人原因导致司法或行政机构采取强</w:t>
      </w:r>
      <w:r>
        <w:rPr>
          <w:rFonts w:ascii="宋体" w:hAnsi="宋体" w:hint="eastAsia"/>
          <w:sz w:val="24"/>
        </w:rPr>
        <w:t>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rsidR="00000000" w:rsidRDefault="00DC6605">
      <w:pPr>
        <w:widowControl/>
        <w:numPr>
          <w:ilvl w:val="0"/>
          <w:numId w:val="5"/>
        </w:numPr>
        <w:spacing w:line="360" w:lineRule="auto"/>
        <w:contextualSpacing/>
        <w:outlineLvl w:val="2"/>
        <w:rPr>
          <w:rFonts w:ascii="宋体" w:hAnsi="宋体"/>
          <w:sz w:val="24"/>
        </w:rPr>
      </w:pPr>
      <w:r>
        <w:rPr>
          <w:rFonts w:ascii="宋体" w:hAnsi="宋体" w:hint="eastAsia"/>
          <w:sz w:val="24"/>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rsidR="00000000" w:rsidRDefault="00DC6605">
      <w:pPr>
        <w:widowControl/>
        <w:numPr>
          <w:ilvl w:val="0"/>
          <w:numId w:val="5"/>
        </w:numPr>
        <w:spacing w:line="360" w:lineRule="auto"/>
        <w:contextualSpacing/>
        <w:outlineLvl w:val="2"/>
        <w:rPr>
          <w:rFonts w:ascii="宋体" w:hAnsi="宋体"/>
          <w:sz w:val="24"/>
        </w:rPr>
      </w:pPr>
      <w:r>
        <w:rPr>
          <w:rFonts w:ascii="宋体" w:hAnsi="宋体" w:hint="eastAsia"/>
          <w:sz w:val="24"/>
        </w:rPr>
        <w:t>若由于管理人过错导致理财计划资产发</w:t>
      </w:r>
      <w:r>
        <w:rPr>
          <w:rFonts w:ascii="宋体" w:hAnsi="宋体" w:hint="eastAsia"/>
          <w:sz w:val="24"/>
        </w:rPr>
        <w:t>生损失，管理人应按其过错承担赔偿责任，管理人赔偿的款项计入本理财计划的资产和收益，由所有投资者按理财本金比例分配。</w:t>
      </w:r>
    </w:p>
    <w:p w:rsidR="00000000" w:rsidRDefault="00DC6605">
      <w:pPr>
        <w:widowControl/>
        <w:numPr>
          <w:ilvl w:val="0"/>
          <w:numId w:val="5"/>
        </w:numPr>
        <w:spacing w:line="360" w:lineRule="auto"/>
        <w:contextualSpacing/>
        <w:outlineLvl w:val="2"/>
        <w:rPr>
          <w:rFonts w:ascii="宋体" w:hAnsi="宋体" w:hint="eastAsia"/>
          <w:sz w:val="24"/>
        </w:rPr>
      </w:pPr>
      <w:r>
        <w:rPr>
          <w:rFonts w:ascii="宋体" w:hAnsi="宋体" w:hint="eastAsia"/>
          <w:sz w:val="24"/>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rsidR="00000000" w:rsidRDefault="00DC6605">
      <w:pPr>
        <w:widowControl/>
        <w:numPr>
          <w:ilvl w:val="0"/>
          <w:numId w:val="5"/>
        </w:numPr>
        <w:spacing w:line="360" w:lineRule="auto"/>
        <w:contextualSpacing/>
        <w:outlineLvl w:val="2"/>
        <w:rPr>
          <w:rFonts w:ascii="宋体" w:hAnsi="宋体" w:hint="eastAsia"/>
          <w:sz w:val="24"/>
        </w:rPr>
      </w:pPr>
      <w:r>
        <w:rPr>
          <w:rFonts w:ascii="宋体" w:hAnsi="宋体" w:hint="eastAsia"/>
          <w:sz w:val="24"/>
        </w:rPr>
        <w:t>因国家有关法律、法规、规章、政策的修改或新的法律、法规、规章、政策颁布以及紧急措施的出台导致的风险及损失，管理人不承担责任。</w:t>
      </w:r>
    </w:p>
    <w:p w:rsidR="00000000" w:rsidRDefault="00DC6605">
      <w:pPr>
        <w:widowControl/>
        <w:numPr>
          <w:ilvl w:val="0"/>
          <w:numId w:val="5"/>
        </w:numPr>
        <w:spacing w:line="360" w:lineRule="auto"/>
        <w:contextualSpacing/>
        <w:outlineLvl w:val="2"/>
        <w:rPr>
          <w:rFonts w:ascii="宋体" w:hAnsi="宋体" w:hint="eastAsia"/>
          <w:sz w:val="24"/>
        </w:rPr>
      </w:pPr>
      <w:r>
        <w:rPr>
          <w:rFonts w:ascii="宋体" w:hAnsi="宋体" w:hint="eastAsia"/>
          <w:sz w:val="24"/>
        </w:rPr>
        <w:t>管理人若严格按照产品说明书相关规定进行投资运作，给投资者造</w:t>
      </w:r>
      <w:r>
        <w:rPr>
          <w:rFonts w:ascii="宋体" w:hAnsi="宋体" w:hint="eastAsia"/>
          <w:sz w:val="24"/>
        </w:rPr>
        <w:t>成损失的，应免除管理人责任。</w:t>
      </w:r>
    </w:p>
    <w:p w:rsidR="00000000" w:rsidRDefault="00DC6605">
      <w:pPr>
        <w:widowControl/>
        <w:spacing w:line="360" w:lineRule="auto"/>
        <w:contextualSpacing/>
        <w:rPr>
          <w:rFonts w:ascii="宋体" w:hAnsi="宋体"/>
          <w:sz w:val="24"/>
        </w:rPr>
      </w:pPr>
    </w:p>
    <w:p w:rsidR="00000000" w:rsidRDefault="00DC6605">
      <w:pPr>
        <w:numPr>
          <w:ilvl w:val="0"/>
          <w:numId w:val="1"/>
        </w:numPr>
        <w:spacing w:line="360" w:lineRule="auto"/>
        <w:ind w:firstLineChars="200" w:firstLine="482"/>
        <w:outlineLvl w:val="1"/>
        <w:rPr>
          <w:b/>
          <w:sz w:val="24"/>
        </w:rPr>
      </w:pPr>
      <w:r>
        <w:rPr>
          <w:rFonts w:hint="eastAsia"/>
          <w:b/>
          <w:sz w:val="24"/>
        </w:rPr>
        <w:t>适用法律与争议解决</w:t>
      </w:r>
    </w:p>
    <w:p w:rsidR="00000000" w:rsidRDefault="00DC6605">
      <w:pPr>
        <w:widowControl/>
        <w:spacing w:line="360" w:lineRule="auto"/>
        <w:ind w:firstLineChars="200" w:firstLine="480"/>
        <w:contextualSpacing/>
        <w:rPr>
          <w:rFonts w:ascii="宋体" w:hAnsi="宋体"/>
          <w:sz w:val="24"/>
        </w:rPr>
      </w:pPr>
      <w:r>
        <w:rPr>
          <w:rFonts w:ascii="宋体" w:hAnsi="宋体" w:hint="eastAsia"/>
          <w:sz w:val="24"/>
        </w:rPr>
        <w:t>本合同适用</w:t>
      </w:r>
      <w:r>
        <w:rPr>
          <w:rFonts w:ascii="宋体" w:hAnsi="宋体" w:cs="宋体" w:hint="eastAsia"/>
          <w:bCs/>
          <w:color w:val="000000"/>
          <w:sz w:val="24"/>
        </w:rPr>
        <w:t>中华人民共和国（仅为明确本合同适用法律规则，不含香港特别行政区、澳门特别行政区及中国台湾地区）</w:t>
      </w:r>
      <w:r>
        <w:rPr>
          <w:rFonts w:ascii="宋体" w:hAnsi="宋体" w:hint="eastAsia"/>
          <w:sz w:val="24"/>
        </w:rPr>
        <w:t>的法律和行政法规。本合同项下的及与之有关的一切争议，投资者与管理人双方应首先协商解决，协商不成的，应提交销售机构或管理人所在地人民法院司法裁决。诉讼期间，未涉及争议的条款仍需继续履行。</w:t>
      </w:r>
    </w:p>
    <w:p w:rsidR="00000000" w:rsidRDefault="00DC6605">
      <w:pPr>
        <w:spacing w:line="360" w:lineRule="auto"/>
        <w:ind w:left="482"/>
        <w:rPr>
          <w:b/>
          <w:sz w:val="24"/>
        </w:rPr>
      </w:pPr>
    </w:p>
    <w:p w:rsidR="00000000" w:rsidRDefault="00DC6605">
      <w:pPr>
        <w:numPr>
          <w:ilvl w:val="0"/>
          <w:numId w:val="1"/>
        </w:numPr>
        <w:spacing w:line="360" w:lineRule="auto"/>
        <w:ind w:firstLineChars="200" w:firstLine="482"/>
        <w:outlineLvl w:val="1"/>
        <w:rPr>
          <w:rFonts w:hint="eastAsia"/>
          <w:b/>
          <w:sz w:val="24"/>
        </w:rPr>
      </w:pPr>
      <w:r>
        <w:rPr>
          <w:rFonts w:hint="eastAsia"/>
          <w:b/>
          <w:sz w:val="24"/>
        </w:rPr>
        <w:t>协议生效和终止</w:t>
      </w:r>
    </w:p>
    <w:p w:rsidR="00000000" w:rsidRDefault="00DC6605">
      <w:pPr>
        <w:widowControl/>
        <w:numPr>
          <w:ilvl w:val="0"/>
          <w:numId w:val="6"/>
        </w:numPr>
        <w:spacing w:line="360" w:lineRule="auto"/>
        <w:contextualSpacing/>
        <w:outlineLvl w:val="2"/>
        <w:rPr>
          <w:rFonts w:ascii="宋体" w:hAnsi="宋体"/>
          <w:sz w:val="24"/>
        </w:rPr>
      </w:pPr>
      <w:r>
        <w:rPr>
          <w:rFonts w:ascii="宋体" w:hAnsi="宋体" w:hint="eastAsia"/>
          <w:sz w:val="24"/>
        </w:rPr>
        <w:lastRenderedPageBreak/>
        <w:t>投资者和管理人双方认可本协议可以纸质或电子数据等形式提交、订立或确认。</w:t>
      </w:r>
      <w:r>
        <w:rPr>
          <w:rFonts w:ascii="宋体" w:hAnsi="宋体" w:hint="eastAsia"/>
          <w:sz w:val="24"/>
        </w:rPr>
        <w:t xml:space="preserve"> </w:t>
      </w:r>
    </w:p>
    <w:p w:rsidR="00000000" w:rsidRDefault="00DC6605">
      <w:pPr>
        <w:widowControl/>
        <w:numPr>
          <w:ilvl w:val="0"/>
          <w:numId w:val="6"/>
        </w:numPr>
        <w:spacing w:line="360" w:lineRule="auto"/>
        <w:contextualSpacing/>
        <w:outlineLvl w:val="2"/>
        <w:rPr>
          <w:rFonts w:ascii="宋体" w:hAnsi="宋体" w:hint="eastAsia"/>
          <w:sz w:val="24"/>
        </w:rPr>
      </w:pPr>
      <w:r>
        <w:rPr>
          <w:rFonts w:ascii="宋体" w:hAnsi="宋体" w:hint="eastAsia"/>
          <w:sz w:val="24"/>
        </w:rPr>
        <w:t>本协议书以纸质书面形式订立的，自投资者签字和销售机构代表管理人签署盖章之后立即</w:t>
      </w:r>
      <w:r>
        <w:rPr>
          <w:rFonts w:ascii="宋体" w:hAnsi="宋体" w:hint="eastAsia"/>
          <w:sz w:val="24"/>
        </w:rPr>
        <w:t>生效。协议一式贰份，投资者和管理人双方各执壹份，具有同等法律效力。</w:t>
      </w:r>
      <w:r>
        <w:rPr>
          <w:rFonts w:ascii="宋体" w:hAnsi="宋体" w:hint="eastAsia"/>
          <w:sz w:val="24"/>
        </w:rPr>
        <w:t xml:space="preserve"> </w:t>
      </w:r>
    </w:p>
    <w:p w:rsidR="00000000" w:rsidRDefault="00DC6605">
      <w:pPr>
        <w:widowControl/>
        <w:numPr>
          <w:ilvl w:val="0"/>
          <w:numId w:val="6"/>
        </w:numPr>
        <w:spacing w:line="360" w:lineRule="auto"/>
        <w:contextualSpacing/>
        <w:outlineLvl w:val="2"/>
        <w:rPr>
          <w:rFonts w:ascii="宋体" w:hAnsi="宋体" w:hint="eastAsia"/>
          <w:sz w:val="24"/>
        </w:rPr>
      </w:pPr>
      <w:r>
        <w:rPr>
          <w:rFonts w:ascii="宋体" w:hAnsi="宋体" w:hint="eastAsia"/>
          <w:sz w:val="24"/>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w:t>
      </w:r>
      <w:r>
        <w:rPr>
          <w:rFonts w:ascii="宋体" w:hAnsi="宋体" w:hint="eastAsia"/>
          <w:sz w:val="24"/>
        </w:rPr>
        <w:t>/</w:t>
      </w:r>
      <w:r>
        <w:rPr>
          <w:rFonts w:ascii="宋体" w:hAnsi="宋体" w:hint="eastAsia"/>
          <w:sz w:val="24"/>
        </w:rPr>
        <w:t>申购申请提交成功，认</w:t>
      </w:r>
      <w:r>
        <w:rPr>
          <w:rFonts w:ascii="宋体" w:hAnsi="宋体" w:hint="eastAsia"/>
          <w:sz w:val="24"/>
        </w:rPr>
        <w:t>/</w:t>
      </w:r>
      <w:r>
        <w:rPr>
          <w:rFonts w:ascii="宋体" w:hAnsi="宋体" w:hint="eastAsia"/>
          <w:sz w:val="24"/>
        </w:rPr>
        <w:t>申购是否成功以管理人</w:t>
      </w:r>
      <w:r>
        <w:rPr>
          <w:rFonts w:ascii="宋体" w:hAnsi="宋体" w:hint="eastAsia"/>
          <w:sz w:val="24"/>
        </w:rPr>
        <w:t>另行提供的确认为准。</w:t>
      </w:r>
    </w:p>
    <w:p w:rsidR="00000000" w:rsidRDefault="00DC6605">
      <w:pPr>
        <w:widowControl/>
        <w:numPr>
          <w:ilvl w:val="0"/>
          <w:numId w:val="6"/>
        </w:numPr>
        <w:spacing w:line="360" w:lineRule="auto"/>
        <w:contextualSpacing/>
        <w:outlineLvl w:val="2"/>
        <w:rPr>
          <w:rFonts w:ascii="宋体" w:hAnsi="宋体" w:hint="eastAsia"/>
          <w:sz w:val="24"/>
        </w:rPr>
      </w:pPr>
      <w:r>
        <w:rPr>
          <w:rFonts w:ascii="宋体" w:hAnsi="宋体" w:hint="eastAsia"/>
          <w:sz w:val="24"/>
        </w:rPr>
        <w:t>投资者和管理人双方在本协议及对应期次的《理财计划产品说明书》项下权利义务履行完毕之日，本协议自动终止。</w:t>
      </w:r>
    </w:p>
    <w:p w:rsidR="00000000" w:rsidRDefault="00DC6605">
      <w:pPr>
        <w:widowControl/>
        <w:spacing w:line="360" w:lineRule="auto"/>
        <w:ind w:left="6"/>
        <w:contextualSpacing/>
        <w:rPr>
          <w:rFonts w:ascii="宋体" w:hAnsi="宋体"/>
          <w:sz w:val="24"/>
        </w:rPr>
      </w:pPr>
    </w:p>
    <w:p w:rsidR="00000000" w:rsidRDefault="00DC6605">
      <w:pPr>
        <w:numPr>
          <w:ilvl w:val="0"/>
          <w:numId w:val="1"/>
        </w:numPr>
        <w:spacing w:line="360" w:lineRule="auto"/>
        <w:ind w:firstLineChars="200" w:firstLine="482"/>
        <w:outlineLvl w:val="1"/>
        <w:rPr>
          <w:b/>
          <w:sz w:val="24"/>
        </w:rPr>
      </w:pPr>
      <w:r>
        <w:rPr>
          <w:rFonts w:hint="eastAsia"/>
          <w:b/>
          <w:sz w:val="24"/>
        </w:rPr>
        <w:t>附则</w:t>
      </w:r>
    </w:p>
    <w:p w:rsidR="00000000" w:rsidRDefault="00DC6605">
      <w:pPr>
        <w:widowControl/>
        <w:numPr>
          <w:ilvl w:val="0"/>
          <w:numId w:val="7"/>
        </w:numPr>
        <w:spacing w:line="360" w:lineRule="auto"/>
        <w:contextualSpacing/>
        <w:outlineLvl w:val="2"/>
        <w:rPr>
          <w:rFonts w:ascii="宋体" w:hAnsi="宋体"/>
          <w:sz w:val="24"/>
        </w:rPr>
      </w:pPr>
      <w:r>
        <w:rPr>
          <w:rFonts w:ascii="宋体" w:hAnsi="宋体" w:hint="eastAsia"/>
          <w:sz w:val="24"/>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rsidR="00000000" w:rsidRDefault="00DC6605">
      <w:pPr>
        <w:widowControl/>
        <w:numPr>
          <w:ilvl w:val="0"/>
          <w:numId w:val="7"/>
        </w:numPr>
        <w:spacing w:line="360" w:lineRule="auto"/>
        <w:contextualSpacing/>
        <w:outlineLvl w:val="2"/>
        <w:rPr>
          <w:rFonts w:ascii="宋体" w:hAnsi="宋体"/>
          <w:sz w:val="24"/>
        </w:rPr>
      </w:pPr>
      <w:r>
        <w:rPr>
          <w:rFonts w:ascii="宋体" w:hAnsi="宋体" w:hint="eastAsia"/>
          <w:sz w:val="24"/>
        </w:rPr>
        <w:t>如果由于任何原因使本合同下的任何条款或内容成为无效或被依法撤销，本合同其他条款或内容的合法性、有效性和可执行性不受影响。</w:t>
      </w:r>
    </w:p>
    <w:p w:rsidR="00000000" w:rsidRDefault="00DC6605">
      <w:pPr>
        <w:widowControl/>
        <w:numPr>
          <w:ilvl w:val="0"/>
          <w:numId w:val="7"/>
        </w:numPr>
        <w:spacing w:line="360" w:lineRule="auto"/>
        <w:contextualSpacing/>
        <w:outlineLvl w:val="2"/>
        <w:rPr>
          <w:rFonts w:ascii="宋体" w:hAnsi="宋体"/>
          <w:sz w:val="24"/>
        </w:rPr>
      </w:pPr>
      <w:r>
        <w:rPr>
          <w:rFonts w:ascii="宋体" w:hAnsi="宋体" w:hint="eastAsia"/>
          <w:sz w:val="24"/>
        </w:rPr>
        <w:t>在理财计划存续期内，如因监管政策或法律法规发生变化，在不损害投资者</w:t>
      </w:r>
      <w:r>
        <w:rPr>
          <w:rFonts w:ascii="宋体" w:hAnsi="宋体" w:hint="eastAsia"/>
          <w:sz w:val="24"/>
        </w:rPr>
        <w:t>利益的前提下，管理人有权单方对理财计划合同进行修订。</w:t>
      </w:r>
    </w:p>
    <w:p w:rsidR="00000000" w:rsidRDefault="00DC6605">
      <w:pPr>
        <w:spacing w:line="360" w:lineRule="auto"/>
        <w:rPr>
          <w:rFonts w:ascii="宋体" w:hAnsi="宋体" w:cs="宋体"/>
          <w:bCs/>
          <w:color w:val="000000"/>
          <w:sz w:val="24"/>
        </w:rPr>
      </w:pPr>
    </w:p>
    <w:p w:rsidR="00000000" w:rsidRDefault="00DC6605">
      <w:pPr>
        <w:spacing w:line="360" w:lineRule="auto"/>
        <w:rPr>
          <w:rFonts w:ascii="宋体" w:hAnsi="宋体" w:cs="宋体"/>
          <w:bCs/>
          <w:color w:val="000000"/>
          <w:sz w:val="24"/>
        </w:rPr>
      </w:pPr>
    </w:p>
    <w:p w:rsidR="00000000" w:rsidRDefault="00DC6605">
      <w:pPr>
        <w:pStyle w:val="a8"/>
        <w:widowControl/>
        <w:spacing w:line="360" w:lineRule="auto"/>
        <w:jc w:val="right"/>
        <w:rPr>
          <w:rFonts w:ascii="宋体" w:hAnsi="Wingdings" w:cs="宋体" w:hint="eastAsia"/>
          <w:color w:val="000000"/>
          <w:kern w:val="0"/>
        </w:rPr>
      </w:pPr>
      <w:r>
        <w:rPr>
          <w:rFonts w:ascii="宋体" w:hAnsi="宋体" w:cs="宋体" w:hint="eastAsia"/>
          <w:kern w:val="0"/>
        </w:rPr>
        <w:t>杭银理财有限责任公司</w:t>
      </w:r>
    </w:p>
    <w:p w:rsidR="00000000" w:rsidRDefault="00DC6605">
      <w:pPr>
        <w:spacing w:line="360" w:lineRule="auto"/>
        <w:rPr>
          <w:rFonts w:ascii="宋体" w:hAnsi="宋体" w:cs="宋体"/>
          <w:bCs/>
          <w:color w:val="000000"/>
          <w:sz w:val="24"/>
        </w:rPr>
      </w:pPr>
    </w:p>
    <w:sectPr w:rsidR="0000000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6605">
      <w:r>
        <w:separator/>
      </w:r>
    </w:p>
  </w:endnote>
  <w:endnote w:type="continuationSeparator" w:id="0">
    <w:p w:rsidR="00000000" w:rsidRDefault="00DC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6605">
    <w:pPr>
      <w:pStyle w:val="aa"/>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C660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C6605">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000000" w:rsidRDefault="00DC660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C6605">
                      <w:rPr>
                        <w:noProof/>
                        <w:sz w:val="18"/>
                        <w:lang w:val="en-US" w:eastAsia="zh-CN"/>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6605">
      <w:r>
        <w:separator/>
      </w:r>
    </w:p>
  </w:footnote>
  <w:footnote w:type="continuationSeparator" w:id="0">
    <w:p w:rsidR="00000000" w:rsidRDefault="00DC6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6605">
    <w:pPr>
      <w:pStyle w:val="a9"/>
      <w:pBdr>
        <w:bottom w:val="single" w:sz="4" w:space="1" w:color="auto"/>
      </w:pBdr>
    </w:pPr>
    <w:r>
      <w:rPr>
        <w:rFonts w:hint="eastAsia"/>
        <w:b/>
        <w:bCs/>
      </w:rPr>
      <w:t>理财非存款</w:t>
    </w:r>
    <w:r>
      <w:rPr>
        <w:rFonts w:hint="eastAsia"/>
        <w:b/>
        <w:bCs/>
      </w:rPr>
      <w:t xml:space="preserve"> </w:t>
    </w:r>
    <w:r>
      <w:rPr>
        <w:rFonts w:hint="eastAsia"/>
        <w:b/>
        <w:bCs/>
      </w:rPr>
      <w:t>产品有风险</w:t>
    </w:r>
    <w:r>
      <w:rPr>
        <w:rFonts w:hint="eastAsia"/>
        <w:b/>
        <w:bCs/>
      </w:rPr>
      <w:t xml:space="preserve"> </w:t>
    </w:r>
    <w:r>
      <w:rPr>
        <w:rFonts w:hint="eastAsia"/>
        <w:b/>
        <w:bCs/>
      </w:rPr>
      <w:t>投资需谨慎</w:t>
    </w:r>
    <w:r>
      <w:rPr>
        <w:b/>
        <w:bCs/>
        <w:noProof/>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edited="0">
              <wp:start x="4443" y="7180"/>
              <wp:lineTo x="3808" y="9873"/>
              <wp:lineTo x="4125" y="13911"/>
              <wp:lineTo x="17771" y="13911"/>
              <wp:lineTo x="18405" y="9873"/>
              <wp:lineTo x="16501" y="8975"/>
              <wp:lineTo x="6981" y="7180"/>
              <wp:lineTo x="4443" y="7180"/>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226EF"/>
    <w:multiLevelType w:val="singleLevel"/>
    <w:tmpl w:val="B08226EF"/>
    <w:lvl w:ilvl="0">
      <w:start w:val="1"/>
      <w:numFmt w:val="chineseCounting"/>
      <w:suff w:val="space"/>
      <w:lvlText w:val="第%1条"/>
      <w:lvlJc w:val="left"/>
      <w:rPr>
        <w:rFonts w:hint="eastAsia"/>
      </w:rPr>
    </w:lvl>
  </w:abstractNum>
  <w:abstractNum w:abstractNumId="1">
    <w:nsid w:val="60C0383C"/>
    <w:multiLevelType w:val="singleLevel"/>
    <w:tmpl w:val="60C0383C"/>
    <w:lvl w:ilvl="0">
      <w:start w:val="1"/>
      <w:numFmt w:val="chineseCounting"/>
      <w:suff w:val="nothing"/>
      <w:lvlText w:val="（%1）"/>
      <w:lvlJc w:val="left"/>
      <w:pPr>
        <w:ind w:left="0" w:firstLine="420"/>
      </w:pPr>
      <w:rPr>
        <w:rFonts w:hint="eastAsia"/>
      </w:rPr>
    </w:lvl>
  </w:abstractNum>
  <w:abstractNum w:abstractNumId="2">
    <w:nsid w:val="60C03881"/>
    <w:multiLevelType w:val="singleLevel"/>
    <w:tmpl w:val="60C03881"/>
    <w:lvl w:ilvl="0">
      <w:start w:val="1"/>
      <w:numFmt w:val="chineseCounting"/>
      <w:suff w:val="nothing"/>
      <w:lvlText w:val="（%1）"/>
      <w:lvlJc w:val="left"/>
      <w:pPr>
        <w:ind w:left="0" w:firstLine="420"/>
      </w:pPr>
      <w:rPr>
        <w:rFonts w:hint="eastAsia"/>
      </w:rPr>
    </w:lvl>
  </w:abstractNum>
  <w:abstractNum w:abstractNumId="3">
    <w:nsid w:val="60C038C0"/>
    <w:multiLevelType w:val="singleLevel"/>
    <w:tmpl w:val="60C038C0"/>
    <w:lvl w:ilvl="0">
      <w:start w:val="1"/>
      <w:numFmt w:val="chineseCounting"/>
      <w:suff w:val="nothing"/>
      <w:lvlText w:val="（%1）"/>
      <w:lvlJc w:val="left"/>
      <w:pPr>
        <w:ind w:left="0" w:firstLine="420"/>
      </w:pPr>
      <w:rPr>
        <w:rFonts w:hint="eastAsia"/>
      </w:rPr>
    </w:lvl>
  </w:abstractNum>
  <w:abstractNum w:abstractNumId="4">
    <w:nsid w:val="60C038EA"/>
    <w:multiLevelType w:val="singleLevel"/>
    <w:tmpl w:val="60C038EA"/>
    <w:lvl w:ilvl="0">
      <w:start w:val="1"/>
      <w:numFmt w:val="chineseCounting"/>
      <w:suff w:val="nothing"/>
      <w:lvlText w:val="（%1）"/>
      <w:lvlJc w:val="left"/>
      <w:pPr>
        <w:ind w:left="0" w:firstLine="420"/>
      </w:pPr>
      <w:rPr>
        <w:rFonts w:hint="eastAsia"/>
      </w:rPr>
    </w:lvl>
  </w:abstractNum>
  <w:abstractNum w:abstractNumId="5">
    <w:nsid w:val="60C03912"/>
    <w:multiLevelType w:val="singleLevel"/>
    <w:tmpl w:val="60C03912"/>
    <w:lvl w:ilvl="0">
      <w:start w:val="1"/>
      <w:numFmt w:val="chineseCounting"/>
      <w:suff w:val="nothing"/>
      <w:lvlText w:val="（%1）"/>
      <w:lvlJc w:val="left"/>
      <w:pPr>
        <w:ind w:left="0" w:firstLine="420"/>
      </w:pPr>
      <w:rPr>
        <w:rFonts w:hint="eastAsia"/>
      </w:rPr>
    </w:lvl>
  </w:abstractNum>
  <w:abstractNum w:abstractNumId="6">
    <w:nsid w:val="60C03933"/>
    <w:multiLevelType w:val="singleLevel"/>
    <w:tmpl w:val="60C03933"/>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123AE9"/>
    <w:rsid w:val="00175D3F"/>
    <w:rsid w:val="00187BC5"/>
    <w:rsid w:val="00194470"/>
    <w:rsid w:val="001B4676"/>
    <w:rsid w:val="001C01B2"/>
    <w:rsid w:val="00232E3B"/>
    <w:rsid w:val="00263368"/>
    <w:rsid w:val="00274E11"/>
    <w:rsid w:val="00327FC6"/>
    <w:rsid w:val="00343F73"/>
    <w:rsid w:val="00386FEC"/>
    <w:rsid w:val="003A1A36"/>
    <w:rsid w:val="003D1B3C"/>
    <w:rsid w:val="004556BB"/>
    <w:rsid w:val="00475C26"/>
    <w:rsid w:val="004A724E"/>
    <w:rsid w:val="00557E0E"/>
    <w:rsid w:val="00652A77"/>
    <w:rsid w:val="006B63C1"/>
    <w:rsid w:val="00720124"/>
    <w:rsid w:val="007542C9"/>
    <w:rsid w:val="00765C48"/>
    <w:rsid w:val="00793C62"/>
    <w:rsid w:val="007C65CD"/>
    <w:rsid w:val="008C74C9"/>
    <w:rsid w:val="008D78BD"/>
    <w:rsid w:val="00901BED"/>
    <w:rsid w:val="00902D93"/>
    <w:rsid w:val="00993044"/>
    <w:rsid w:val="009B2DC4"/>
    <w:rsid w:val="009B64A7"/>
    <w:rsid w:val="009C3F7C"/>
    <w:rsid w:val="009C43A4"/>
    <w:rsid w:val="00A20F48"/>
    <w:rsid w:val="00A338FE"/>
    <w:rsid w:val="00A77F3E"/>
    <w:rsid w:val="00B765F3"/>
    <w:rsid w:val="00C012A2"/>
    <w:rsid w:val="00C07905"/>
    <w:rsid w:val="00D06904"/>
    <w:rsid w:val="00D07D02"/>
    <w:rsid w:val="00D14693"/>
    <w:rsid w:val="00D16C82"/>
    <w:rsid w:val="00D41665"/>
    <w:rsid w:val="00D47AB0"/>
    <w:rsid w:val="00D61838"/>
    <w:rsid w:val="00DA1B4C"/>
    <w:rsid w:val="00DC5F5C"/>
    <w:rsid w:val="00DC6605"/>
    <w:rsid w:val="00E35C54"/>
    <w:rsid w:val="00E406C4"/>
    <w:rsid w:val="00E7096F"/>
    <w:rsid w:val="00EE319D"/>
    <w:rsid w:val="00F0077E"/>
    <w:rsid w:val="00F5498F"/>
    <w:rsid w:val="00F5749D"/>
    <w:rsid w:val="00FA0296"/>
    <w:rsid w:val="00FA6CE7"/>
    <w:rsid w:val="00FE2923"/>
    <w:rsid w:val="02562BF7"/>
    <w:rsid w:val="03BA3F56"/>
    <w:rsid w:val="0460442C"/>
    <w:rsid w:val="0500018B"/>
    <w:rsid w:val="0B1A5A6E"/>
    <w:rsid w:val="0B2D0BA7"/>
    <w:rsid w:val="0D6706EF"/>
    <w:rsid w:val="101F6BD5"/>
    <w:rsid w:val="10504FB0"/>
    <w:rsid w:val="110C5156"/>
    <w:rsid w:val="117A174C"/>
    <w:rsid w:val="118D4B5D"/>
    <w:rsid w:val="120050A9"/>
    <w:rsid w:val="133A19E0"/>
    <w:rsid w:val="13FC36E3"/>
    <w:rsid w:val="155F3FC2"/>
    <w:rsid w:val="15841F16"/>
    <w:rsid w:val="15C972B9"/>
    <w:rsid w:val="162A128A"/>
    <w:rsid w:val="16563388"/>
    <w:rsid w:val="17432384"/>
    <w:rsid w:val="179972B0"/>
    <w:rsid w:val="1C9F6D55"/>
    <w:rsid w:val="1CAD01AC"/>
    <w:rsid w:val="1D866C77"/>
    <w:rsid w:val="1D9446FE"/>
    <w:rsid w:val="1E831DF3"/>
    <w:rsid w:val="20BD2325"/>
    <w:rsid w:val="24A67BC4"/>
    <w:rsid w:val="25801A05"/>
    <w:rsid w:val="27CE3874"/>
    <w:rsid w:val="27EB3D24"/>
    <w:rsid w:val="2B8255D3"/>
    <w:rsid w:val="307B1E47"/>
    <w:rsid w:val="348E01C6"/>
    <w:rsid w:val="354C4323"/>
    <w:rsid w:val="35D86BDE"/>
    <w:rsid w:val="35FD5667"/>
    <w:rsid w:val="38663D34"/>
    <w:rsid w:val="39310E98"/>
    <w:rsid w:val="3AA66AF1"/>
    <w:rsid w:val="3D3D1991"/>
    <w:rsid w:val="3E6E2E42"/>
    <w:rsid w:val="3EAC1C1C"/>
    <w:rsid w:val="3EE67142"/>
    <w:rsid w:val="3EFE04EE"/>
    <w:rsid w:val="3FE830E5"/>
    <w:rsid w:val="40221B6B"/>
    <w:rsid w:val="41487A0A"/>
    <w:rsid w:val="42342BAA"/>
    <w:rsid w:val="46DB254E"/>
    <w:rsid w:val="48A3615E"/>
    <w:rsid w:val="48E00B0C"/>
    <w:rsid w:val="4CC84C98"/>
    <w:rsid w:val="4E754A4E"/>
    <w:rsid w:val="4E9967DA"/>
    <w:rsid w:val="4FC27339"/>
    <w:rsid w:val="502B3CEE"/>
    <w:rsid w:val="509F5AAF"/>
    <w:rsid w:val="50EE58D7"/>
    <w:rsid w:val="51EB2798"/>
    <w:rsid w:val="53A84543"/>
    <w:rsid w:val="563D76FE"/>
    <w:rsid w:val="58A020D2"/>
    <w:rsid w:val="5B24597E"/>
    <w:rsid w:val="5B7358EA"/>
    <w:rsid w:val="5BEF430C"/>
    <w:rsid w:val="5CF01D88"/>
    <w:rsid w:val="608F3A1C"/>
    <w:rsid w:val="6336483C"/>
    <w:rsid w:val="64A47711"/>
    <w:rsid w:val="64EB1FB1"/>
    <w:rsid w:val="65085FDD"/>
    <w:rsid w:val="66BC7D07"/>
    <w:rsid w:val="672D0717"/>
    <w:rsid w:val="68782DAE"/>
    <w:rsid w:val="69644745"/>
    <w:rsid w:val="6ABE1B22"/>
    <w:rsid w:val="6B8C2015"/>
    <w:rsid w:val="6D966DB7"/>
    <w:rsid w:val="7082330A"/>
    <w:rsid w:val="725917A9"/>
    <w:rsid w:val="792D1E0D"/>
    <w:rsid w:val="79321117"/>
    <w:rsid w:val="7A835F66"/>
    <w:rsid w:val="7A9D6576"/>
    <w:rsid w:val="7DAE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rFonts w:ascii="Calibri" w:hAnsi="Calibri" w:cs="黑体"/>
      <w:kern w:val="2"/>
      <w:sz w:val="18"/>
      <w:szCs w:val="18"/>
    </w:rPr>
  </w:style>
  <w:style w:type="character" w:customStyle="1" w:styleId="Char0">
    <w:name w:val="批注文字 Char"/>
    <w:link w:val="a4"/>
    <w:rPr>
      <w:rFonts w:ascii="Calibri" w:hAnsi="Calibri" w:cs="黑体"/>
      <w:kern w:val="2"/>
      <w:sz w:val="21"/>
      <w:szCs w:val="24"/>
    </w:rPr>
  </w:style>
  <w:style w:type="character" w:styleId="a5">
    <w:name w:val="annotation reference"/>
    <w:rPr>
      <w:sz w:val="21"/>
      <w:szCs w:val="21"/>
    </w:rPr>
  </w:style>
  <w:style w:type="character" w:customStyle="1" w:styleId="Char1">
    <w:name w:val="批注主题 Char"/>
    <w:link w:val="a6"/>
    <w:rPr>
      <w:rFonts w:ascii="Calibri" w:hAnsi="Calibri" w:cs="黑体"/>
      <w:b/>
      <w:bCs/>
      <w:kern w:val="2"/>
      <w:sz w:val="21"/>
      <w:szCs w:val="24"/>
    </w:rPr>
  </w:style>
  <w:style w:type="character" w:styleId="a7">
    <w:name w:val="Hyperlink"/>
    <w:qFormat/>
    <w:rPr>
      <w:color w:val="0000FF"/>
      <w:u w:val="single"/>
    </w:rPr>
  </w:style>
  <w:style w:type="paragraph" w:styleId="a6">
    <w:name w:val="annotation subject"/>
    <w:basedOn w:val="a4"/>
    <w:next w:val="a4"/>
    <w:link w:val="Char1"/>
    <w:rPr>
      <w:b/>
      <w:bCs/>
    </w:rPr>
  </w:style>
  <w:style w:type="paragraph" w:customStyle="1" w:styleId="ListParagraph">
    <w:name w:val="List Paragraph"/>
    <w:basedOn w:val="a"/>
    <w:uiPriority w:val="99"/>
    <w:unhideWhenUsed/>
    <w:pPr>
      <w:ind w:firstLineChars="200" w:firstLine="420"/>
    </w:pPr>
  </w:style>
  <w:style w:type="paragraph" w:styleId="a8">
    <w:name w:val="Normal (Web)"/>
    <w:basedOn w:val="a"/>
    <w:rPr>
      <w:sz w:val="24"/>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qFormat/>
    <w:pPr>
      <w:tabs>
        <w:tab w:val="center" w:pos="4153"/>
        <w:tab w:val="right" w:pos="8306"/>
      </w:tabs>
      <w:snapToGrid w:val="0"/>
      <w:jc w:val="left"/>
    </w:pPr>
    <w:rPr>
      <w:sz w:val="18"/>
    </w:rPr>
  </w:style>
  <w:style w:type="paragraph" w:styleId="a4">
    <w:name w:val="annotation text"/>
    <w:basedOn w:val="a"/>
    <w:link w:val="Char0"/>
    <w:pPr>
      <w:jc w:val="left"/>
    </w:pPr>
    <w:rPr>
      <w:rFonts w:cs="Times New Roman"/>
    </w:rPr>
  </w:style>
  <w:style w:type="paragraph" w:styleId="a3">
    <w:name w:val="Balloon Text"/>
    <w:basedOn w:val="a"/>
    <w:link w:val="Char"/>
    <w:rPr>
      <w:rFonts w:cs="Times New Roman"/>
      <w:sz w:val="18"/>
      <w:szCs w:val="18"/>
    </w:rPr>
  </w:style>
  <w:style w:type="paragraph" w:customStyle="1" w:styleId="Default">
    <w:name w:val="Default"/>
    <w:qFormat/>
    <w:pPr>
      <w:widowControl w:val="0"/>
      <w:autoSpaceDE w:val="0"/>
      <w:autoSpaceDN w:val="0"/>
      <w:adjustRightInd w:val="0"/>
    </w:pPr>
    <w:rPr>
      <w:color w:val="000000"/>
      <w:sz w:val="24"/>
      <w:szCs w:val="24"/>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rFonts w:ascii="Calibri" w:hAnsi="Calibri" w:cs="黑体"/>
      <w:kern w:val="2"/>
      <w:sz w:val="18"/>
      <w:szCs w:val="18"/>
    </w:rPr>
  </w:style>
  <w:style w:type="character" w:customStyle="1" w:styleId="Char0">
    <w:name w:val="批注文字 Char"/>
    <w:link w:val="a4"/>
    <w:rPr>
      <w:rFonts w:ascii="Calibri" w:hAnsi="Calibri" w:cs="黑体"/>
      <w:kern w:val="2"/>
      <w:sz w:val="21"/>
      <w:szCs w:val="24"/>
    </w:rPr>
  </w:style>
  <w:style w:type="character" w:styleId="a5">
    <w:name w:val="annotation reference"/>
    <w:rPr>
      <w:sz w:val="21"/>
      <w:szCs w:val="21"/>
    </w:rPr>
  </w:style>
  <w:style w:type="character" w:customStyle="1" w:styleId="Char1">
    <w:name w:val="批注主题 Char"/>
    <w:link w:val="a6"/>
    <w:rPr>
      <w:rFonts w:ascii="Calibri" w:hAnsi="Calibri" w:cs="黑体"/>
      <w:b/>
      <w:bCs/>
      <w:kern w:val="2"/>
      <w:sz w:val="21"/>
      <w:szCs w:val="24"/>
    </w:rPr>
  </w:style>
  <w:style w:type="character" w:styleId="a7">
    <w:name w:val="Hyperlink"/>
    <w:qFormat/>
    <w:rPr>
      <w:color w:val="0000FF"/>
      <w:u w:val="single"/>
    </w:rPr>
  </w:style>
  <w:style w:type="paragraph" w:styleId="a6">
    <w:name w:val="annotation subject"/>
    <w:basedOn w:val="a4"/>
    <w:next w:val="a4"/>
    <w:link w:val="Char1"/>
    <w:rPr>
      <w:b/>
      <w:bCs/>
    </w:rPr>
  </w:style>
  <w:style w:type="paragraph" w:customStyle="1" w:styleId="ListParagraph">
    <w:name w:val="List Paragraph"/>
    <w:basedOn w:val="a"/>
    <w:uiPriority w:val="99"/>
    <w:unhideWhenUsed/>
    <w:pPr>
      <w:ind w:firstLineChars="200" w:firstLine="420"/>
    </w:pPr>
  </w:style>
  <w:style w:type="paragraph" w:styleId="a8">
    <w:name w:val="Normal (Web)"/>
    <w:basedOn w:val="a"/>
    <w:rPr>
      <w:sz w:val="24"/>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qFormat/>
    <w:pPr>
      <w:tabs>
        <w:tab w:val="center" w:pos="4153"/>
        <w:tab w:val="right" w:pos="8306"/>
      </w:tabs>
      <w:snapToGrid w:val="0"/>
      <w:jc w:val="left"/>
    </w:pPr>
    <w:rPr>
      <w:sz w:val="18"/>
    </w:rPr>
  </w:style>
  <w:style w:type="paragraph" w:styleId="a4">
    <w:name w:val="annotation text"/>
    <w:basedOn w:val="a"/>
    <w:link w:val="Char0"/>
    <w:pPr>
      <w:jc w:val="left"/>
    </w:pPr>
    <w:rPr>
      <w:rFonts w:cs="Times New Roman"/>
    </w:rPr>
  </w:style>
  <w:style w:type="paragraph" w:styleId="a3">
    <w:name w:val="Balloon Text"/>
    <w:basedOn w:val="a"/>
    <w:link w:val="Char"/>
    <w:rPr>
      <w:rFonts w:cs="Times New Roman"/>
      <w:sz w:val="18"/>
      <w:szCs w:val="18"/>
    </w:rPr>
  </w:style>
  <w:style w:type="paragraph" w:customStyle="1" w:styleId="Default">
    <w:name w:val="Default"/>
    <w:qFormat/>
    <w:pPr>
      <w:widowControl w:val="0"/>
      <w:autoSpaceDE w:val="0"/>
      <w:autoSpaceDN w:val="0"/>
      <w:adjustRightInd w:val="0"/>
    </w:pPr>
    <w:rPr>
      <w:color w:val="000000"/>
      <w:sz w:val="24"/>
      <w:szCs w:val="24"/>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3ACE495.dotm</Template>
  <TotalTime>0</TotalTime>
  <Pages>6</Pages>
  <Words>655</Words>
  <Characters>3738</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杭银理财幸福99XXXX理财计划合同</dc:title>
  <dc:creator>Administrator</dc:creator>
  <cp:lastModifiedBy>wb019</cp:lastModifiedBy>
  <cp:revision>2</cp:revision>
  <dcterms:created xsi:type="dcterms:W3CDTF">2022-11-01T01:59:00Z</dcterms:created>
  <dcterms:modified xsi:type="dcterms:W3CDTF">2022-11-01T01:59:00Z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