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903BB1">
      <w:pPr>
        <w:ind w:firstLine="420"/>
        <w:rPr>
          <w:rFonts w:hint="eastAsia"/>
        </w:rPr>
      </w:pPr>
      <w:bookmarkStart w:id="0" w:name="_GoBack"/>
      <w:bookmarkEnd w:id="0"/>
      <w:r>
        <w:rPr>
          <w:rFonts w:hint="eastAsia"/>
        </w:rPr>
        <w:t xml:space="preserve"> </w:t>
      </w:r>
    </w:p>
    <w:p w:rsidR="00000000" w:rsidRDefault="00903BB1">
      <w:pPr>
        <w:spacing w:line="360" w:lineRule="auto"/>
        <w:jc w:val="center"/>
        <w:outlineLvl w:val="0"/>
        <w:rPr>
          <w:rFonts w:ascii="宋体" w:hAnsi="宋体" w:cs="宋体" w:hint="eastAsia"/>
          <w:b/>
          <w:bCs/>
          <w:color w:val="000000"/>
          <w:sz w:val="44"/>
          <w:szCs w:val="44"/>
        </w:rPr>
      </w:pPr>
      <w:r>
        <w:rPr>
          <w:rFonts w:ascii="宋体" w:hAnsi="宋体" w:cs="宋体" w:hint="eastAsia"/>
          <w:b/>
          <w:bCs/>
          <w:color w:val="000000"/>
          <w:sz w:val="44"/>
          <w:szCs w:val="44"/>
        </w:rPr>
        <w:t>杭银理财投资者权益须知</w:t>
      </w:r>
    </w:p>
    <w:p w:rsidR="00000000" w:rsidRDefault="00903BB1">
      <w:pPr>
        <w:jc w:val="center"/>
        <w:rPr>
          <w:rFonts w:ascii="宋体" w:hAnsi="宋体" w:cs="宋体" w:hint="eastAsia"/>
          <w:b/>
          <w:bCs/>
          <w:color w:val="000000"/>
          <w:sz w:val="44"/>
          <w:szCs w:val="44"/>
        </w:rPr>
      </w:pPr>
      <w:r>
        <w:rPr>
          <w:rFonts w:ascii="宋体" w:hAnsi="宋体" w:cs="宋体" w:hint="eastAsia"/>
          <w:sz w:val="28"/>
          <w:szCs w:val="28"/>
        </w:rPr>
        <w:t>（</w:t>
      </w:r>
      <w:r>
        <w:rPr>
          <w:rFonts w:ascii="宋体" w:hAnsi="宋体" w:cs="宋体" w:hint="eastAsia"/>
          <w:sz w:val="28"/>
          <w:szCs w:val="28"/>
        </w:rPr>
        <w:t>202201</w:t>
      </w:r>
      <w:r>
        <w:rPr>
          <w:rFonts w:ascii="宋体" w:hAnsi="宋体" w:cs="宋体" w:hint="eastAsia"/>
          <w:sz w:val="28"/>
          <w:szCs w:val="28"/>
        </w:rPr>
        <w:t>版）</w:t>
      </w:r>
    </w:p>
    <w:p w:rsidR="00000000" w:rsidRDefault="00903BB1">
      <w:pPr>
        <w:spacing w:line="360" w:lineRule="auto"/>
        <w:jc w:val="center"/>
        <w:rPr>
          <w:rFonts w:ascii="宋体" w:hAnsi="宋体" w:cs="宋体" w:hint="eastAsia"/>
          <w:b/>
          <w:bCs/>
          <w:sz w:val="24"/>
          <w:u w:val="single"/>
        </w:rPr>
      </w:pPr>
      <w:r>
        <w:rPr>
          <w:rFonts w:ascii="宋体" w:hAnsi="宋体" w:cs="宋体" w:hint="eastAsia"/>
          <w:b/>
          <w:bCs/>
          <w:sz w:val="24"/>
          <w:u w:val="single"/>
        </w:rPr>
        <w:t>理财非存款、产品有风险、投资须谨慎</w:t>
      </w:r>
    </w:p>
    <w:p w:rsidR="00000000" w:rsidRDefault="00903BB1">
      <w:pPr>
        <w:spacing w:line="360" w:lineRule="auto"/>
        <w:rPr>
          <w:rFonts w:ascii="宋体" w:hAnsi="宋体" w:cs="宋体" w:hint="eastAsia"/>
          <w:kern w:val="0"/>
          <w:sz w:val="24"/>
        </w:rPr>
      </w:pPr>
      <w:r>
        <w:rPr>
          <w:rFonts w:ascii="宋体" w:hAnsi="宋体" w:cs="宋体" w:hint="eastAsia"/>
          <w:kern w:val="0"/>
          <w:sz w:val="24"/>
        </w:rPr>
        <w:t>尊敬的投资者：</w:t>
      </w:r>
    </w:p>
    <w:p w:rsidR="00000000" w:rsidRDefault="00903BB1">
      <w:pPr>
        <w:spacing w:line="360" w:lineRule="auto"/>
        <w:ind w:firstLineChars="200" w:firstLine="480"/>
        <w:rPr>
          <w:rFonts w:ascii="宋体" w:hAnsi="宋体" w:cs="宋体" w:hint="eastAsia"/>
          <w:kern w:val="0"/>
          <w:sz w:val="24"/>
        </w:rPr>
      </w:pPr>
      <w:r>
        <w:rPr>
          <w:rFonts w:ascii="宋体" w:hAnsi="宋体" w:cs="宋体" w:hint="eastAsia"/>
          <w:kern w:val="0"/>
          <w:sz w:val="24"/>
        </w:rPr>
        <w:t>感谢您对杭银理财有限责任公司</w:t>
      </w:r>
      <w:r>
        <w:rPr>
          <w:rFonts w:ascii="宋体" w:hAnsi="宋体" w:cs="宋体" w:hint="eastAsia"/>
          <w:kern w:val="0"/>
          <w:sz w:val="24"/>
        </w:rPr>
        <w:t>(</w:t>
      </w:r>
      <w:r>
        <w:rPr>
          <w:rFonts w:ascii="宋体" w:hAnsi="宋体" w:cs="宋体" w:hint="eastAsia"/>
          <w:kern w:val="0"/>
          <w:sz w:val="24"/>
        </w:rPr>
        <w:t>以下简称“杭银理财”</w:t>
      </w:r>
      <w:r>
        <w:rPr>
          <w:rFonts w:ascii="宋体" w:hAnsi="宋体" w:cs="宋体" w:hint="eastAsia"/>
          <w:kern w:val="0"/>
          <w:sz w:val="24"/>
        </w:rPr>
        <w:t>)</w:t>
      </w:r>
      <w:r>
        <w:rPr>
          <w:rFonts w:ascii="宋体" w:hAnsi="宋体" w:cs="宋体" w:hint="eastAsia"/>
          <w:kern w:val="0"/>
          <w:sz w:val="24"/>
        </w:rPr>
        <w:t>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rsidR="00000000" w:rsidRDefault="00903BB1">
      <w:pPr>
        <w:numPr>
          <w:ilvl w:val="0"/>
          <w:numId w:val="1"/>
        </w:numPr>
        <w:spacing w:line="360" w:lineRule="auto"/>
        <w:outlineLvl w:val="1"/>
        <w:rPr>
          <w:rFonts w:ascii="宋体" w:hAnsi="宋体" w:cs="宋体" w:hint="eastAsia"/>
          <w:b/>
          <w:kern w:val="0"/>
          <w:sz w:val="24"/>
        </w:rPr>
      </w:pPr>
      <w:r>
        <w:rPr>
          <w:rFonts w:ascii="宋体" w:hAnsi="宋体" w:cs="宋体" w:hint="eastAsia"/>
          <w:b/>
          <w:kern w:val="0"/>
          <w:sz w:val="24"/>
        </w:rPr>
        <w:t>理财计划办理流程</w:t>
      </w:r>
    </w:p>
    <w:p w:rsidR="00000000" w:rsidRDefault="00903BB1">
      <w:pPr>
        <w:numPr>
          <w:ilvl w:val="0"/>
          <w:numId w:val="2"/>
        </w:numPr>
        <w:spacing w:line="360" w:lineRule="auto"/>
        <w:outlineLvl w:val="2"/>
        <w:rPr>
          <w:rFonts w:ascii="宋体" w:hAnsi="宋体" w:cs="宋体" w:hint="eastAsia"/>
          <w:kern w:val="0"/>
          <w:sz w:val="24"/>
        </w:rPr>
      </w:pPr>
      <w:r>
        <w:rPr>
          <w:rFonts w:ascii="宋体" w:hAnsi="宋体" w:cs="宋体" w:hint="eastAsia"/>
          <w:kern w:val="0"/>
          <w:sz w:val="24"/>
        </w:rPr>
        <w:t>首次在销售</w:t>
      </w:r>
      <w:r>
        <w:rPr>
          <w:rFonts w:ascii="宋体" w:hAnsi="宋体" w:cs="宋体" w:hint="eastAsia"/>
          <w:kern w:val="0"/>
          <w:sz w:val="24"/>
        </w:rPr>
        <w:t>机构购买理财的投资者须开立或持有销售机构账户，提供真实身份信息并确认正确的联系方式；该账户用于本理财计划的资金划转及兑付，您应确保持有本理财计划期间指定账户不做销户。</w:t>
      </w:r>
    </w:p>
    <w:p w:rsidR="00000000" w:rsidRDefault="00903BB1">
      <w:pPr>
        <w:numPr>
          <w:ilvl w:val="0"/>
          <w:numId w:val="2"/>
        </w:numPr>
        <w:spacing w:line="360" w:lineRule="auto"/>
        <w:outlineLvl w:val="2"/>
        <w:rPr>
          <w:rFonts w:ascii="宋体" w:hAnsi="宋体" w:cs="宋体" w:hint="eastAsia"/>
          <w:kern w:val="0"/>
          <w:sz w:val="24"/>
        </w:rPr>
      </w:pPr>
      <w:r>
        <w:rPr>
          <w:rFonts w:ascii="宋体" w:hAnsi="宋体" w:cs="宋体" w:hint="eastAsia"/>
          <w:kern w:val="0"/>
          <w:sz w:val="24"/>
        </w:rPr>
        <w:t>首次在销售机构购买杭银理财理财计划的个人投资者须接受并完成销售机构对您的风险承受能力评估，并确认风险承受能力等级不低于本理财计划风险评级。</w:t>
      </w:r>
    </w:p>
    <w:p w:rsidR="00000000" w:rsidRDefault="00903BB1">
      <w:pPr>
        <w:numPr>
          <w:ilvl w:val="0"/>
          <w:numId w:val="2"/>
        </w:numPr>
        <w:spacing w:line="360" w:lineRule="auto"/>
        <w:outlineLvl w:val="2"/>
        <w:rPr>
          <w:rFonts w:ascii="宋体" w:hAnsi="宋体" w:cs="宋体" w:hint="eastAsia"/>
          <w:kern w:val="0"/>
          <w:sz w:val="24"/>
        </w:rPr>
      </w:pPr>
      <w:r>
        <w:rPr>
          <w:rFonts w:ascii="宋体" w:hAnsi="宋体" w:cs="宋体" w:hint="eastAsia"/>
          <w:kern w:val="0"/>
          <w:sz w:val="24"/>
        </w:rPr>
        <w:t>投资者应仔细阅读本理财计划完整合同（包括但不限于理财计划风险揭示书、理财计划产品说明书、投资者权益须知、理财计划投资协议书和理财计划销售协议书）等相关协议文件，确认对理财计划条款及风险理解并无疑问和异议后</w:t>
      </w:r>
      <w:r>
        <w:rPr>
          <w:rFonts w:ascii="宋体" w:hAnsi="宋体" w:cs="宋体" w:hint="eastAsia"/>
          <w:kern w:val="0"/>
          <w:sz w:val="24"/>
        </w:rPr>
        <w:t>，自主作出认（申）购和赎回决定，独立抄录风险确认语句并签署相关销售文件，办理理财计划交易手续，自主承担投资风险。</w:t>
      </w:r>
    </w:p>
    <w:p w:rsidR="00000000" w:rsidRDefault="00903BB1">
      <w:pPr>
        <w:numPr>
          <w:ilvl w:val="0"/>
          <w:numId w:val="2"/>
        </w:numPr>
        <w:spacing w:line="360" w:lineRule="auto"/>
        <w:outlineLvl w:val="2"/>
        <w:rPr>
          <w:rFonts w:ascii="宋体" w:hAnsi="宋体" w:cs="宋体" w:hint="eastAsia"/>
          <w:kern w:val="0"/>
          <w:sz w:val="24"/>
        </w:rPr>
      </w:pPr>
      <w:r>
        <w:rPr>
          <w:rFonts w:ascii="宋体" w:hAnsi="宋体" w:cs="宋体" w:hint="eastAsia"/>
          <w:kern w:val="0"/>
          <w:sz w:val="24"/>
        </w:rPr>
        <w:t>投资者如需要认定为合格投资者，除阅读理财计划风险揭示书（三、其他信息提示）中的合格投资者要求并独立抄录确认外，还需配合销售机构提供投资者信息、金融资产证明或纳税凭证等相关证明材料。</w:t>
      </w:r>
    </w:p>
    <w:p w:rsidR="00000000" w:rsidRDefault="00903BB1">
      <w:pPr>
        <w:numPr>
          <w:ilvl w:val="0"/>
          <w:numId w:val="2"/>
        </w:numPr>
        <w:spacing w:line="360" w:lineRule="auto"/>
        <w:outlineLvl w:val="2"/>
        <w:rPr>
          <w:rFonts w:ascii="宋体" w:hAnsi="宋体" w:cs="宋体" w:hint="eastAsia"/>
          <w:kern w:val="0"/>
          <w:sz w:val="24"/>
        </w:rPr>
      </w:pPr>
      <w:r>
        <w:rPr>
          <w:rFonts w:ascii="宋体" w:hAnsi="宋体" w:cs="宋体" w:hint="eastAsia"/>
          <w:kern w:val="0"/>
          <w:sz w:val="24"/>
        </w:rPr>
        <w:t>如在银行营业场所购买杭银理财理财计划，销售机构需对每笔理财计划销售过程同步录音录像。</w:t>
      </w:r>
    </w:p>
    <w:p w:rsidR="00000000" w:rsidRDefault="00903BB1">
      <w:pPr>
        <w:numPr>
          <w:ilvl w:val="0"/>
          <w:numId w:val="2"/>
        </w:numPr>
        <w:spacing w:line="360" w:lineRule="auto"/>
        <w:outlineLvl w:val="2"/>
        <w:rPr>
          <w:rFonts w:ascii="宋体" w:hAnsi="宋体" w:cs="宋体" w:hint="eastAsia"/>
          <w:kern w:val="0"/>
          <w:sz w:val="24"/>
        </w:rPr>
      </w:pPr>
      <w:r>
        <w:rPr>
          <w:rFonts w:ascii="宋体" w:hAnsi="宋体" w:cs="宋体" w:hint="eastAsia"/>
          <w:kern w:val="0"/>
          <w:sz w:val="24"/>
        </w:rPr>
        <w:t>投资者确定交易金额，完成交易申请，并在确认份额后进行查询。</w:t>
      </w:r>
    </w:p>
    <w:p w:rsidR="00000000" w:rsidRDefault="00903BB1">
      <w:pPr>
        <w:numPr>
          <w:ilvl w:val="0"/>
          <w:numId w:val="3"/>
        </w:numPr>
        <w:spacing w:line="360" w:lineRule="auto"/>
        <w:outlineLvl w:val="1"/>
        <w:rPr>
          <w:rFonts w:ascii="宋体" w:hAnsi="宋体" w:cs="宋体" w:hint="eastAsia"/>
          <w:b/>
          <w:kern w:val="0"/>
          <w:sz w:val="24"/>
        </w:rPr>
      </w:pPr>
      <w:r>
        <w:rPr>
          <w:rFonts w:ascii="宋体" w:hAnsi="宋体" w:cs="宋体" w:hint="eastAsia"/>
          <w:b/>
          <w:kern w:val="0"/>
          <w:sz w:val="24"/>
        </w:rPr>
        <w:lastRenderedPageBreak/>
        <w:t>杭银理财产品风险评级</w:t>
      </w:r>
    </w:p>
    <w:p w:rsidR="00000000" w:rsidRDefault="00903BB1">
      <w:pPr>
        <w:spacing w:line="360" w:lineRule="auto"/>
        <w:ind w:firstLineChars="200" w:firstLine="480"/>
        <w:rPr>
          <w:rFonts w:ascii="宋体" w:hAnsi="宋体" w:cs="宋体" w:hint="eastAsia"/>
          <w:kern w:val="0"/>
          <w:sz w:val="24"/>
        </w:rPr>
      </w:pPr>
      <w:r>
        <w:rPr>
          <w:rFonts w:ascii="宋体" w:hAnsi="宋体" w:cs="宋体" w:hint="eastAsia"/>
          <w:kern w:val="0"/>
          <w:sz w:val="24"/>
        </w:rPr>
        <w:t>产品类型按照风险由低到高依次划分为低风险（</w:t>
      </w:r>
      <w:r>
        <w:rPr>
          <w:rFonts w:ascii="宋体" w:hAnsi="宋体" w:cs="宋体" w:hint="eastAsia"/>
          <w:kern w:val="0"/>
          <w:sz w:val="24"/>
        </w:rPr>
        <w:t>R1</w:t>
      </w:r>
      <w:r>
        <w:rPr>
          <w:rFonts w:ascii="宋体" w:hAnsi="宋体" w:cs="宋体" w:hint="eastAsia"/>
          <w:kern w:val="0"/>
          <w:sz w:val="24"/>
        </w:rPr>
        <w:t>）</w:t>
      </w:r>
      <w:r>
        <w:rPr>
          <w:rFonts w:ascii="宋体" w:hAnsi="宋体" w:cs="宋体" w:hint="eastAsia"/>
          <w:kern w:val="0"/>
          <w:sz w:val="24"/>
        </w:rPr>
        <w:t>、中低风险（</w:t>
      </w:r>
      <w:r>
        <w:rPr>
          <w:rFonts w:ascii="宋体" w:hAnsi="宋体" w:cs="宋体" w:hint="eastAsia"/>
          <w:kern w:val="0"/>
          <w:sz w:val="24"/>
        </w:rPr>
        <w:t>R2</w:t>
      </w:r>
      <w:r>
        <w:rPr>
          <w:rFonts w:ascii="宋体" w:hAnsi="宋体" w:cs="宋体" w:hint="eastAsia"/>
          <w:kern w:val="0"/>
          <w:sz w:val="24"/>
        </w:rPr>
        <w:t>）、中风险（</w:t>
      </w:r>
      <w:r>
        <w:rPr>
          <w:rFonts w:ascii="宋体" w:hAnsi="宋体" w:cs="宋体" w:hint="eastAsia"/>
          <w:kern w:val="0"/>
          <w:sz w:val="24"/>
        </w:rPr>
        <w:t>R3</w:t>
      </w:r>
      <w:r>
        <w:rPr>
          <w:rFonts w:ascii="宋体" w:hAnsi="宋体" w:cs="宋体" w:hint="eastAsia"/>
          <w:kern w:val="0"/>
          <w:sz w:val="24"/>
        </w:rPr>
        <w:t>）、中高风险（</w:t>
      </w:r>
      <w:r>
        <w:rPr>
          <w:rFonts w:ascii="宋体" w:hAnsi="宋体" w:cs="宋体" w:hint="eastAsia"/>
          <w:kern w:val="0"/>
          <w:sz w:val="24"/>
        </w:rPr>
        <w:t>R4</w:t>
      </w:r>
      <w:r>
        <w:rPr>
          <w:rFonts w:ascii="宋体" w:hAnsi="宋体" w:cs="宋体" w:hint="eastAsia"/>
          <w:kern w:val="0"/>
          <w:sz w:val="24"/>
        </w:rPr>
        <w:t>）和高风险（</w:t>
      </w:r>
      <w:r>
        <w:rPr>
          <w:rFonts w:ascii="宋体" w:hAnsi="宋体" w:cs="宋体" w:hint="eastAsia"/>
          <w:kern w:val="0"/>
          <w:sz w:val="24"/>
        </w:rPr>
        <w:t>R5</w:t>
      </w:r>
      <w:r>
        <w:rPr>
          <w:rFonts w:ascii="宋体" w:hAnsi="宋体" w:cs="宋体" w:hint="eastAsia"/>
          <w:kern w:val="0"/>
          <w:sz w:val="24"/>
        </w:rPr>
        <w:t>）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5"/>
        <w:gridCol w:w="4287"/>
        <w:gridCol w:w="2490"/>
      </w:tblGrid>
      <w:tr w:rsidR="00000000">
        <w:trPr>
          <w:jc w:val="center"/>
        </w:trPr>
        <w:tc>
          <w:tcPr>
            <w:tcW w:w="1745" w:type="dxa"/>
            <w:tcBorders>
              <w:top w:val="single" w:sz="4" w:space="0" w:color="auto"/>
              <w:left w:val="single" w:sz="4" w:space="0" w:color="auto"/>
              <w:bottom w:val="single" w:sz="4" w:space="0" w:color="auto"/>
              <w:right w:val="single" w:sz="4" w:space="0" w:color="auto"/>
            </w:tcBorders>
            <w:vAlign w:val="center"/>
          </w:tcPr>
          <w:p w:rsidR="00000000" w:rsidRDefault="00903BB1">
            <w:pPr>
              <w:spacing w:line="360" w:lineRule="auto"/>
              <w:jc w:val="center"/>
              <w:rPr>
                <w:rFonts w:ascii="宋体" w:hAnsi="宋体" w:cs="宋体" w:hint="eastAsia"/>
                <w:b/>
                <w:kern w:val="0"/>
                <w:sz w:val="24"/>
              </w:rPr>
            </w:pPr>
            <w:r>
              <w:rPr>
                <w:rFonts w:ascii="宋体" w:hAnsi="宋体" w:cs="宋体" w:hint="eastAsia"/>
                <w:b/>
                <w:kern w:val="0"/>
                <w:sz w:val="24"/>
              </w:rPr>
              <w:t>产品风险等级</w:t>
            </w:r>
          </w:p>
        </w:tc>
        <w:tc>
          <w:tcPr>
            <w:tcW w:w="4287" w:type="dxa"/>
            <w:tcBorders>
              <w:top w:val="single" w:sz="4" w:space="0" w:color="auto"/>
              <w:left w:val="single" w:sz="4" w:space="0" w:color="auto"/>
              <w:bottom w:val="single" w:sz="4" w:space="0" w:color="auto"/>
              <w:right w:val="single" w:sz="4" w:space="0" w:color="auto"/>
            </w:tcBorders>
            <w:vAlign w:val="center"/>
          </w:tcPr>
          <w:p w:rsidR="00000000" w:rsidRDefault="00903BB1">
            <w:pPr>
              <w:spacing w:line="360" w:lineRule="auto"/>
              <w:jc w:val="center"/>
              <w:rPr>
                <w:rFonts w:ascii="宋体" w:hAnsi="宋体" w:cs="宋体" w:hint="eastAsia"/>
                <w:b/>
                <w:kern w:val="0"/>
                <w:sz w:val="24"/>
              </w:rPr>
            </w:pPr>
            <w:r>
              <w:rPr>
                <w:rFonts w:ascii="宋体" w:hAnsi="宋体" w:cs="宋体" w:hint="eastAsia"/>
                <w:b/>
                <w:kern w:val="0"/>
                <w:sz w:val="24"/>
              </w:rPr>
              <w:t>风险等级说明</w:t>
            </w:r>
          </w:p>
        </w:tc>
        <w:tc>
          <w:tcPr>
            <w:tcW w:w="2490" w:type="dxa"/>
            <w:tcBorders>
              <w:top w:val="single" w:sz="4" w:space="0" w:color="auto"/>
              <w:left w:val="single" w:sz="4" w:space="0" w:color="auto"/>
              <w:bottom w:val="single" w:sz="4" w:space="0" w:color="auto"/>
              <w:right w:val="single" w:sz="4" w:space="0" w:color="auto"/>
            </w:tcBorders>
            <w:vAlign w:val="center"/>
          </w:tcPr>
          <w:p w:rsidR="00000000" w:rsidRDefault="00903BB1">
            <w:pPr>
              <w:spacing w:line="360" w:lineRule="auto"/>
              <w:jc w:val="center"/>
              <w:rPr>
                <w:rFonts w:ascii="宋体" w:hAnsi="宋体" w:cs="宋体" w:hint="eastAsia"/>
                <w:b/>
                <w:kern w:val="0"/>
                <w:sz w:val="24"/>
              </w:rPr>
            </w:pPr>
            <w:r>
              <w:rPr>
                <w:rFonts w:ascii="宋体" w:hAnsi="宋体" w:cs="宋体" w:hint="eastAsia"/>
                <w:b/>
                <w:kern w:val="0"/>
                <w:sz w:val="24"/>
              </w:rPr>
              <w:t>适合销售的投资者</w:t>
            </w:r>
          </w:p>
        </w:tc>
      </w:tr>
      <w:tr w:rsidR="00000000">
        <w:trPr>
          <w:jc w:val="center"/>
        </w:trPr>
        <w:tc>
          <w:tcPr>
            <w:tcW w:w="1745" w:type="dxa"/>
            <w:tcBorders>
              <w:top w:val="single" w:sz="4" w:space="0" w:color="auto"/>
              <w:left w:val="single" w:sz="4" w:space="0" w:color="auto"/>
              <w:bottom w:val="single" w:sz="4" w:space="0" w:color="auto"/>
              <w:right w:val="single" w:sz="4" w:space="0" w:color="auto"/>
            </w:tcBorders>
            <w:vAlign w:val="center"/>
          </w:tcPr>
          <w:p w:rsidR="00000000" w:rsidRDefault="00903BB1">
            <w:pPr>
              <w:spacing w:line="360" w:lineRule="auto"/>
              <w:jc w:val="center"/>
              <w:rPr>
                <w:rFonts w:ascii="宋体" w:hAnsi="宋体" w:cs="宋体" w:hint="eastAsia"/>
                <w:kern w:val="0"/>
                <w:sz w:val="24"/>
              </w:rPr>
            </w:pPr>
            <w:r>
              <w:rPr>
                <w:rFonts w:ascii="宋体" w:hAnsi="宋体" w:cs="宋体" w:hint="eastAsia"/>
                <w:kern w:val="0"/>
                <w:sz w:val="24"/>
              </w:rPr>
              <w:t>R1</w:t>
            </w:r>
          </w:p>
        </w:tc>
        <w:tc>
          <w:tcPr>
            <w:tcW w:w="4287" w:type="dxa"/>
            <w:tcBorders>
              <w:top w:val="single" w:sz="4" w:space="0" w:color="auto"/>
              <w:left w:val="single" w:sz="4" w:space="0" w:color="auto"/>
              <w:bottom w:val="single" w:sz="4" w:space="0" w:color="auto"/>
              <w:right w:val="single" w:sz="4" w:space="0" w:color="auto"/>
            </w:tcBorders>
            <w:vAlign w:val="center"/>
          </w:tcPr>
          <w:p w:rsidR="00000000" w:rsidRDefault="00903BB1">
            <w:pPr>
              <w:spacing w:line="360" w:lineRule="auto"/>
              <w:rPr>
                <w:rFonts w:ascii="宋体" w:hAnsi="宋体" w:cs="宋体" w:hint="eastAsia"/>
                <w:kern w:val="0"/>
                <w:sz w:val="24"/>
              </w:rPr>
            </w:pPr>
            <w:r>
              <w:rPr>
                <w:rFonts w:ascii="宋体" w:hAnsi="宋体" w:hint="eastAsia"/>
                <w:kern w:val="0"/>
                <w:sz w:val="24"/>
              </w:rPr>
              <w:t>产品总体风险程度低，收益波动小，产品本金安全性高，收益不能实现的可能性很小</w:t>
            </w:r>
          </w:p>
        </w:tc>
        <w:tc>
          <w:tcPr>
            <w:tcW w:w="2490" w:type="dxa"/>
            <w:tcBorders>
              <w:top w:val="single" w:sz="4" w:space="0" w:color="auto"/>
              <w:left w:val="single" w:sz="4" w:space="0" w:color="auto"/>
              <w:bottom w:val="single" w:sz="4" w:space="0" w:color="auto"/>
              <w:right w:val="single" w:sz="4" w:space="0" w:color="auto"/>
            </w:tcBorders>
            <w:vAlign w:val="center"/>
          </w:tcPr>
          <w:p w:rsidR="00000000" w:rsidRDefault="00903BB1">
            <w:pPr>
              <w:spacing w:line="360" w:lineRule="auto"/>
              <w:rPr>
                <w:rFonts w:ascii="宋体" w:hAnsi="宋体" w:cs="宋体" w:hint="eastAsia"/>
                <w:kern w:val="0"/>
                <w:sz w:val="24"/>
              </w:rPr>
            </w:pPr>
            <w:r>
              <w:rPr>
                <w:rFonts w:ascii="宋体" w:hAnsi="宋体" w:cs="宋体" w:hint="eastAsia"/>
                <w:kern w:val="0"/>
                <w:sz w:val="24"/>
              </w:rPr>
              <w:t>机构投资者及保守型、稳健型、平衡型、成长型、进取型的个人投资者</w:t>
            </w:r>
          </w:p>
        </w:tc>
      </w:tr>
      <w:tr w:rsidR="00000000">
        <w:trPr>
          <w:jc w:val="center"/>
        </w:trPr>
        <w:tc>
          <w:tcPr>
            <w:tcW w:w="1745" w:type="dxa"/>
            <w:tcBorders>
              <w:top w:val="single" w:sz="4" w:space="0" w:color="auto"/>
              <w:left w:val="single" w:sz="4" w:space="0" w:color="auto"/>
              <w:bottom w:val="single" w:sz="4" w:space="0" w:color="auto"/>
              <w:right w:val="single" w:sz="4" w:space="0" w:color="auto"/>
            </w:tcBorders>
            <w:vAlign w:val="center"/>
          </w:tcPr>
          <w:p w:rsidR="00000000" w:rsidRDefault="00903BB1">
            <w:pPr>
              <w:spacing w:line="360" w:lineRule="auto"/>
              <w:jc w:val="center"/>
              <w:rPr>
                <w:rFonts w:ascii="宋体" w:hAnsi="宋体" w:cs="宋体" w:hint="eastAsia"/>
                <w:kern w:val="0"/>
                <w:sz w:val="24"/>
              </w:rPr>
            </w:pPr>
            <w:r>
              <w:rPr>
                <w:rFonts w:ascii="宋体" w:hAnsi="宋体" w:cs="宋体" w:hint="eastAsia"/>
                <w:kern w:val="0"/>
                <w:sz w:val="24"/>
              </w:rPr>
              <w:t>R2</w:t>
            </w:r>
          </w:p>
        </w:tc>
        <w:tc>
          <w:tcPr>
            <w:tcW w:w="4287" w:type="dxa"/>
            <w:tcBorders>
              <w:top w:val="single" w:sz="4" w:space="0" w:color="auto"/>
              <w:left w:val="single" w:sz="4" w:space="0" w:color="auto"/>
              <w:bottom w:val="single" w:sz="4" w:space="0" w:color="auto"/>
              <w:right w:val="single" w:sz="4" w:space="0" w:color="auto"/>
            </w:tcBorders>
            <w:vAlign w:val="center"/>
          </w:tcPr>
          <w:p w:rsidR="00000000" w:rsidRDefault="00903BB1">
            <w:pPr>
              <w:spacing w:line="360" w:lineRule="auto"/>
              <w:rPr>
                <w:rFonts w:ascii="宋体" w:hAnsi="宋体" w:cs="宋体" w:hint="eastAsia"/>
                <w:kern w:val="0"/>
                <w:sz w:val="24"/>
              </w:rPr>
            </w:pPr>
            <w:r>
              <w:rPr>
                <w:rFonts w:ascii="宋体" w:hAnsi="宋体" w:hint="eastAsia"/>
                <w:kern w:val="0"/>
                <w:sz w:val="24"/>
              </w:rPr>
              <w:t>产品总体风险程度较低，收益波动较小，虽然存在一些可能对产品本金和收益安全产生不利影响的因素，但产品本金出现损失的可能性较小</w:t>
            </w:r>
          </w:p>
        </w:tc>
        <w:tc>
          <w:tcPr>
            <w:tcW w:w="2490" w:type="dxa"/>
            <w:tcBorders>
              <w:top w:val="single" w:sz="4" w:space="0" w:color="auto"/>
              <w:left w:val="single" w:sz="4" w:space="0" w:color="auto"/>
              <w:bottom w:val="single" w:sz="4" w:space="0" w:color="auto"/>
              <w:right w:val="single" w:sz="4" w:space="0" w:color="auto"/>
            </w:tcBorders>
            <w:vAlign w:val="center"/>
          </w:tcPr>
          <w:p w:rsidR="00000000" w:rsidRDefault="00903BB1">
            <w:pPr>
              <w:spacing w:line="360" w:lineRule="auto"/>
              <w:rPr>
                <w:rFonts w:ascii="宋体" w:hAnsi="宋体" w:cs="宋体" w:hint="eastAsia"/>
                <w:kern w:val="0"/>
                <w:sz w:val="24"/>
              </w:rPr>
            </w:pPr>
            <w:r>
              <w:rPr>
                <w:rFonts w:ascii="宋体" w:hAnsi="宋体" w:cs="宋体" w:hint="eastAsia"/>
                <w:kern w:val="0"/>
                <w:sz w:val="24"/>
              </w:rPr>
              <w:t>机构投资者及稳健型、平衡型、成长型、进取型的个人投资者</w:t>
            </w:r>
          </w:p>
        </w:tc>
      </w:tr>
      <w:tr w:rsidR="00000000">
        <w:trPr>
          <w:jc w:val="center"/>
        </w:trPr>
        <w:tc>
          <w:tcPr>
            <w:tcW w:w="1745" w:type="dxa"/>
            <w:tcBorders>
              <w:top w:val="single" w:sz="4" w:space="0" w:color="auto"/>
              <w:left w:val="single" w:sz="4" w:space="0" w:color="auto"/>
              <w:bottom w:val="single" w:sz="4" w:space="0" w:color="auto"/>
              <w:right w:val="single" w:sz="4" w:space="0" w:color="auto"/>
            </w:tcBorders>
            <w:vAlign w:val="center"/>
          </w:tcPr>
          <w:p w:rsidR="00000000" w:rsidRDefault="00903BB1">
            <w:pPr>
              <w:spacing w:line="360" w:lineRule="auto"/>
              <w:jc w:val="center"/>
              <w:rPr>
                <w:rFonts w:ascii="宋体" w:hAnsi="宋体" w:cs="宋体" w:hint="eastAsia"/>
                <w:kern w:val="0"/>
                <w:sz w:val="24"/>
              </w:rPr>
            </w:pPr>
            <w:r>
              <w:rPr>
                <w:rFonts w:ascii="宋体" w:hAnsi="宋体" w:cs="宋体" w:hint="eastAsia"/>
                <w:kern w:val="0"/>
                <w:sz w:val="24"/>
              </w:rPr>
              <w:t>R3</w:t>
            </w:r>
          </w:p>
        </w:tc>
        <w:tc>
          <w:tcPr>
            <w:tcW w:w="4287" w:type="dxa"/>
            <w:tcBorders>
              <w:top w:val="single" w:sz="4" w:space="0" w:color="auto"/>
              <w:left w:val="single" w:sz="4" w:space="0" w:color="auto"/>
              <w:bottom w:val="single" w:sz="4" w:space="0" w:color="auto"/>
              <w:right w:val="single" w:sz="4" w:space="0" w:color="auto"/>
            </w:tcBorders>
            <w:vAlign w:val="center"/>
          </w:tcPr>
          <w:p w:rsidR="00000000" w:rsidRDefault="00903BB1">
            <w:pPr>
              <w:spacing w:line="360" w:lineRule="auto"/>
              <w:rPr>
                <w:rFonts w:ascii="宋体" w:hAnsi="宋体" w:cs="宋体" w:hint="eastAsia"/>
                <w:kern w:val="0"/>
                <w:sz w:val="24"/>
              </w:rPr>
            </w:pPr>
            <w:r>
              <w:rPr>
                <w:rFonts w:ascii="宋体" w:hAnsi="宋体" w:hint="eastAsia"/>
                <w:kern w:val="0"/>
                <w:sz w:val="24"/>
              </w:rPr>
              <w:t>产品总体风险程度适中，收益存在一定的波动，产品本金出现损失的可能性不容忽视</w:t>
            </w:r>
          </w:p>
        </w:tc>
        <w:tc>
          <w:tcPr>
            <w:tcW w:w="2490" w:type="dxa"/>
            <w:tcBorders>
              <w:top w:val="single" w:sz="4" w:space="0" w:color="auto"/>
              <w:left w:val="single" w:sz="4" w:space="0" w:color="auto"/>
              <w:bottom w:val="single" w:sz="4" w:space="0" w:color="auto"/>
              <w:right w:val="single" w:sz="4" w:space="0" w:color="auto"/>
            </w:tcBorders>
            <w:vAlign w:val="center"/>
          </w:tcPr>
          <w:p w:rsidR="00000000" w:rsidRDefault="00903BB1">
            <w:pPr>
              <w:spacing w:line="360" w:lineRule="auto"/>
              <w:rPr>
                <w:rFonts w:ascii="宋体" w:hAnsi="宋体" w:cs="宋体" w:hint="eastAsia"/>
                <w:kern w:val="0"/>
                <w:sz w:val="24"/>
              </w:rPr>
            </w:pPr>
            <w:r>
              <w:rPr>
                <w:rFonts w:ascii="宋体" w:hAnsi="宋体" w:cs="宋体" w:hint="eastAsia"/>
                <w:kern w:val="0"/>
                <w:sz w:val="24"/>
              </w:rPr>
              <w:t>机构投资者及平衡型、成长型、进取型的个人投资者</w:t>
            </w:r>
          </w:p>
        </w:tc>
      </w:tr>
      <w:tr w:rsidR="00000000">
        <w:trPr>
          <w:jc w:val="center"/>
        </w:trPr>
        <w:tc>
          <w:tcPr>
            <w:tcW w:w="1745" w:type="dxa"/>
            <w:tcBorders>
              <w:top w:val="single" w:sz="4" w:space="0" w:color="auto"/>
              <w:left w:val="single" w:sz="4" w:space="0" w:color="auto"/>
              <w:bottom w:val="single" w:sz="4" w:space="0" w:color="auto"/>
              <w:right w:val="single" w:sz="4" w:space="0" w:color="auto"/>
            </w:tcBorders>
            <w:vAlign w:val="center"/>
          </w:tcPr>
          <w:p w:rsidR="00000000" w:rsidRDefault="00903BB1">
            <w:pPr>
              <w:spacing w:line="360" w:lineRule="auto"/>
              <w:jc w:val="center"/>
              <w:rPr>
                <w:rFonts w:ascii="宋体" w:hAnsi="宋体" w:cs="宋体" w:hint="eastAsia"/>
                <w:kern w:val="0"/>
                <w:sz w:val="24"/>
              </w:rPr>
            </w:pPr>
            <w:r>
              <w:rPr>
                <w:rFonts w:ascii="宋体" w:hAnsi="宋体" w:cs="宋体" w:hint="eastAsia"/>
                <w:kern w:val="0"/>
                <w:sz w:val="24"/>
              </w:rPr>
              <w:t>R4</w:t>
            </w:r>
          </w:p>
        </w:tc>
        <w:tc>
          <w:tcPr>
            <w:tcW w:w="4287" w:type="dxa"/>
            <w:tcBorders>
              <w:top w:val="single" w:sz="4" w:space="0" w:color="auto"/>
              <w:left w:val="single" w:sz="4" w:space="0" w:color="auto"/>
              <w:bottom w:val="single" w:sz="4" w:space="0" w:color="auto"/>
              <w:right w:val="single" w:sz="4" w:space="0" w:color="auto"/>
            </w:tcBorders>
            <w:vAlign w:val="center"/>
          </w:tcPr>
          <w:p w:rsidR="00000000" w:rsidRDefault="00903BB1">
            <w:pPr>
              <w:spacing w:line="360" w:lineRule="auto"/>
              <w:rPr>
                <w:rFonts w:ascii="宋体" w:hAnsi="宋体" w:cs="宋体" w:hint="eastAsia"/>
                <w:kern w:val="0"/>
                <w:sz w:val="24"/>
              </w:rPr>
            </w:pPr>
            <w:r>
              <w:rPr>
                <w:rFonts w:ascii="宋体" w:hAnsi="宋体" w:hint="eastAsia"/>
                <w:kern w:val="0"/>
                <w:sz w:val="24"/>
              </w:rPr>
              <w:t>产品总体风险程度较高，收益波动较明显，产品本金出现损失的可能性高</w:t>
            </w:r>
          </w:p>
        </w:tc>
        <w:tc>
          <w:tcPr>
            <w:tcW w:w="2490" w:type="dxa"/>
            <w:tcBorders>
              <w:top w:val="single" w:sz="4" w:space="0" w:color="auto"/>
              <w:left w:val="single" w:sz="4" w:space="0" w:color="auto"/>
              <w:bottom w:val="single" w:sz="4" w:space="0" w:color="auto"/>
              <w:right w:val="single" w:sz="4" w:space="0" w:color="auto"/>
            </w:tcBorders>
            <w:vAlign w:val="center"/>
          </w:tcPr>
          <w:p w:rsidR="00000000" w:rsidRDefault="00903BB1">
            <w:pPr>
              <w:spacing w:line="360" w:lineRule="auto"/>
              <w:rPr>
                <w:rFonts w:ascii="宋体" w:hAnsi="宋体" w:cs="宋体" w:hint="eastAsia"/>
                <w:kern w:val="0"/>
                <w:sz w:val="24"/>
              </w:rPr>
            </w:pPr>
            <w:r>
              <w:rPr>
                <w:rFonts w:ascii="宋体" w:hAnsi="宋体" w:cs="宋体" w:hint="eastAsia"/>
                <w:kern w:val="0"/>
                <w:sz w:val="24"/>
              </w:rPr>
              <w:t>机构投资者及成长型、进取型的个人投资者</w:t>
            </w:r>
          </w:p>
        </w:tc>
      </w:tr>
      <w:tr w:rsidR="00000000">
        <w:trPr>
          <w:jc w:val="center"/>
        </w:trPr>
        <w:tc>
          <w:tcPr>
            <w:tcW w:w="1745" w:type="dxa"/>
            <w:tcBorders>
              <w:top w:val="single" w:sz="4" w:space="0" w:color="auto"/>
              <w:left w:val="single" w:sz="4" w:space="0" w:color="auto"/>
              <w:bottom w:val="single" w:sz="4" w:space="0" w:color="auto"/>
              <w:right w:val="single" w:sz="4" w:space="0" w:color="auto"/>
            </w:tcBorders>
            <w:vAlign w:val="center"/>
          </w:tcPr>
          <w:p w:rsidR="00000000" w:rsidRDefault="00903BB1">
            <w:pPr>
              <w:spacing w:line="360" w:lineRule="auto"/>
              <w:jc w:val="center"/>
              <w:rPr>
                <w:rFonts w:ascii="宋体" w:hAnsi="宋体" w:cs="宋体" w:hint="eastAsia"/>
                <w:kern w:val="0"/>
                <w:sz w:val="24"/>
              </w:rPr>
            </w:pPr>
            <w:r>
              <w:rPr>
                <w:rFonts w:ascii="宋体" w:hAnsi="宋体" w:cs="宋体" w:hint="eastAsia"/>
                <w:kern w:val="0"/>
                <w:sz w:val="24"/>
              </w:rPr>
              <w:t>R5</w:t>
            </w:r>
          </w:p>
        </w:tc>
        <w:tc>
          <w:tcPr>
            <w:tcW w:w="4287" w:type="dxa"/>
            <w:tcBorders>
              <w:top w:val="single" w:sz="4" w:space="0" w:color="auto"/>
              <w:left w:val="single" w:sz="4" w:space="0" w:color="auto"/>
              <w:bottom w:val="single" w:sz="4" w:space="0" w:color="auto"/>
              <w:right w:val="single" w:sz="4" w:space="0" w:color="auto"/>
            </w:tcBorders>
            <w:vAlign w:val="center"/>
          </w:tcPr>
          <w:p w:rsidR="00000000" w:rsidRDefault="00903BB1">
            <w:pPr>
              <w:spacing w:line="360" w:lineRule="auto"/>
              <w:rPr>
                <w:rFonts w:ascii="宋体" w:hAnsi="宋体" w:cs="宋体" w:hint="eastAsia"/>
                <w:kern w:val="0"/>
                <w:sz w:val="24"/>
              </w:rPr>
            </w:pPr>
            <w:r>
              <w:rPr>
                <w:rFonts w:ascii="宋体" w:hAnsi="宋体" w:hint="eastAsia"/>
                <w:kern w:val="0"/>
                <w:sz w:val="24"/>
              </w:rPr>
              <w:t>产品总体风险程度高，收益波动明显，产品本金出现损失的可能性很高，产品本金出现</w:t>
            </w:r>
            <w:r>
              <w:rPr>
                <w:rFonts w:ascii="宋体" w:hAnsi="宋体" w:hint="eastAsia"/>
                <w:kern w:val="0"/>
                <w:sz w:val="24"/>
              </w:rPr>
              <w:t>全部损失的可能性不容忽视</w:t>
            </w:r>
          </w:p>
        </w:tc>
        <w:tc>
          <w:tcPr>
            <w:tcW w:w="2490" w:type="dxa"/>
            <w:tcBorders>
              <w:top w:val="single" w:sz="4" w:space="0" w:color="auto"/>
              <w:left w:val="single" w:sz="4" w:space="0" w:color="auto"/>
              <w:bottom w:val="single" w:sz="4" w:space="0" w:color="auto"/>
              <w:right w:val="single" w:sz="4" w:space="0" w:color="auto"/>
            </w:tcBorders>
            <w:vAlign w:val="center"/>
          </w:tcPr>
          <w:p w:rsidR="00000000" w:rsidRDefault="00903BB1">
            <w:pPr>
              <w:spacing w:line="360" w:lineRule="auto"/>
              <w:rPr>
                <w:rFonts w:ascii="宋体" w:hAnsi="宋体" w:cs="宋体" w:hint="eastAsia"/>
                <w:kern w:val="0"/>
                <w:sz w:val="24"/>
              </w:rPr>
            </w:pPr>
            <w:r>
              <w:rPr>
                <w:rFonts w:ascii="宋体" w:hAnsi="宋体" w:cs="宋体" w:hint="eastAsia"/>
                <w:kern w:val="0"/>
                <w:sz w:val="24"/>
              </w:rPr>
              <w:t>机构投资者及进取型的个人投资者</w:t>
            </w:r>
          </w:p>
        </w:tc>
      </w:tr>
    </w:tbl>
    <w:p w:rsidR="00000000" w:rsidRDefault="00903BB1">
      <w:pPr>
        <w:pStyle w:val="Default"/>
        <w:adjustRightInd/>
        <w:spacing w:line="360" w:lineRule="auto"/>
        <w:ind w:firstLineChars="200" w:firstLine="480"/>
        <w:rPr>
          <w:rFonts w:ascii="宋体" w:hAnsi="宋体" w:cs="宋体"/>
          <w:b/>
        </w:rPr>
      </w:pPr>
      <w:r>
        <w:rPr>
          <w:rFonts w:ascii="宋体" w:hAnsi="宋体" w:cs="宋体" w:hint="eastAsia"/>
          <w:bCs/>
          <w:color w:val="auto"/>
          <w:kern w:val="2"/>
        </w:rPr>
        <w:t>投资者风险承受能力评级水平以销售机构评估为准。</w:t>
      </w:r>
    </w:p>
    <w:p w:rsidR="00000000" w:rsidRDefault="00903BB1">
      <w:pPr>
        <w:numPr>
          <w:ilvl w:val="0"/>
          <w:numId w:val="4"/>
        </w:numPr>
        <w:spacing w:line="360" w:lineRule="auto"/>
        <w:outlineLvl w:val="1"/>
        <w:rPr>
          <w:rFonts w:ascii="宋体" w:hAnsi="宋体" w:cs="宋体" w:hint="eastAsia"/>
          <w:b/>
          <w:kern w:val="0"/>
          <w:sz w:val="24"/>
        </w:rPr>
      </w:pPr>
      <w:r>
        <w:rPr>
          <w:rFonts w:ascii="宋体" w:hAnsi="宋体" w:cs="宋体" w:hint="eastAsia"/>
          <w:b/>
          <w:kern w:val="0"/>
          <w:sz w:val="24"/>
        </w:rPr>
        <w:t>投资者风险承受能力评估</w:t>
      </w:r>
    </w:p>
    <w:p w:rsidR="00000000" w:rsidRDefault="00903BB1">
      <w:pPr>
        <w:numPr>
          <w:ilvl w:val="0"/>
          <w:numId w:val="5"/>
        </w:numPr>
        <w:spacing w:line="360" w:lineRule="auto"/>
        <w:outlineLvl w:val="2"/>
        <w:rPr>
          <w:rFonts w:ascii="宋体" w:hAnsi="宋体" w:cs="宋体" w:hint="eastAsia"/>
          <w:kern w:val="0"/>
          <w:sz w:val="24"/>
        </w:rPr>
      </w:pPr>
      <w:r>
        <w:rPr>
          <w:rFonts w:ascii="宋体" w:hAnsi="宋体" w:cs="宋体" w:hint="eastAsia"/>
          <w:kern w:val="0"/>
          <w:sz w:val="24"/>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w:t>
      </w:r>
      <w:r>
        <w:rPr>
          <w:rFonts w:ascii="宋体" w:hAnsi="宋体" w:cs="宋体" w:hint="eastAsia"/>
          <w:kern w:val="0"/>
          <w:sz w:val="24"/>
        </w:rPr>
        <w:lastRenderedPageBreak/>
        <w:t>当包括投资者年龄、财务状况、投资经验、投资目的、收益预期、风险偏好、流动性要求、风险认识及风险损失承受程度等。</w:t>
      </w:r>
    </w:p>
    <w:p w:rsidR="00000000" w:rsidRDefault="00903BB1">
      <w:pPr>
        <w:numPr>
          <w:ilvl w:val="0"/>
          <w:numId w:val="5"/>
        </w:numPr>
        <w:spacing w:line="360" w:lineRule="auto"/>
        <w:outlineLvl w:val="2"/>
        <w:rPr>
          <w:rFonts w:ascii="宋体" w:hAnsi="宋体" w:cs="宋体" w:hint="eastAsia"/>
          <w:kern w:val="0"/>
          <w:sz w:val="24"/>
        </w:rPr>
      </w:pPr>
      <w:r>
        <w:rPr>
          <w:rFonts w:ascii="宋体" w:hAnsi="宋体" w:cs="宋体" w:hint="eastAsia"/>
          <w:kern w:val="0"/>
          <w:sz w:val="24"/>
        </w:rPr>
        <w:t>个人投资者风险承受能力评估结果有效期为一年，如风险承受能力评估时效已</w:t>
      </w:r>
      <w:r>
        <w:rPr>
          <w:rFonts w:ascii="宋体" w:hAnsi="宋体" w:cs="宋体" w:hint="eastAsia"/>
          <w:kern w:val="0"/>
          <w:sz w:val="24"/>
        </w:rPr>
        <w:t>超过一年，或影响风险承受能力的因素发生变化，请及时完成风险承受能力的重新评估。</w:t>
      </w:r>
    </w:p>
    <w:p w:rsidR="00000000" w:rsidRDefault="00903BB1">
      <w:pPr>
        <w:numPr>
          <w:ilvl w:val="0"/>
          <w:numId w:val="5"/>
        </w:numPr>
        <w:spacing w:line="360" w:lineRule="auto"/>
        <w:outlineLvl w:val="2"/>
        <w:rPr>
          <w:rFonts w:ascii="宋体" w:hAnsi="宋体" w:cs="宋体" w:hint="eastAsia"/>
          <w:kern w:val="0"/>
          <w:sz w:val="24"/>
        </w:rPr>
      </w:pPr>
      <w:r>
        <w:rPr>
          <w:rFonts w:ascii="宋体" w:hAnsi="宋体" w:cs="宋体" w:hint="eastAsia"/>
          <w:kern w:val="0"/>
          <w:sz w:val="24"/>
        </w:rPr>
        <w:t>个人投资者风险承受能力评估流程（详询销售机构工作人员）</w:t>
      </w:r>
    </w:p>
    <w:p w:rsidR="00000000" w:rsidRDefault="00903BB1">
      <w:pPr>
        <w:numPr>
          <w:ilvl w:val="0"/>
          <w:numId w:val="6"/>
        </w:numPr>
        <w:spacing w:line="360" w:lineRule="auto"/>
        <w:rPr>
          <w:rFonts w:ascii="宋体" w:hAnsi="宋体" w:cs="宋体" w:hint="eastAsia"/>
          <w:kern w:val="0"/>
          <w:sz w:val="24"/>
        </w:rPr>
      </w:pPr>
      <w:r>
        <w:rPr>
          <w:rFonts w:ascii="宋体" w:hAnsi="宋体" w:cs="宋体" w:hint="eastAsia"/>
          <w:kern w:val="0"/>
          <w:sz w:val="24"/>
        </w:rPr>
        <w:t>个人投资者在销售机构进行风险承受能力评估；</w:t>
      </w:r>
    </w:p>
    <w:p w:rsidR="00000000" w:rsidRDefault="00903BB1">
      <w:pPr>
        <w:numPr>
          <w:ilvl w:val="0"/>
          <w:numId w:val="6"/>
        </w:numPr>
        <w:spacing w:line="360" w:lineRule="auto"/>
        <w:rPr>
          <w:rFonts w:ascii="宋体" w:hAnsi="宋体" w:cs="宋体" w:hint="eastAsia"/>
          <w:kern w:val="0"/>
          <w:sz w:val="24"/>
        </w:rPr>
      </w:pPr>
      <w:r>
        <w:rPr>
          <w:rFonts w:ascii="宋体" w:hAnsi="宋体" w:cs="宋体" w:hint="eastAsia"/>
          <w:kern w:val="0"/>
          <w:sz w:val="24"/>
        </w:rPr>
        <w:t>填写销售机构个人投资者风险承受能力测试问卷；</w:t>
      </w:r>
    </w:p>
    <w:p w:rsidR="00000000" w:rsidRDefault="00903BB1">
      <w:pPr>
        <w:numPr>
          <w:ilvl w:val="0"/>
          <w:numId w:val="6"/>
        </w:numPr>
        <w:spacing w:line="360" w:lineRule="auto"/>
        <w:rPr>
          <w:rFonts w:ascii="宋体" w:hAnsi="宋体" w:cs="宋体" w:hint="eastAsia"/>
          <w:kern w:val="0"/>
          <w:sz w:val="24"/>
        </w:rPr>
      </w:pPr>
      <w:r>
        <w:rPr>
          <w:rFonts w:ascii="宋体" w:hAnsi="宋体" w:cs="宋体" w:hint="eastAsia"/>
          <w:kern w:val="0"/>
          <w:sz w:val="24"/>
        </w:rPr>
        <w:t>生成相应的个人投资者风险承受能力评估结果；</w:t>
      </w:r>
    </w:p>
    <w:p w:rsidR="00000000" w:rsidRDefault="00903BB1">
      <w:pPr>
        <w:numPr>
          <w:ilvl w:val="0"/>
          <w:numId w:val="6"/>
        </w:numPr>
        <w:spacing w:line="360" w:lineRule="auto"/>
        <w:rPr>
          <w:rFonts w:ascii="宋体" w:hAnsi="宋体" w:cs="宋体" w:hint="eastAsia"/>
          <w:kern w:val="0"/>
          <w:sz w:val="24"/>
        </w:rPr>
      </w:pPr>
      <w:r>
        <w:rPr>
          <w:rFonts w:ascii="宋体" w:hAnsi="宋体" w:cs="宋体" w:hint="eastAsia"/>
          <w:kern w:val="0"/>
          <w:sz w:val="24"/>
        </w:rPr>
        <w:t>投资者对评估结果进行确认。</w:t>
      </w:r>
    </w:p>
    <w:p w:rsidR="00000000" w:rsidRDefault="00903BB1">
      <w:pPr>
        <w:numPr>
          <w:ilvl w:val="0"/>
          <w:numId w:val="7"/>
        </w:numPr>
        <w:spacing w:line="360" w:lineRule="auto"/>
        <w:outlineLvl w:val="2"/>
        <w:rPr>
          <w:rFonts w:ascii="宋体" w:hAnsi="宋体" w:cs="宋体" w:hint="eastAsia"/>
          <w:kern w:val="0"/>
          <w:sz w:val="24"/>
        </w:rPr>
      </w:pPr>
      <w:r>
        <w:rPr>
          <w:rFonts w:ascii="宋体" w:hAnsi="宋体" w:cs="宋体" w:hint="eastAsia"/>
          <w:kern w:val="0"/>
          <w:sz w:val="24"/>
        </w:rPr>
        <w:t>风险承受能力评估结果将作为评价个人投资者是否适合购买理财计划的重要因素，风险承受能力评级越高适合购买的理财计划风险评级越高，适合购买的理财计划类型越丰富。</w:t>
      </w:r>
    </w:p>
    <w:p w:rsidR="00000000" w:rsidRDefault="00903BB1">
      <w:pPr>
        <w:numPr>
          <w:ilvl w:val="0"/>
          <w:numId w:val="7"/>
        </w:numPr>
        <w:spacing w:line="360" w:lineRule="auto"/>
        <w:outlineLvl w:val="2"/>
        <w:rPr>
          <w:rFonts w:ascii="宋体" w:hAnsi="宋体" w:cs="宋体" w:hint="eastAsia"/>
          <w:kern w:val="0"/>
          <w:sz w:val="24"/>
        </w:rPr>
      </w:pPr>
      <w:r>
        <w:rPr>
          <w:rFonts w:ascii="宋体" w:hAnsi="宋体" w:cs="宋体" w:hint="eastAsia"/>
          <w:kern w:val="0"/>
          <w:sz w:val="24"/>
        </w:rPr>
        <w:t>代销机构应当根据本机构的方式和方法，独立审慎地对理财计划进</w:t>
      </w:r>
      <w:r>
        <w:rPr>
          <w:rFonts w:ascii="宋体" w:hAnsi="宋体" w:cs="宋体" w:hint="eastAsia"/>
          <w:kern w:val="0"/>
          <w:sz w:val="24"/>
        </w:rPr>
        <w:t>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rsidR="00000000" w:rsidRDefault="00903BB1">
      <w:pPr>
        <w:numPr>
          <w:ilvl w:val="0"/>
          <w:numId w:val="7"/>
        </w:numPr>
        <w:spacing w:line="360" w:lineRule="auto"/>
        <w:outlineLvl w:val="2"/>
        <w:rPr>
          <w:rFonts w:ascii="宋体" w:hAnsi="宋体" w:cs="宋体" w:hint="eastAsia"/>
          <w:kern w:val="0"/>
          <w:sz w:val="24"/>
        </w:rPr>
      </w:pPr>
      <w:r>
        <w:rPr>
          <w:rFonts w:ascii="宋体" w:hAnsi="宋体" w:cs="宋体" w:hint="eastAsia"/>
          <w:kern w:val="0"/>
          <w:sz w:val="24"/>
        </w:rPr>
        <w:t>机构投资者购买理财计划前无须进行风险评估能力测试。机构投资者不适用个人投资者的风险承受能力评估，请机构投资者根据自身财务状况、投资风格、资金需求等要素，并在阅读本权益须知、理财计划风险揭示书、理财计划产品说明</w:t>
      </w:r>
      <w:r>
        <w:rPr>
          <w:rFonts w:ascii="宋体" w:hAnsi="宋体" w:cs="宋体" w:hint="eastAsia"/>
          <w:kern w:val="0"/>
          <w:sz w:val="24"/>
        </w:rPr>
        <w:t>书、理财计划投资协议书和理财计划销售协议书的基础上，充分认识投资本理财计划需要承担的风险。</w:t>
      </w:r>
    </w:p>
    <w:p w:rsidR="00000000" w:rsidRDefault="00903BB1">
      <w:pPr>
        <w:spacing w:line="360" w:lineRule="auto"/>
        <w:ind w:firstLineChars="200" w:firstLine="482"/>
        <w:outlineLvl w:val="1"/>
        <w:rPr>
          <w:rFonts w:ascii="宋体" w:hAnsi="宋体" w:cs="宋体" w:hint="eastAsia"/>
          <w:b/>
          <w:kern w:val="0"/>
          <w:sz w:val="24"/>
        </w:rPr>
      </w:pPr>
      <w:r>
        <w:rPr>
          <w:rFonts w:ascii="宋体" w:hAnsi="宋体" w:cs="宋体" w:hint="eastAsia"/>
          <w:b/>
          <w:kern w:val="0"/>
          <w:sz w:val="24"/>
        </w:rPr>
        <w:t>四、理财计划信息披露</w:t>
      </w:r>
    </w:p>
    <w:p w:rsidR="00000000" w:rsidRDefault="00903BB1">
      <w:pPr>
        <w:spacing w:line="360" w:lineRule="auto"/>
        <w:ind w:firstLineChars="200" w:firstLine="480"/>
        <w:rPr>
          <w:rFonts w:ascii="宋体" w:hAnsi="宋体" w:cs="宋体" w:hint="eastAsia"/>
          <w:kern w:val="0"/>
          <w:sz w:val="24"/>
        </w:rPr>
      </w:pPr>
      <w:r>
        <w:rPr>
          <w:rFonts w:ascii="宋体" w:hAnsi="宋体" w:cs="宋体" w:hint="eastAsia"/>
          <w:kern w:val="0"/>
          <w:sz w:val="24"/>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rsidR="00000000" w:rsidRDefault="00903BB1">
      <w:pPr>
        <w:spacing w:line="360" w:lineRule="auto"/>
        <w:ind w:firstLineChars="200" w:firstLine="482"/>
        <w:outlineLvl w:val="1"/>
        <w:rPr>
          <w:rFonts w:ascii="宋体" w:hAnsi="宋体" w:cs="宋体" w:hint="eastAsia"/>
          <w:b/>
          <w:kern w:val="0"/>
          <w:sz w:val="24"/>
        </w:rPr>
      </w:pPr>
      <w:r>
        <w:rPr>
          <w:rFonts w:ascii="宋体" w:hAnsi="宋体" w:cs="宋体" w:hint="eastAsia"/>
          <w:b/>
          <w:kern w:val="0"/>
          <w:sz w:val="24"/>
        </w:rPr>
        <w:lastRenderedPageBreak/>
        <w:t>五、投资者信息管理</w:t>
      </w:r>
    </w:p>
    <w:p w:rsidR="00000000" w:rsidRDefault="00903BB1">
      <w:pPr>
        <w:spacing w:line="360" w:lineRule="auto"/>
        <w:ind w:firstLineChars="200" w:firstLine="480"/>
        <w:rPr>
          <w:rFonts w:ascii="宋体" w:hAnsi="宋体" w:cs="宋体" w:hint="eastAsia"/>
          <w:kern w:val="0"/>
          <w:sz w:val="24"/>
        </w:rPr>
      </w:pPr>
      <w:r>
        <w:rPr>
          <w:rFonts w:ascii="宋体" w:hAnsi="宋体" w:cs="宋体" w:hint="eastAsia"/>
          <w:kern w:val="0"/>
          <w:sz w:val="24"/>
        </w:rPr>
        <w:t>销售机构应当根据反洗钱、反恐怖融资及非居民金融账户涉税信息尽职调查等相关法律法规要求识别客户身份。投资者通过公司认可的销售机构购买</w:t>
      </w:r>
      <w:r>
        <w:rPr>
          <w:rFonts w:ascii="宋体" w:hAnsi="宋体" w:cs="宋体" w:hint="eastAsia"/>
          <w:kern w:val="0"/>
          <w:sz w:val="24"/>
        </w:rPr>
        <w:t>本公司理财的，视为同意公司获取投资者相关理财业务资料及信息。</w:t>
      </w:r>
    </w:p>
    <w:p w:rsidR="00000000" w:rsidRDefault="00903BB1">
      <w:pPr>
        <w:spacing w:line="360" w:lineRule="auto"/>
        <w:ind w:firstLineChars="200" w:firstLine="480"/>
        <w:rPr>
          <w:rFonts w:ascii="宋体" w:hAnsi="宋体" w:cs="宋体" w:hint="eastAsia"/>
          <w:kern w:val="0"/>
          <w:sz w:val="24"/>
        </w:rPr>
      </w:pPr>
      <w:r>
        <w:rPr>
          <w:rFonts w:ascii="宋体" w:hAnsi="宋体" w:cs="宋体" w:hint="eastAsia"/>
          <w:kern w:val="0"/>
          <w:sz w:val="24"/>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rsidR="00000000" w:rsidRDefault="00903BB1">
      <w:pPr>
        <w:spacing w:line="360" w:lineRule="auto"/>
        <w:ind w:firstLineChars="200" w:firstLine="482"/>
        <w:outlineLvl w:val="1"/>
        <w:rPr>
          <w:rFonts w:ascii="宋体" w:hAnsi="宋体" w:cs="宋体" w:hint="eastAsia"/>
          <w:b/>
          <w:kern w:val="0"/>
          <w:sz w:val="24"/>
        </w:rPr>
      </w:pPr>
      <w:r>
        <w:rPr>
          <w:rFonts w:ascii="宋体" w:hAnsi="宋体" w:cs="宋体" w:hint="eastAsia"/>
          <w:b/>
          <w:kern w:val="0"/>
          <w:sz w:val="24"/>
        </w:rPr>
        <w:t>六、投诉与建议</w:t>
      </w:r>
    </w:p>
    <w:p w:rsidR="00000000" w:rsidRDefault="00903BB1">
      <w:pPr>
        <w:numPr>
          <w:ilvl w:val="0"/>
          <w:numId w:val="8"/>
        </w:numPr>
        <w:spacing w:line="360" w:lineRule="auto"/>
        <w:outlineLvl w:val="2"/>
        <w:rPr>
          <w:rFonts w:ascii="宋体" w:hAnsi="宋体" w:cs="宋体" w:hint="eastAsia"/>
          <w:kern w:val="0"/>
          <w:sz w:val="24"/>
        </w:rPr>
      </w:pPr>
      <w:r>
        <w:rPr>
          <w:rFonts w:ascii="宋体" w:hAnsi="宋体" w:cs="宋体" w:hint="eastAsia"/>
          <w:kern w:val="0"/>
          <w:sz w:val="24"/>
        </w:rPr>
        <w:t>投资者如认为销售机构推介、销售理财计划时有不实或未尽风险告知职责或其它疑义事项，或对理财计划、销售机构及理财计划管理人服务有任何意见或建议，可通过拨打销售机构热线或客服电话进</w:t>
      </w:r>
      <w:r>
        <w:rPr>
          <w:rFonts w:ascii="宋体" w:hAnsi="宋体" w:cs="宋体" w:hint="eastAsia"/>
          <w:kern w:val="0"/>
          <w:sz w:val="24"/>
        </w:rPr>
        <w:t>行反馈。销售机构将由专人接听、记录您的意见建议，并由双方协商共同解决。</w:t>
      </w:r>
    </w:p>
    <w:p w:rsidR="00000000" w:rsidRDefault="00903BB1">
      <w:pPr>
        <w:numPr>
          <w:ilvl w:val="0"/>
          <w:numId w:val="8"/>
        </w:numPr>
        <w:spacing w:line="360" w:lineRule="auto"/>
        <w:outlineLvl w:val="2"/>
        <w:rPr>
          <w:rFonts w:ascii="宋体" w:hAnsi="宋体" w:cs="宋体" w:hint="eastAsia"/>
          <w:kern w:val="0"/>
          <w:sz w:val="24"/>
        </w:rPr>
      </w:pPr>
      <w:r>
        <w:rPr>
          <w:rFonts w:ascii="宋体" w:hAnsi="宋体" w:cs="宋体" w:hint="eastAsia"/>
          <w:kern w:val="0"/>
          <w:sz w:val="24"/>
        </w:rPr>
        <w:t>联络方式</w:t>
      </w:r>
    </w:p>
    <w:p w:rsidR="00000000" w:rsidRDefault="00903BB1">
      <w:pPr>
        <w:spacing w:line="360" w:lineRule="auto"/>
        <w:ind w:firstLineChars="200" w:firstLine="480"/>
        <w:rPr>
          <w:rFonts w:ascii="宋体" w:hAnsi="宋体" w:cs="宋体" w:hint="eastAsia"/>
          <w:kern w:val="0"/>
          <w:sz w:val="24"/>
        </w:rPr>
      </w:pPr>
      <w:r>
        <w:rPr>
          <w:rFonts w:ascii="宋体" w:hAnsi="宋体" w:cs="宋体" w:hint="eastAsia"/>
          <w:kern w:val="0"/>
          <w:sz w:val="24"/>
        </w:rPr>
        <w:t>在杭州银行（作为销售机构）购买本理财计划的请联系杭州银行，杭州银行客户服务热线：</w:t>
      </w:r>
      <w:r>
        <w:rPr>
          <w:rFonts w:ascii="宋体" w:hAnsi="宋体" w:cs="宋体" w:hint="eastAsia"/>
          <w:kern w:val="0"/>
          <w:sz w:val="24"/>
        </w:rPr>
        <w:t>95398</w:t>
      </w:r>
      <w:r>
        <w:rPr>
          <w:rFonts w:ascii="宋体" w:hAnsi="宋体" w:cs="宋体" w:hint="eastAsia"/>
          <w:kern w:val="0"/>
          <w:sz w:val="24"/>
        </w:rPr>
        <w:t>、</w:t>
      </w:r>
      <w:r>
        <w:rPr>
          <w:rFonts w:ascii="宋体" w:hAnsi="宋体" w:cs="宋体" w:hint="eastAsia"/>
          <w:kern w:val="0"/>
          <w:sz w:val="24"/>
        </w:rPr>
        <w:t>4008888508</w:t>
      </w:r>
      <w:r>
        <w:rPr>
          <w:rFonts w:ascii="宋体" w:hAnsi="宋体" w:cs="宋体" w:hint="eastAsia"/>
          <w:kern w:val="0"/>
          <w:sz w:val="24"/>
        </w:rPr>
        <w:t>，杭州银行官方网站：</w:t>
      </w:r>
      <w:r>
        <w:rPr>
          <w:rFonts w:ascii="宋体" w:hAnsi="宋体" w:cs="宋体" w:hint="eastAsia"/>
          <w:kern w:val="0"/>
          <w:sz w:val="24"/>
        </w:rPr>
        <w:t>www.hzbank.com.cn</w:t>
      </w:r>
      <w:r>
        <w:rPr>
          <w:rFonts w:ascii="宋体" w:hAnsi="宋体" w:cs="宋体" w:hint="eastAsia"/>
          <w:kern w:val="0"/>
          <w:sz w:val="24"/>
        </w:rPr>
        <w:t>。</w:t>
      </w:r>
    </w:p>
    <w:p w:rsidR="00000000" w:rsidRDefault="00903BB1">
      <w:pPr>
        <w:spacing w:line="360" w:lineRule="auto"/>
        <w:ind w:firstLineChars="200" w:firstLine="480"/>
        <w:rPr>
          <w:rFonts w:ascii="宋体" w:hAnsi="宋体" w:cs="宋体" w:hint="eastAsia"/>
          <w:kern w:val="0"/>
          <w:sz w:val="24"/>
        </w:rPr>
      </w:pPr>
      <w:r>
        <w:rPr>
          <w:rFonts w:ascii="宋体" w:hAnsi="宋体" w:cs="宋体" w:hint="eastAsia"/>
          <w:kern w:val="0"/>
          <w:sz w:val="24"/>
        </w:rPr>
        <w:t>在其他销售机构购买理财计划的，请联系其他销售机构，联系方式以其披露为准。</w:t>
      </w:r>
    </w:p>
    <w:p w:rsidR="00000000" w:rsidRDefault="00903BB1">
      <w:pPr>
        <w:spacing w:line="360" w:lineRule="auto"/>
        <w:ind w:firstLineChars="200" w:firstLine="480"/>
        <w:rPr>
          <w:rFonts w:ascii="宋体" w:hAnsi="宋体" w:cs="宋体" w:hint="eastAsia"/>
          <w:kern w:val="0"/>
          <w:sz w:val="24"/>
        </w:rPr>
      </w:pPr>
      <w:r>
        <w:rPr>
          <w:rFonts w:ascii="宋体" w:hAnsi="宋体" w:cs="宋体" w:hint="eastAsia"/>
          <w:kern w:val="0"/>
          <w:sz w:val="24"/>
        </w:rPr>
        <w:t>杭银理财联络方式：</w:t>
      </w:r>
    </w:p>
    <w:p w:rsidR="00000000" w:rsidRDefault="00903BB1">
      <w:pPr>
        <w:numPr>
          <w:ilvl w:val="0"/>
          <w:numId w:val="9"/>
        </w:numPr>
        <w:spacing w:line="360" w:lineRule="auto"/>
        <w:rPr>
          <w:rFonts w:ascii="宋体" w:hAnsi="宋体" w:cs="宋体" w:hint="eastAsia"/>
          <w:kern w:val="0"/>
          <w:sz w:val="24"/>
        </w:rPr>
      </w:pPr>
      <w:r>
        <w:rPr>
          <w:rFonts w:ascii="宋体" w:hAnsi="宋体" w:cs="宋体" w:hint="eastAsia"/>
          <w:kern w:val="0"/>
          <w:sz w:val="24"/>
        </w:rPr>
        <w:t>杭银理财联络方式：</w:t>
      </w:r>
    </w:p>
    <w:p w:rsidR="00000000" w:rsidRDefault="00903BB1">
      <w:pPr>
        <w:spacing w:line="360" w:lineRule="auto"/>
        <w:ind w:firstLineChars="200" w:firstLine="480"/>
        <w:rPr>
          <w:rFonts w:ascii="宋体" w:hAnsi="宋体" w:cs="宋体" w:hint="eastAsia"/>
          <w:kern w:val="0"/>
          <w:sz w:val="24"/>
          <w:u w:val="single"/>
        </w:rPr>
      </w:pPr>
      <w:r>
        <w:rPr>
          <w:rFonts w:ascii="宋体" w:hAnsi="宋体" w:cs="宋体" w:hint="eastAsia"/>
          <w:kern w:val="0"/>
          <w:sz w:val="24"/>
        </w:rPr>
        <w:t>官方网站：</w:t>
      </w:r>
      <w:hyperlink r:id="rId8" w:tgtFrame="_blank" w:history="1">
        <w:r>
          <w:rPr>
            <w:rFonts w:ascii="宋体" w:hAnsi="宋体" w:cs="宋体"/>
            <w:kern w:val="0"/>
            <w:sz w:val="24"/>
          </w:rPr>
          <w:t>https://</w:t>
        </w:r>
        <w:r>
          <w:rPr>
            <w:rFonts w:ascii="宋体" w:hAnsi="宋体" w:cs="宋体"/>
            <w:kern w:val="0"/>
            <w:sz w:val="24"/>
          </w:rPr>
          <w:t>www.hzbankwealth.com.cn</w:t>
        </w:r>
      </w:hyperlink>
    </w:p>
    <w:p w:rsidR="00000000" w:rsidRDefault="00903BB1">
      <w:pPr>
        <w:spacing w:line="360" w:lineRule="auto"/>
        <w:ind w:firstLineChars="200" w:firstLine="480"/>
        <w:rPr>
          <w:rFonts w:ascii="宋体" w:hAnsi="宋体" w:cs="宋体"/>
          <w:kern w:val="0"/>
          <w:sz w:val="24"/>
        </w:rPr>
      </w:pPr>
      <w:r>
        <w:rPr>
          <w:rFonts w:ascii="宋体" w:hAnsi="宋体" w:cs="宋体" w:hint="eastAsia"/>
          <w:kern w:val="0"/>
          <w:sz w:val="24"/>
        </w:rPr>
        <w:t>客户服务热线：</w:t>
      </w:r>
      <w:r>
        <w:rPr>
          <w:rFonts w:ascii="宋体" w:hAnsi="宋体" w:cs="宋体" w:hint="eastAsia"/>
          <w:kern w:val="0"/>
          <w:sz w:val="24"/>
        </w:rPr>
        <w:t>400-8950-999</w:t>
      </w:r>
    </w:p>
    <w:p w:rsidR="00000000" w:rsidRDefault="00903BB1">
      <w:pPr>
        <w:spacing w:line="360" w:lineRule="auto"/>
        <w:ind w:firstLineChars="200" w:firstLine="480"/>
        <w:rPr>
          <w:rFonts w:ascii="宋体" w:hAnsi="宋体" w:cs="宋体" w:hint="eastAsia"/>
          <w:kern w:val="0"/>
          <w:sz w:val="24"/>
        </w:rPr>
      </w:pPr>
      <w:r>
        <w:rPr>
          <w:rFonts w:ascii="宋体" w:hAnsi="宋体" w:cs="宋体" w:hint="eastAsia"/>
          <w:kern w:val="0"/>
          <w:sz w:val="24"/>
        </w:rPr>
        <w:t>公司地址：杭州市拱墅区庆春路</w:t>
      </w:r>
      <w:r>
        <w:rPr>
          <w:rFonts w:ascii="宋体" w:hAnsi="宋体" w:cs="宋体" w:hint="eastAsia"/>
          <w:kern w:val="0"/>
          <w:sz w:val="24"/>
        </w:rPr>
        <w:t>38</w:t>
      </w:r>
      <w:r>
        <w:rPr>
          <w:rFonts w:ascii="宋体" w:hAnsi="宋体" w:cs="宋体" w:hint="eastAsia"/>
          <w:kern w:val="0"/>
          <w:sz w:val="24"/>
        </w:rPr>
        <w:t>号金龙财富中心</w:t>
      </w:r>
      <w:r>
        <w:rPr>
          <w:rFonts w:ascii="宋体" w:hAnsi="宋体" w:cs="宋体" w:hint="eastAsia"/>
          <w:kern w:val="0"/>
          <w:sz w:val="24"/>
        </w:rPr>
        <w:t>6</w:t>
      </w:r>
      <w:r>
        <w:rPr>
          <w:rFonts w:ascii="宋体" w:hAnsi="宋体" w:cs="宋体" w:hint="eastAsia"/>
          <w:kern w:val="0"/>
          <w:sz w:val="24"/>
        </w:rPr>
        <w:t>楼</w:t>
      </w:r>
    </w:p>
    <w:p w:rsidR="00000000" w:rsidRDefault="00903BB1">
      <w:pPr>
        <w:spacing w:line="360" w:lineRule="auto"/>
        <w:ind w:firstLineChars="200" w:firstLine="480"/>
        <w:rPr>
          <w:rFonts w:ascii="宋体" w:hAnsi="宋体" w:cs="宋体" w:hint="eastAsia"/>
          <w:kern w:val="0"/>
          <w:sz w:val="24"/>
        </w:rPr>
      </w:pPr>
      <w:r>
        <w:rPr>
          <w:rFonts w:ascii="宋体" w:hAnsi="宋体" w:cs="宋体" w:hint="eastAsia"/>
          <w:kern w:val="0"/>
          <w:sz w:val="24"/>
        </w:rPr>
        <w:t>若上述联系方式变更，杭银理财将提前通过官方网站及时告知投资者。</w:t>
      </w:r>
    </w:p>
    <w:p w:rsidR="00000000" w:rsidRDefault="00903BB1">
      <w:pPr>
        <w:numPr>
          <w:ilvl w:val="0"/>
          <w:numId w:val="9"/>
        </w:numPr>
        <w:spacing w:line="360" w:lineRule="auto"/>
        <w:rPr>
          <w:rFonts w:ascii="宋体" w:hAnsi="宋体" w:cs="宋体" w:hint="eastAsia"/>
          <w:kern w:val="0"/>
          <w:sz w:val="24"/>
        </w:rPr>
      </w:pPr>
      <w:r>
        <w:rPr>
          <w:rFonts w:ascii="宋体" w:hAnsi="宋体" w:cs="宋体" w:hint="eastAsia"/>
          <w:kern w:val="0"/>
          <w:sz w:val="24"/>
        </w:rPr>
        <w:t>杭州银行（作为销售机构）联络方式：</w:t>
      </w:r>
    </w:p>
    <w:p w:rsidR="00000000" w:rsidRDefault="00903BB1">
      <w:pPr>
        <w:spacing w:line="360" w:lineRule="auto"/>
        <w:ind w:firstLineChars="200" w:firstLine="480"/>
        <w:rPr>
          <w:rFonts w:ascii="宋体" w:hAnsi="宋体" w:cs="宋体" w:hint="eastAsia"/>
          <w:kern w:val="0"/>
          <w:sz w:val="24"/>
          <w:u w:val="single"/>
        </w:rPr>
      </w:pPr>
      <w:r>
        <w:rPr>
          <w:rFonts w:ascii="宋体" w:hAnsi="宋体" w:cs="宋体" w:hint="eastAsia"/>
          <w:kern w:val="0"/>
          <w:sz w:val="24"/>
        </w:rPr>
        <w:t>官方网站</w:t>
      </w:r>
      <w:r>
        <w:rPr>
          <w:rFonts w:ascii="宋体" w:hAnsi="宋体" w:cs="宋体" w:hint="eastAsia"/>
          <w:kern w:val="0"/>
          <w:sz w:val="24"/>
        </w:rPr>
        <w:t xml:space="preserve">: </w:t>
      </w:r>
      <w:hyperlink r:id="rId9" w:history="1">
        <w:r>
          <w:rPr>
            <w:rStyle w:val="a4"/>
            <w:rFonts w:ascii="宋体" w:hAnsi="宋体" w:cs="宋体" w:hint="eastAsia"/>
            <w:kern w:val="0"/>
            <w:sz w:val="24"/>
          </w:rPr>
          <w:t>www.hzbank.com.cn</w:t>
        </w:r>
      </w:hyperlink>
    </w:p>
    <w:p w:rsidR="00000000" w:rsidRDefault="00903BB1">
      <w:pPr>
        <w:spacing w:line="360" w:lineRule="auto"/>
        <w:ind w:firstLineChars="200" w:firstLine="480"/>
        <w:rPr>
          <w:rFonts w:ascii="宋体" w:hAnsi="宋体" w:cs="宋体"/>
          <w:kern w:val="0"/>
          <w:sz w:val="24"/>
        </w:rPr>
      </w:pPr>
      <w:r>
        <w:rPr>
          <w:rFonts w:ascii="宋体" w:hAnsi="宋体" w:cs="宋体" w:hint="eastAsia"/>
          <w:kern w:val="0"/>
          <w:sz w:val="24"/>
        </w:rPr>
        <w:t>客户服务热线：</w:t>
      </w:r>
      <w:r>
        <w:rPr>
          <w:rFonts w:ascii="宋体" w:hAnsi="宋体" w:cs="宋体" w:hint="eastAsia"/>
          <w:kern w:val="0"/>
          <w:sz w:val="24"/>
        </w:rPr>
        <w:t>95398</w:t>
      </w:r>
      <w:r>
        <w:rPr>
          <w:rFonts w:ascii="宋体" w:hAnsi="宋体" w:cs="宋体" w:hint="eastAsia"/>
          <w:kern w:val="0"/>
          <w:sz w:val="24"/>
        </w:rPr>
        <w:t>、</w:t>
      </w:r>
      <w:r>
        <w:rPr>
          <w:rFonts w:ascii="宋体" w:hAnsi="宋体" w:cs="宋体" w:hint="eastAsia"/>
          <w:kern w:val="0"/>
          <w:sz w:val="24"/>
        </w:rPr>
        <w:t>4008888508</w:t>
      </w:r>
    </w:p>
    <w:p w:rsidR="00000000" w:rsidRDefault="00903BB1">
      <w:pPr>
        <w:spacing w:line="360" w:lineRule="auto"/>
        <w:ind w:firstLineChars="200" w:firstLine="480"/>
        <w:jc w:val="left"/>
        <w:rPr>
          <w:rFonts w:ascii="Arial" w:hAnsi="Arial" w:hint="eastAsia"/>
          <w:sz w:val="24"/>
        </w:rPr>
      </w:pPr>
      <w:r>
        <w:rPr>
          <w:rFonts w:ascii="宋体" w:hAnsi="宋体" w:cs="宋体" w:hint="eastAsia"/>
          <w:kern w:val="0"/>
          <w:sz w:val="24"/>
        </w:rPr>
        <w:t>在其他销售机构购买理财计划的，请联系其他销售机构，联系方式以其披露为准。</w:t>
      </w:r>
    </w:p>
    <w:sectPr w:rsidR="00000000">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3BB1">
      <w:r>
        <w:separator/>
      </w:r>
    </w:p>
  </w:endnote>
  <w:endnote w:type="continuationSeparator" w:id="0">
    <w:p w:rsidR="00000000" w:rsidRDefault="0090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3BB1">
    <w:pPr>
      <w:pStyle w:val="a9"/>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903BB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903BB1">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" filled="f" stroked="f">
              <v:textbox style="mso-fit-shape-to-text:t" inset="0,0,0,0">
                <w:txbxContent>
                  <w:p w:rsidR="00000000" w:rsidRDefault="00903BB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903BB1">
                      <w:rPr>
                        <w:noProof/>
                        <w:sz w:val="18"/>
                        <w:lang w:val="en-US" w:eastAsia="zh-CN"/>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3BB1">
      <w:r>
        <w:separator/>
      </w:r>
    </w:p>
  </w:footnote>
  <w:footnote w:type="continuationSeparator" w:id="0">
    <w:p w:rsidR="00000000" w:rsidRDefault="00903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3BB1">
    <w:pPr>
      <w:pStyle w:val="aa"/>
      <w:pBdr>
        <w:bottom w:val="single" w:sz="4" w:space="1" w:color="auto"/>
      </w:pBdr>
    </w:pPr>
    <w:r>
      <w:rPr>
        <w:rFonts w:hint="eastAsia"/>
        <w:b/>
        <w:bCs/>
      </w:rPr>
      <w:t>理财非存款</w:t>
    </w:r>
    <w:r>
      <w:rPr>
        <w:rFonts w:hint="eastAsia"/>
        <w:b/>
        <w:bCs/>
      </w:rPr>
      <w:t xml:space="preserve"> </w:t>
    </w:r>
    <w:r>
      <w:rPr>
        <w:rFonts w:hint="eastAsia"/>
        <w:b/>
        <w:bCs/>
      </w:rPr>
      <w:t>产</w:t>
    </w:r>
    <w:r>
      <w:rPr>
        <w:rFonts w:hint="eastAsia"/>
        <w:b/>
        <w:bCs/>
      </w:rPr>
      <w:t>品有风险</w:t>
    </w:r>
    <w:r>
      <w:rPr>
        <w:rFonts w:hint="eastAsia"/>
        <w:b/>
        <w:bCs/>
      </w:rPr>
      <w:t xml:space="preserve"> </w:t>
    </w:r>
    <w:r>
      <w:rPr>
        <w:rFonts w:hint="eastAsia"/>
        <w:b/>
        <w:bCs/>
      </w:rPr>
      <w:t>投资需谨慎</w:t>
    </w:r>
    <w:r>
      <w:rPr>
        <w:b/>
        <w:bCs/>
        <w:noProof/>
      </w:rPr>
      <w:drawing>
        <wp:anchor distT="0" distB="0" distL="114300" distR="114300" simplePos="0" relativeHeight="251658240" behindDoc="1" locked="0" layoutInCell="1" allowOverlap="1">
          <wp:simplePos x="0" y="0"/>
          <wp:positionH relativeFrom="column">
            <wp:posOffset>5120640</wp:posOffset>
          </wp:positionH>
          <wp:positionV relativeFrom="paragraph">
            <wp:posOffset>-553085</wp:posOffset>
          </wp:positionV>
          <wp:extent cx="1296670" cy="916940"/>
          <wp:effectExtent l="0" t="0" r="0" b="0"/>
          <wp:wrapThrough wrapText="bothSides">
            <wp:wrapPolygon edited="0">
              <wp:start x="4443" y="7180"/>
              <wp:lineTo x="3808" y="9873"/>
              <wp:lineTo x="4125" y="13911"/>
              <wp:lineTo x="17771" y="13911"/>
              <wp:lineTo x="18405" y="9873"/>
              <wp:lineTo x="16501" y="8975"/>
              <wp:lineTo x="6981" y="7180"/>
              <wp:lineTo x="4443" y="7180"/>
            </wp:wrapPolygon>
          </wp:wrapThrough>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图片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670"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50B14"/>
    <w:multiLevelType w:val="singleLevel"/>
    <w:tmpl w:val="3C550B14"/>
    <w:lvl w:ilvl="0">
      <w:start w:val="1"/>
      <w:numFmt w:val="decimal"/>
      <w:suff w:val="nothing"/>
      <w:lvlText w:val="%1．"/>
      <w:lvlJc w:val="left"/>
      <w:pPr>
        <w:ind w:left="0" w:firstLine="400"/>
      </w:pPr>
      <w:rPr>
        <w:rFonts w:hint="default"/>
      </w:rPr>
    </w:lvl>
  </w:abstractNum>
  <w:abstractNum w:abstractNumId="1">
    <w:nsid w:val="60C03E3F"/>
    <w:multiLevelType w:val="singleLevel"/>
    <w:tmpl w:val="60C03E3F"/>
    <w:lvl w:ilvl="0">
      <w:start w:val="1"/>
      <w:numFmt w:val="chineseCounting"/>
      <w:suff w:val="nothing"/>
      <w:lvlText w:val="（%1）"/>
      <w:lvlJc w:val="left"/>
      <w:pPr>
        <w:ind w:left="0" w:firstLine="420"/>
      </w:pPr>
      <w:rPr>
        <w:rFonts w:hint="eastAsia"/>
      </w:rPr>
    </w:lvl>
  </w:abstractNum>
  <w:abstractNum w:abstractNumId="2">
    <w:nsid w:val="60C03E76"/>
    <w:multiLevelType w:val="singleLevel"/>
    <w:tmpl w:val="60C03E76"/>
    <w:lvl w:ilvl="0">
      <w:start w:val="1"/>
      <w:numFmt w:val="chineseCounting"/>
      <w:suff w:val="nothing"/>
      <w:lvlText w:val="%1、"/>
      <w:lvlJc w:val="left"/>
      <w:pPr>
        <w:ind w:left="0" w:firstLine="420"/>
      </w:pPr>
      <w:rPr>
        <w:rFonts w:hint="eastAsia"/>
      </w:rPr>
    </w:lvl>
  </w:abstractNum>
  <w:abstractNum w:abstractNumId="3">
    <w:nsid w:val="60C03E91"/>
    <w:multiLevelType w:val="singleLevel"/>
    <w:tmpl w:val="60C03E91"/>
    <w:lvl w:ilvl="0">
      <w:start w:val="2"/>
      <w:numFmt w:val="chineseCounting"/>
      <w:suff w:val="nothing"/>
      <w:lvlText w:val="%1、"/>
      <w:lvlJc w:val="left"/>
      <w:pPr>
        <w:ind w:left="0" w:firstLine="420"/>
      </w:pPr>
      <w:rPr>
        <w:rFonts w:hint="eastAsia"/>
      </w:rPr>
    </w:lvl>
  </w:abstractNum>
  <w:abstractNum w:abstractNumId="4">
    <w:nsid w:val="60C03EC3"/>
    <w:multiLevelType w:val="singleLevel"/>
    <w:tmpl w:val="60C03EC3"/>
    <w:lvl w:ilvl="0">
      <w:start w:val="3"/>
      <w:numFmt w:val="chineseCounting"/>
      <w:suff w:val="nothing"/>
      <w:lvlText w:val="%1、"/>
      <w:lvlJc w:val="left"/>
      <w:pPr>
        <w:ind w:left="0" w:firstLine="420"/>
      </w:pPr>
      <w:rPr>
        <w:rFonts w:hint="eastAsia"/>
      </w:rPr>
    </w:lvl>
  </w:abstractNum>
  <w:abstractNum w:abstractNumId="5">
    <w:nsid w:val="60C03ED7"/>
    <w:multiLevelType w:val="singleLevel"/>
    <w:tmpl w:val="60C03ED7"/>
    <w:lvl w:ilvl="0">
      <w:start w:val="1"/>
      <w:numFmt w:val="chineseCounting"/>
      <w:suff w:val="nothing"/>
      <w:lvlText w:val="（%1）"/>
      <w:lvlJc w:val="left"/>
      <w:pPr>
        <w:ind w:left="0" w:firstLine="420"/>
      </w:pPr>
      <w:rPr>
        <w:rFonts w:hint="eastAsia"/>
      </w:rPr>
    </w:lvl>
  </w:abstractNum>
  <w:abstractNum w:abstractNumId="6">
    <w:nsid w:val="60C03F05"/>
    <w:multiLevelType w:val="singleLevel"/>
    <w:tmpl w:val="60C03F05"/>
    <w:lvl w:ilvl="0">
      <w:start w:val="1"/>
      <w:numFmt w:val="decimal"/>
      <w:suff w:val="nothing"/>
      <w:lvlText w:val="%1．"/>
      <w:lvlJc w:val="left"/>
      <w:pPr>
        <w:ind w:left="0" w:firstLine="400"/>
      </w:pPr>
      <w:rPr>
        <w:rFonts w:hint="default"/>
      </w:rPr>
    </w:lvl>
  </w:abstractNum>
  <w:abstractNum w:abstractNumId="7">
    <w:nsid w:val="60C03F2E"/>
    <w:multiLevelType w:val="singleLevel"/>
    <w:tmpl w:val="60C03F2E"/>
    <w:lvl w:ilvl="0">
      <w:start w:val="4"/>
      <w:numFmt w:val="chineseCounting"/>
      <w:suff w:val="nothing"/>
      <w:lvlText w:val="（%1）"/>
      <w:lvlJc w:val="left"/>
      <w:pPr>
        <w:ind w:left="0" w:firstLine="420"/>
      </w:pPr>
      <w:rPr>
        <w:rFonts w:hint="eastAsia"/>
      </w:rPr>
    </w:lvl>
  </w:abstractNum>
  <w:abstractNum w:abstractNumId="8">
    <w:nsid w:val="60C03F4B"/>
    <w:multiLevelType w:val="singleLevel"/>
    <w:tmpl w:val="60C03F4B"/>
    <w:lvl w:ilvl="0">
      <w:start w:val="1"/>
      <w:numFmt w:val="chineseCounting"/>
      <w:suff w:val="nothing"/>
      <w:lvlText w:val="（%1）"/>
      <w:lvlJc w:val="left"/>
      <w:pPr>
        <w:ind w:left="0" w:firstLine="420"/>
      </w:pPr>
      <w:rPr>
        <w:rFonts w:hint="eastAsia"/>
      </w:rPr>
    </w:lvl>
  </w:abstractNum>
  <w:num w:numId="1">
    <w:abstractNumId w:val="2"/>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3075"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0107D6"/>
    <w:rsid w:val="000A19CC"/>
    <w:rsid w:val="00123AE9"/>
    <w:rsid w:val="00175D3F"/>
    <w:rsid w:val="00187BC5"/>
    <w:rsid w:val="00194470"/>
    <w:rsid w:val="001B4676"/>
    <w:rsid w:val="001C01B2"/>
    <w:rsid w:val="00232E3B"/>
    <w:rsid w:val="00263368"/>
    <w:rsid w:val="00274E11"/>
    <w:rsid w:val="00327FC6"/>
    <w:rsid w:val="00343F73"/>
    <w:rsid w:val="00386FEC"/>
    <w:rsid w:val="003A1A36"/>
    <w:rsid w:val="003D1B3C"/>
    <w:rsid w:val="004556BB"/>
    <w:rsid w:val="00475C26"/>
    <w:rsid w:val="004A724E"/>
    <w:rsid w:val="00557E0E"/>
    <w:rsid w:val="00652A77"/>
    <w:rsid w:val="006B63C1"/>
    <w:rsid w:val="00720124"/>
    <w:rsid w:val="007542C9"/>
    <w:rsid w:val="00765C48"/>
    <w:rsid w:val="00793C62"/>
    <w:rsid w:val="007C65CD"/>
    <w:rsid w:val="008C74C9"/>
    <w:rsid w:val="008D78BD"/>
    <w:rsid w:val="00901BED"/>
    <w:rsid w:val="00902D93"/>
    <w:rsid w:val="00903BB1"/>
    <w:rsid w:val="00993044"/>
    <w:rsid w:val="009B2DC4"/>
    <w:rsid w:val="009B64A7"/>
    <w:rsid w:val="009C3F7C"/>
    <w:rsid w:val="009C43A4"/>
    <w:rsid w:val="00A20F48"/>
    <w:rsid w:val="00A338FE"/>
    <w:rsid w:val="00A77F3E"/>
    <w:rsid w:val="00B765F3"/>
    <w:rsid w:val="00C012A2"/>
    <w:rsid w:val="00C07905"/>
    <w:rsid w:val="00D06904"/>
    <w:rsid w:val="00D07D02"/>
    <w:rsid w:val="00D14693"/>
    <w:rsid w:val="00D16C82"/>
    <w:rsid w:val="00D41665"/>
    <w:rsid w:val="00D47AB0"/>
    <w:rsid w:val="00D61838"/>
    <w:rsid w:val="00DA1B4C"/>
    <w:rsid w:val="00DC5F5C"/>
    <w:rsid w:val="00E35C54"/>
    <w:rsid w:val="00E406C4"/>
    <w:rsid w:val="00E7096F"/>
    <w:rsid w:val="00EE319D"/>
    <w:rsid w:val="00F0077E"/>
    <w:rsid w:val="00F5498F"/>
    <w:rsid w:val="00F5749D"/>
    <w:rsid w:val="00FA0296"/>
    <w:rsid w:val="00FA6CE7"/>
    <w:rsid w:val="00FE2923"/>
    <w:rsid w:val="02562BF7"/>
    <w:rsid w:val="03BA3F56"/>
    <w:rsid w:val="0460442C"/>
    <w:rsid w:val="0500018B"/>
    <w:rsid w:val="0B1A5A6E"/>
    <w:rsid w:val="0B2D0BA7"/>
    <w:rsid w:val="0D6706EF"/>
    <w:rsid w:val="101F6BD5"/>
    <w:rsid w:val="10504FB0"/>
    <w:rsid w:val="110C5156"/>
    <w:rsid w:val="117A174C"/>
    <w:rsid w:val="118D4B5D"/>
    <w:rsid w:val="120050A9"/>
    <w:rsid w:val="133A19E0"/>
    <w:rsid w:val="13FC36E3"/>
    <w:rsid w:val="155F3FC2"/>
    <w:rsid w:val="15841F16"/>
    <w:rsid w:val="15C972B9"/>
    <w:rsid w:val="162A128A"/>
    <w:rsid w:val="16563388"/>
    <w:rsid w:val="17432384"/>
    <w:rsid w:val="179972B0"/>
    <w:rsid w:val="1CAD01AC"/>
    <w:rsid w:val="1D866C77"/>
    <w:rsid w:val="1D9446FE"/>
    <w:rsid w:val="1E831DF3"/>
    <w:rsid w:val="20BD2325"/>
    <w:rsid w:val="24A67BC4"/>
    <w:rsid w:val="25801A05"/>
    <w:rsid w:val="27CE3874"/>
    <w:rsid w:val="27EB3D24"/>
    <w:rsid w:val="2B8255D3"/>
    <w:rsid w:val="307B1E47"/>
    <w:rsid w:val="348E01C6"/>
    <w:rsid w:val="354C4323"/>
    <w:rsid w:val="35D86BDE"/>
    <w:rsid w:val="35FD5667"/>
    <w:rsid w:val="38663D34"/>
    <w:rsid w:val="39310E98"/>
    <w:rsid w:val="3AA66AF1"/>
    <w:rsid w:val="3D3D1991"/>
    <w:rsid w:val="3E6E2E42"/>
    <w:rsid w:val="3EAC1C1C"/>
    <w:rsid w:val="3EE67142"/>
    <w:rsid w:val="3EFE04EE"/>
    <w:rsid w:val="3FE830E5"/>
    <w:rsid w:val="40221B6B"/>
    <w:rsid w:val="41487A0A"/>
    <w:rsid w:val="42342BAA"/>
    <w:rsid w:val="46DB254E"/>
    <w:rsid w:val="48A3615E"/>
    <w:rsid w:val="48E00B0C"/>
    <w:rsid w:val="4CC84C98"/>
    <w:rsid w:val="4E754A4E"/>
    <w:rsid w:val="4E9967DA"/>
    <w:rsid w:val="4FC27339"/>
    <w:rsid w:val="502B3CEE"/>
    <w:rsid w:val="509F5AAF"/>
    <w:rsid w:val="50EE58D7"/>
    <w:rsid w:val="51EB2798"/>
    <w:rsid w:val="53A84543"/>
    <w:rsid w:val="563D76FE"/>
    <w:rsid w:val="578B2813"/>
    <w:rsid w:val="58A020D2"/>
    <w:rsid w:val="5B24597E"/>
    <w:rsid w:val="5B7358EA"/>
    <w:rsid w:val="5BEF430C"/>
    <w:rsid w:val="5CF01D88"/>
    <w:rsid w:val="608F3A1C"/>
    <w:rsid w:val="6336483C"/>
    <w:rsid w:val="64A47711"/>
    <w:rsid w:val="64EB1FB1"/>
    <w:rsid w:val="65085FDD"/>
    <w:rsid w:val="66BC7D07"/>
    <w:rsid w:val="672D0717"/>
    <w:rsid w:val="68782DAE"/>
    <w:rsid w:val="69644745"/>
    <w:rsid w:val="6ABE1B22"/>
    <w:rsid w:val="6B8C2015"/>
    <w:rsid w:val="6D966DB7"/>
    <w:rsid w:val="7082330A"/>
    <w:rsid w:val="725917A9"/>
    <w:rsid w:val="792D1E0D"/>
    <w:rsid w:val="79321117"/>
    <w:rsid w:val="7A835F66"/>
    <w:rsid w:val="7A9D6576"/>
    <w:rsid w:val="7DAE1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semiHidden/>
    <w:qForma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link w:val="a3"/>
    <w:rPr>
      <w:rFonts w:ascii="Calibri" w:hAnsi="Calibri" w:cs="黑体"/>
      <w:kern w:val="2"/>
      <w:sz w:val="21"/>
      <w:szCs w:val="24"/>
    </w:rPr>
  </w:style>
  <w:style w:type="character" w:styleId="a4">
    <w:name w:val="Hyperlink"/>
    <w:qFormat/>
    <w:rPr>
      <w:color w:val="0000FF"/>
      <w:u w:val="single"/>
    </w:rPr>
  </w:style>
  <w:style w:type="character" w:styleId="a5">
    <w:name w:val="annotation reference"/>
    <w:rPr>
      <w:sz w:val="21"/>
      <w:szCs w:val="21"/>
    </w:rPr>
  </w:style>
  <w:style w:type="character" w:customStyle="1" w:styleId="Char0">
    <w:name w:val="批注框文本 Char"/>
    <w:link w:val="a6"/>
    <w:rPr>
      <w:rFonts w:ascii="Calibri" w:hAnsi="Calibri" w:cs="黑体"/>
      <w:kern w:val="2"/>
      <w:sz w:val="18"/>
      <w:szCs w:val="18"/>
    </w:rPr>
  </w:style>
  <w:style w:type="character" w:customStyle="1" w:styleId="Char1">
    <w:name w:val="批注主题 Char"/>
    <w:link w:val="a7"/>
    <w:rPr>
      <w:rFonts w:ascii="Calibri" w:hAnsi="Calibri" w:cs="黑体"/>
      <w:b/>
      <w:bCs/>
      <w:kern w:val="2"/>
      <w:sz w:val="21"/>
      <w:szCs w:val="24"/>
    </w:rPr>
  </w:style>
  <w:style w:type="paragraph" w:styleId="a7">
    <w:name w:val="annotation subject"/>
    <w:basedOn w:val="a3"/>
    <w:next w:val="a3"/>
    <w:link w:val="Char1"/>
    <w:rPr>
      <w:b/>
      <w:bCs/>
    </w:rPr>
  </w:style>
  <w:style w:type="paragraph" w:styleId="a8">
    <w:name w:val="Normal (Web)"/>
    <w:basedOn w:val="a"/>
    <w:rPr>
      <w:sz w:val="24"/>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0"/>
    <w:rPr>
      <w:rFonts w:cs="Times New Roman"/>
      <w:sz w:val="18"/>
      <w:szCs w:val="18"/>
    </w:rPr>
  </w:style>
  <w:style w:type="paragraph" w:customStyle="1" w:styleId="ListParagraph">
    <w:name w:val="List Paragraph"/>
    <w:basedOn w:val="a"/>
    <w:uiPriority w:val="99"/>
    <w:unhideWhenUsed/>
    <w:pPr>
      <w:ind w:firstLineChars="200" w:firstLine="420"/>
    </w:pPr>
  </w:style>
  <w:style w:type="paragraph" w:styleId="a3">
    <w:name w:val="annotation text"/>
    <w:basedOn w:val="a"/>
    <w:link w:val="Char"/>
    <w:pPr>
      <w:jc w:val="left"/>
    </w:pPr>
    <w:rPr>
      <w:rFonts w:cs="Times New Roman"/>
    </w:rPr>
  </w:style>
  <w:style w:type="paragraph" w:customStyle="1" w:styleId="Default">
    <w:name w:val="Default"/>
    <w:qFormat/>
    <w:pPr>
      <w:widowControl w:val="0"/>
      <w:autoSpaceDE w:val="0"/>
      <w:autoSpaceDN w:val="0"/>
      <w:adjustRightInd w:val="0"/>
    </w:pPr>
    <w:rPr>
      <w:color w:val="000000"/>
      <w:sz w:val="24"/>
      <w:szCs w:val="24"/>
    </w:rPr>
  </w:style>
  <w:style w:type="table" w:styleId="ab">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semiHidden/>
    <w:qForma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link w:val="a3"/>
    <w:rPr>
      <w:rFonts w:ascii="Calibri" w:hAnsi="Calibri" w:cs="黑体"/>
      <w:kern w:val="2"/>
      <w:sz w:val="21"/>
      <w:szCs w:val="24"/>
    </w:rPr>
  </w:style>
  <w:style w:type="character" w:styleId="a4">
    <w:name w:val="Hyperlink"/>
    <w:qFormat/>
    <w:rPr>
      <w:color w:val="0000FF"/>
      <w:u w:val="single"/>
    </w:rPr>
  </w:style>
  <w:style w:type="character" w:styleId="a5">
    <w:name w:val="annotation reference"/>
    <w:rPr>
      <w:sz w:val="21"/>
      <w:szCs w:val="21"/>
    </w:rPr>
  </w:style>
  <w:style w:type="character" w:customStyle="1" w:styleId="Char0">
    <w:name w:val="批注框文本 Char"/>
    <w:link w:val="a6"/>
    <w:rPr>
      <w:rFonts w:ascii="Calibri" w:hAnsi="Calibri" w:cs="黑体"/>
      <w:kern w:val="2"/>
      <w:sz w:val="18"/>
      <w:szCs w:val="18"/>
    </w:rPr>
  </w:style>
  <w:style w:type="character" w:customStyle="1" w:styleId="Char1">
    <w:name w:val="批注主题 Char"/>
    <w:link w:val="a7"/>
    <w:rPr>
      <w:rFonts w:ascii="Calibri" w:hAnsi="Calibri" w:cs="黑体"/>
      <w:b/>
      <w:bCs/>
      <w:kern w:val="2"/>
      <w:sz w:val="21"/>
      <w:szCs w:val="24"/>
    </w:rPr>
  </w:style>
  <w:style w:type="paragraph" w:styleId="a7">
    <w:name w:val="annotation subject"/>
    <w:basedOn w:val="a3"/>
    <w:next w:val="a3"/>
    <w:link w:val="Char1"/>
    <w:rPr>
      <w:b/>
      <w:bCs/>
    </w:rPr>
  </w:style>
  <w:style w:type="paragraph" w:styleId="a8">
    <w:name w:val="Normal (Web)"/>
    <w:basedOn w:val="a"/>
    <w:rPr>
      <w:sz w:val="24"/>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0"/>
    <w:rPr>
      <w:rFonts w:cs="Times New Roman"/>
      <w:sz w:val="18"/>
      <w:szCs w:val="18"/>
    </w:rPr>
  </w:style>
  <w:style w:type="paragraph" w:customStyle="1" w:styleId="ListParagraph">
    <w:name w:val="List Paragraph"/>
    <w:basedOn w:val="a"/>
    <w:uiPriority w:val="99"/>
    <w:unhideWhenUsed/>
    <w:pPr>
      <w:ind w:firstLineChars="200" w:firstLine="420"/>
    </w:pPr>
  </w:style>
  <w:style w:type="paragraph" w:styleId="a3">
    <w:name w:val="annotation text"/>
    <w:basedOn w:val="a"/>
    <w:link w:val="Char"/>
    <w:pPr>
      <w:jc w:val="left"/>
    </w:pPr>
    <w:rPr>
      <w:rFonts w:cs="Times New Roman"/>
    </w:rPr>
  </w:style>
  <w:style w:type="paragraph" w:customStyle="1" w:styleId="Default">
    <w:name w:val="Default"/>
    <w:qFormat/>
    <w:pPr>
      <w:widowControl w:val="0"/>
      <w:autoSpaceDE w:val="0"/>
      <w:autoSpaceDN w:val="0"/>
      <w:adjustRightInd w:val="0"/>
    </w:pPr>
    <w:rPr>
      <w:color w:val="000000"/>
      <w:sz w:val="24"/>
      <w:szCs w:val="24"/>
    </w:rPr>
  </w:style>
  <w:style w:type="table" w:styleId="ab">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zbankwealth.com.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zbankwealth.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3ACE495.dotm</Template>
  <TotalTime>1</TotalTime>
  <Pages>4</Pages>
  <Words>457</Words>
  <Characters>2608</Characters>
  <Application>Microsoft Office Word</Application>
  <DocSecurity>0</DocSecurity>
  <PresentationFormat/>
  <Lines>21</Lines>
  <Paragraphs>6</Paragraphs>
  <Slides>0</Slides>
  <Notes>0</Notes>
  <HiddenSlides>0</HiddenSlides>
  <MMClips>0</MMClips>
  <ScaleCrop>false</ScaleCrop>
  <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杭银理财幸福99XXXX理财计划合同</dc:title>
  <dc:creator>Administrator</dc:creator>
  <cp:lastModifiedBy>wb019</cp:lastModifiedBy>
  <cp:revision>2</cp:revision>
  <dcterms:created xsi:type="dcterms:W3CDTF">2022-11-01T02:00:00Z</dcterms:created>
  <dcterms:modified xsi:type="dcterms:W3CDTF">2022-11-01T02:00:00Z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A70A2227A99B4340974191B47870DEF5</vt:lpwstr>
  </property>
</Properties>
</file>