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周添益2101期理财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〖Z7002221000111〗</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周添益2101期理财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周添益2101期理财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周添益2101期理财</w:t>
      </w:r>
      <w:r>
        <w:rPr>
          <w:rFonts w:hint="eastAsia" w:ascii="宋体" w:hAnsi="宋体" w:cs="宋体"/>
          <w:bCs/>
          <w:highlight w:val="none"/>
        </w:rPr>
        <w:t>。</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7日工作日可变现资产：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周添益2101期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TYG7D2101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w:t>
            </w:r>
            <w:r>
              <w:rPr>
                <w:rFonts w:hint="eastAsia" w:ascii="宋体" w:hAnsi="宋体" w:cs="宋体"/>
                <w:color w:val="000000"/>
                <w:sz w:val="21"/>
                <w:szCs w:val="21"/>
                <w:highlight w:val="none"/>
                <w:lang w:val="en-US" w:eastAsia="zh-CN"/>
              </w:rPr>
              <w:t>是</w:t>
            </w:r>
            <w:r>
              <w:rPr>
                <w:rFonts w:hint="eastAsia" w:ascii="宋体" w:hAnsi="宋体" w:cs="宋体"/>
                <w:color w:val="000000"/>
                <w:sz w:val="21"/>
                <w:szCs w:val="21"/>
                <w:highlight w:val="none"/>
              </w:rPr>
              <w:t>〖</w:t>
            </w:r>
            <w:r>
              <w:rPr>
                <w:rFonts w:hint="eastAsia" w:ascii="宋体" w:hAnsi="宋体" w:cs="宋体"/>
                <w:sz w:val="21"/>
                <w:szCs w:val="21"/>
                <w:highlight w:val="none"/>
              </w:rPr>
              <w:t>Z7002221000111</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A份额</w:t>
            </w:r>
            <w:r>
              <w:rPr>
                <w:rFonts w:hint="eastAsia" w:ascii="宋体" w:hAnsi="宋体" w:cs="宋体"/>
                <w:b w:val="0"/>
                <w:bCs/>
                <w:color w:val="000000"/>
                <w:sz w:val="21"/>
                <w:szCs w:val="21"/>
                <w:highlight w:val="none"/>
                <w:lang w:eastAsia="zh-CN"/>
              </w:rPr>
              <w:t>（销售代码〖</w:t>
            </w:r>
            <w:r>
              <w:rPr>
                <w:rFonts w:hint="eastAsia" w:ascii="宋体" w:hAnsi="宋体" w:cs="宋体"/>
                <w:b w:val="0"/>
                <w:bCs/>
                <w:color w:val="000000"/>
                <w:sz w:val="21"/>
                <w:szCs w:val="21"/>
                <w:highlight w:val="none"/>
                <w:lang w:val="en-US" w:eastAsia="zh-CN"/>
              </w:rPr>
              <w:t>TYG7D2101</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〖普通个人</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和机构</w:t>
            </w:r>
            <w:r>
              <w:rPr>
                <w:rFonts w:hint="eastAsia" w:ascii="宋体" w:hAnsi="宋体" w:cs="宋体"/>
                <w:b w:val="0"/>
                <w:bCs/>
                <w:color w:val="000000"/>
                <w:sz w:val="21"/>
                <w:szCs w:val="21"/>
                <w:highlight w:val="none"/>
                <w:lang w:val="en-US" w:eastAsia="zh-CN"/>
              </w:rPr>
              <w:t>投资者</w:t>
            </w:r>
            <w:r>
              <w:rPr>
                <w:rFonts w:hint="eastAsia" w:ascii="宋体" w:hAnsi="宋体" w:cs="宋体"/>
                <w:b w:val="0"/>
                <w:bCs/>
                <w:color w:val="000000"/>
                <w:sz w:val="21"/>
                <w:szCs w:val="21"/>
                <w:highlight w:val="none"/>
                <w:lang w:eastAsia="zh-CN"/>
              </w:rPr>
              <w:t>〗发售</w:t>
            </w:r>
            <w:r>
              <w:rPr>
                <w:rFonts w:hint="eastAsia" w:ascii="宋体" w:hAnsi="宋体" w:cs="宋体"/>
                <w:color w:val="000000"/>
                <w:sz w:val="21"/>
                <w:szCs w:val="21"/>
                <w:highlight w:val="none"/>
                <w:lang w:eastAsia="zh-CN"/>
              </w:rPr>
              <w:t>。</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TYG7D2101B</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特邀投资者</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500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lang w:eastAsia="zh-CN"/>
              </w:rPr>
              <w:t>封闭</w:t>
            </w:r>
            <w:r>
              <w:rPr>
                <w:rFonts w:hint="eastAsia" w:ascii="宋体" w:hAnsi="宋体" w:cs="宋体"/>
                <w:color w:val="000000"/>
                <w:sz w:val="21"/>
                <w:szCs w:val="21"/>
                <w:highlight w:val="none"/>
              </w:rPr>
              <w:t>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2021</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5000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rPr>
              <w:t>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每日〗开放,</w:t>
            </w:r>
            <w:r>
              <w:rPr>
                <w:rFonts w:hint="eastAsia" w:ascii="宋体" w:hAnsi="宋体" w:cs="宋体"/>
                <w:sz w:val="21"/>
                <w:szCs w:val="21"/>
                <w:highlight w:val="none"/>
              </w:rPr>
              <w:t>〖</w:t>
            </w:r>
            <w:r>
              <w:rPr>
                <w:rFonts w:hint="eastAsia" w:ascii="宋体" w:hAnsi="宋体" w:cs="宋体"/>
                <w:sz w:val="21"/>
                <w:szCs w:val="21"/>
                <w:highlight w:val="none"/>
                <w:lang w:val="en-US" w:eastAsia="zh-CN"/>
              </w:rPr>
              <w:t>每周四〗为确认日。本周四至下周三17:00前的交易申请将在下周四进行确认</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left"/>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申请将在确认日，即开放期后的第〖1〗个</w:t>
            </w:r>
            <w:r>
              <w:rPr>
                <w:rFonts w:hint="eastAsia" w:ascii="宋体" w:hAnsi="宋体" w:cs="宋体"/>
                <w:bCs w:val="0"/>
                <w:color w:val="000000"/>
                <w:sz w:val="21"/>
                <w:szCs w:val="21"/>
                <w:highlight w:val="none"/>
              </w:rPr>
              <w:t>工作日进行确认。</w:t>
            </w:r>
            <w:r>
              <w:rPr>
                <w:rFonts w:hint="eastAsia" w:ascii="宋体" w:hAnsi="宋体" w:cs="宋体"/>
                <w:color w:val="000000"/>
                <w:sz w:val="21"/>
                <w:szCs w:val="21"/>
                <w:highlight w:val="none"/>
              </w:rPr>
              <w:t>确认日如遇非工作日，则顺延至〖下一工作日〗。</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4.上述交易安排如有调整，请以管理人公告为准。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单户单周期最高赎回份额为〖</w:t>
            </w:r>
            <w:r>
              <w:rPr>
                <w:rFonts w:hint="eastAsia" w:ascii="宋体" w:hAnsi="宋体" w:cs="宋体"/>
                <w:sz w:val="21"/>
                <w:szCs w:val="21"/>
                <w:highlight w:val="none"/>
                <w:lang w:val="en-US" w:eastAsia="zh-CN"/>
              </w:rPr>
              <w:t>2000</w:t>
            </w:r>
            <w:r>
              <w:rPr>
                <w:rFonts w:hint="eastAsia" w:ascii="宋体" w:hAnsi="宋体" w:cs="宋体"/>
                <w:sz w:val="21"/>
                <w:szCs w:val="21"/>
                <w:highlight w:val="none"/>
              </w:rPr>
              <w:t>万份〗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六位后去尾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2.55</w:t>
            </w:r>
            <w:r>
              <w:rPr>
                <w:rFonts w:hint="eastAsia" w:ascii="宋体" w:hAnsi="宋体" w:cs="宋体"/>
                <w:sz w:val="21"/>
                <w:szCs w:val="21"/>
                <w:highlight w:val="none"/>
              </w:rPr>
              <w:t>%-</w:t>
            </w:r>
            <w:r>
              <w:rPr>
                <w:rFonts w:hint="eastAsia" w:ascii="宋体" w:hAnsi="宋体" w:cs="宋体"/>
                <w:sz w:val="21"/>
                <w:szCs w:val="21"/>
                <w:highlight w:val="none"/>
                <w:lang w:val="en-US" w:eastAsia="zh-CN"/>
              </w:rPr>
              <w:t>3.55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2.55</w:t>
            </w:r>
            <w:r>
              <w:rPr>
                <w:rFonts w:hint="eastAsia" w:ascii="宋体" w:hAnsi="宋体" w:cs="宋体"/>
                <w:sz w:val="21"/>
                <w:szCs w:val="21"/>
                <w:highlight w:val="none"/>
              </w:rPr>
              <w:t>%-</w:t>
            </w:r>
            <w:r>
              <w:rPr>
                <w:rFonts w:hint="eastAsia" w:ascii="宋体" w:hAnsi="宋体" w:cs="宋体"/>
                <w:sz w:val="21"/>
                <w:szCs w:val="21"/>
                <w:highlight w:val="none"/>
                <w:lang w:val="en-US" w:eastAsia="zh-CN"/>
              </w:rPr>
              <w:t>3.55</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在不同的时点及宏观环境下，对标中债-综合全价（1年以下）指数（CBA00213.CS）的历史平均7日滚动年化收益率，通过不同的投资策略、资产组合，以及对资产波动率的控制，中性预期在该指数收益基础上收益增厚。经过对不同投资策略的历史表现模拟回测，综合各类资产收益、产品费用及税费后的收益在2.55%-3.55%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default" w:ascii="宋体" w:hAnsi="宋体" w:cs="宋体"/>
                <w:bCs/>
                <w:color w:val="FF0000"/>
                <w:sz w:val="21"/>
                <w:szCs w:val="21"/>
                <w:highlight w:val="none"/>
                <w:lang w:val="en-US"/>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浮动管理费</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本理财计划各投资资产占净资产的配置比例如下：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周</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23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233"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233"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1800"/>
        <w:gridCol w:w="1282"/>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销售机构信息</w:t>
            </w: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苏州银行股份有限公司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厦门国际银行股份有限公司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宁波鄞州农村商业银行股份有限公司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深圳前海微众银行股份有限公司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吉林亿联银行股份有限公司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4000-156-999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江苏苏宁银行股份有限公司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石嘴山银行股份有限公司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中信百信银行股份有限公司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齐鲁银行股份有限公司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重庆富民银行股份有限公司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兴业银行股份有限公司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汉口银行股份有限公司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江汉区建设大道933号武汉商业银行大厦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400-609-6558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广东南粤银行股份有限公司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湖南三湘银行股份有限公司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长沙市岳麓区滨江路53号湖南湘江新区滨江金融中心楷林国际D座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0731-96500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澳门国际银行股份有限公司广州分行</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威海蓝海银行股份有限公司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山东省威海市环翠区新威路17-2号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400-0631-888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浙商银行股份有限公司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江苏常熟农村商业银行股份有限公司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广东华兴银行股份有限公司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汕头市龙湖区黄山路28号四层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95091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浙江青田农村商业银行股份有限公司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tcMar>
              <w:top w:w="15" w:type="dxa"/>
              <w:left w:w="15" w:type="dxa"/>
              <w:right w:w="15" w:type="dxa"/>
            </w:tcMar>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浙江临海农村商业银行股份有限公司</w:t>
            </w:r>
          </w:p>
        </w:tc>
        <w:tc>
          <w:tcPr>
            <w:tcW w:w="1282" w:type="dxa"/>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tcMar>
              <w:top w:w="15" w:type="dxa"/>
              <w:left w:w="15" w:type="dxa"/>
              <w:right w:w="15" w:type="dxa"/>
            </w:tcMar>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浙江省临海市大洋街道河阳路299号临海农商银行15F金融市场中心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0576-85307599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宁波镇海农村商业银行股份有限公司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浙江省宁波市镇海区骆驼街道镇海大道中段788号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0574-86297777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浙江台州黄岩农村商业银行股份有限公司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浙江省台州黄岩洞天路88号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0576-89996596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浙江嘉善农村商业银行股份有限公司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浙江省嘉善县罗星街道车站南路999号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东营银行股份有限公司</w:t>
            </w: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山东省东营市东营区府前大街87-1号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4006296588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restart"/>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杭银理财有限责任公司</w:t>
            </w: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住所</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800" w:type="dxa"/>
            <w:vMerge w:val="continue"/>
            <w:noWrap w:val="0"/>
            <w:vAlign w:val="center"/>
          </w:tcPr>
          <w:p>
            <w:pPr>
              <w:spacing w:line="360" w:lineRule="auto"/>
              <w:jc w:val="center"/>
              <w:rPr>
                <w:rFonts w:hint="eastAsia" w:ascii="宋体" w:hAnsi="宋体" w:eastAsia="宋体" w:cs="宋体"/>
                <w:bCs/>
                <w:sz w:val="24"/>
                <w:szCs w:val="24"/>
                <w:highlight w:val="none"/>
              </w:rPr>
            </w:pPr>
          </w:p>
        </w:tc>
        <w:tc>
          <w:tcPr>
            <w:tcW w:w="1282"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客服热线</w:t>
            </w:r>
          </w:p>
        </w:tc>
        <w:tc>
          <w:tcPr>
            <w:tcW w:w="3845" w:type="dxa"/>
            <w:noWrap w:val="0"/>
            <w:vAlign w:val="center"/>
          </w:tcPr>
          <w:p>
            <w:pPr>
              <w:keepNext w:val="0"/>
              <w:keepLines w:val="0"/>
              <w:widowControl/>
              <w:suppressLineNumbers w:val="0"/>
              <w:spacing w:line="360" w:lineRule="auto"/>
              <w:jc w:val="center"/>
              <w:textAlignment w:val="center"/>
              <w:rPr>
                <w:rFonts w:hint="eastAsia" w:ascii="宋体" w:hAnsi="宋体" w:cs="宋体"/>
              </w:rPr>
            </w:pPr>
            <w:r>
              <w:rPr>
                <w:rFonts w:hint="eastAsia" w:ascii="宋体" w:hAnsi="宋体" w:eastAsia="宋体" w:cs="宋体"/>
                <w:i w:val="0"/>
                <w:color w:val="000000"/>
                <w:kern w:val="0"/>
                <w:sz w:val="24"/>
                <w:szCs w:val="24"/>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rPr>
        <w:tc>
          <w:tcPr>
            <w:tcW w:w="1317" w:type="dxa"/>
            <w:noWrap w:val="0"/>
            <w:vAlign w:val="center"/>
          </w:tcPr>
          <w:p>
            <w:pPr>
              <w:keepNext w:val="0"/>
              <w:keepLines w:val="0"/>
              <w:widowControl/>
              <w:suppressLineNumbers w:val="0"/>
              <w:spacing w:line="360" w:lineRule="auto"/>
              <w:jc w:val="center"/>
              <w:textAlignment w:val="center"/>
              <w:rPr>
                <w:rFonts w:hint="eastAsia" w:ascii="宋体" w:hAnsi="宋体" w:cs="宋体"/>
                <w:bCs/>
                <w:szCs w:val="24"/>
                <w:highlight w:val="none"/>
              </w:rPr>
            </w:pPr>
            <w:r>
              <w:rPr>
                <w:rFonts w:hint="eastAsia" w:ascii="宋体" w:hAnsi="宋体" w:eastAsia="宋体" w:cs="宋体"/>
                <w:i w:val="0"/>
                <w:color w:val="000000"/>
                <w:kern w:val="0"/>
                <w:sz w:val="24"/>
                <w:szCs w:val="24"/>
                <w:u w:val="none"/>
                <w:lang w:val="en-US" w:eastAsia="zh-CN" w:bidi="ar"/>
              </w:rPr>
              <w:t>销售机构职责</w:t>
            </w:r>
          </w:p>
        </w:tc>
        <w:tc>
          <w:tcPr>
            <w:tcW w:w="6927" w:type="dxa"/>
            <w:gridSpan w:val="3"/>
            <w:noWrap w:val="0"/>
            <w:vAlign w:val="bottom"/>
          </w:tcPr>
          <w:p>
            <w:pPr>
              <w:keepNext w:val="0"/>
              <w:keepLines w:val="0"/>
              <w:widowControl/>
              <w:suppressLineNumbers w:val="0"/>
              <w:spacing w:line="360" w:lineRule="auto"/>
              <w:jc w:val="left"/>
              <w:textAlignment w:val="bottom"/>
              <w:rPr>
                <w:rFonts w:hint="eastAsia" w:ascii="宋体" w:hAnsi="宋体" w:cs="宋体"/>
              </w:rPr>
            </w:pPr>
            <w:r>
              <w:rPr>
                <w:rFonts w:hint="eastAsia" w:ascii="宋体" w:hAnsi="宋体" w:eastAsia="宋体" w:cs="宋体"/>
                <w:i w:val="0"/>
                <w:color w:val="000000"/>
                <w:kern w:val="0"/>
                <w:sz w:val="24"/>
                <w:szCs w:val="24"/>
                <w:u w:val="none"/>
                <w:lang w:val="en-US" w:eastAsia="zh-CN" w:bidi="ar"/>
              </w:rPr>
              <w:t>主要负责理财计划推广、投资者风险承受能力评估、投资者适当性管理、理财计划份额认购、申购及赎回办理。协助管理人负责与投资者签订理财计划合同、与投资者沟通及进行信息披露、接受投资者咨询和维护等销售服务。</w:t>
            </w:r>
          </w:p>
        </w:tc>
      </w:tr>
    </w:tbl>
    <w:p>
      <w:pPr>
        <w:spacing w:line="360" w:lineRule="auto"/>
        <w:ind w:firstLine="0" w:firstLineChars="0"/>
        <w:rPr>
          <w:rFonts w:hint="eastAsia" w:ascii="宋体" w:hAnsi="宋体" w:cs="宋体"/>
          <w:b/>
          <w:sz w:val="24"/>
          <w:highlight w:val="none"/>
        </w:rPr>
      </w:pPr>
      <w:r>
        <w:rPr>
          <w:rFonts w:hint="eastAsia" w:ascii="宋体" w:hAnsi="宋体" w:cs="宋体"/>
          <w:bCs/>
          <w:color w:val="000000"/>
          <w:sz w:val="24"/>
          <w:highlight w:val="none"/>
          <w:lang w:val="en-US" w:eastAsia="zh-CN"/>
        </w:rPr>
        <w:t xml:space="preserve">   </w:t>
      </w:r>
      <w:r>
        <w:rPr>
          <w:rFonts w:hint="eastAsia" w:ascii="宋体" w:hAnsi="宋体" w:cs="宋体"/>
          <w:bCs/>
          <w:color w:val="000000"/>
          <w:sz w:val="24"/>
          <w:highlight w:val="none"/>
        </w:rPr>
        <w:t>在本理财计划发行后新增准入的销售机构将以管理人对外公告为准。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val="en-US" w:eastAsia="zh-CN"/>
        </w:rPr>
        <w:t>B</w:t>
      </w:r>
      <w:r>
        <w:rPr>
          <w:rFonts w:hint="eastAsia" w:ascii="宋体" w:hAnsi="宋体" w:cs="宋体"/>
          <w:bCs/>
          <w:color w:val="000000"/>
          <w:sz w:val="24"/>
          <w:highlight w:val="none"/>
          <w:lang w:val="en-US" w:eastAsia="zh-CN"/>
        </w:rPr>
        <w:t>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r>
        <w:rPr>
          <w:rFonts w:hint="eastAsia" w:ascii="宋体" w:hAnsi="宋体" w:cs="宋体"/>
          <w:bCs/>
          <w:color w:val="000000"/>
          <w:sz w:val="24"/>
          <w:highlight w:val="none"/>
          <w:lang w:eastAsia="zh-CN"/>
        </w:rPr>
        <w:t>。</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w:t>
      </w:r>
      <w:r>
        <w:rPr>
          <w:rFonts w:hint="eastAsia" w:ascii="宋体" w:hAnsi="宋体" w:cs="宋体"/>
          <w:bCs/>
          <w:color w:val="000000"/>
          <w:sz w:val="24"/>
          <w:highlight w:val="none"/>
        </w:rPr>
        <w:t>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，此时，(</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-1)×365/362=</w:t>
      </w:r>
      <w:r>
        <w:rPr>
          <w:rFonts w:hint="eastAsia" w:ascii="宋体" w:hAnsi="宋体"/>
          <w:highlight w:val="none"/>
        </w:rPr>
        <w:t>4.53</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投资者最终收益为：100,000.00×（</w:t>
      </w:r>
      <w:r>
        <w:rPr>
          <w:rFonts w:hint="eastAsia" w:ascii="宋体" w:hAnsi="宋体" w:cs="宋体"/>
          <w:bCs/>
          <w:color w:val="000000"/>
          <w:sz w:val="24"/>
          <w:highlight w:val="none"/>
        </w:rPr>
        <w:t>1.0</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5</w:t>
      </w:r>
      <w:r>
        <w:rPr>
          <w:rFonts w:hint="eastAsia" w:ascii="宋体" w:hAnsi="宋体" w:cs="宋体"/>
          <w:bCs/>
          <w:color w:val="000000"/>
          <w:sz w:val="24"/>
          <w:highlight w:val="none"/>
          <w:lang w:val="en-US" w:eastAsia="zh-CN"/>
        </w:rPr>
        <w:t>000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 =</w:t>
      </w:r>
      <w:r>
        <w:rPr>
          <w:rFonts w:hint="eastAsia" w:ascii="宋体" w:hAnsi="宋体"/>
          <w:highlight w:val="none"/>
        </w:rPr>
        <w:t>4,500.00</w:t>
      </w:r>
      <w:r>
        <w:rPr>
          <w:rFonts w:hint="eastAsia" w:ascii="宋体" w:hAnsi="宋体" w:cs="宋体"/>
          <w:bCs/>
          <w:color w:val="000000"/>
          <w:sz w:val="24"/>
          <w:highlight w:val="none"/>
        </w:rPr>
        <w:t>（元）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份，期间无分红。</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0"/>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jRlZDVkMGNhZWM2ZDc0NWIwYmZiZDBhZDllMzMifQ=="/>
  </w:docVars>
  <w:rsids>
    <w:rsidRoot w:val="00172A27"/>
    <w:rsid w:val="00193FAC"/>
    <w:rsid w:val="00241C29"/>
    <w:rsid w:val="004A3A51"/>
    <w:rsid w:val="00D5498D"/>
    <w:rsid w:val="01364432"/>
    <w:rsid w:val="01523B8E"/>
    <w:rsid w:val="01E60817"/>
    <w:rsid w:val="01FD241C"/>
    <w:rsid w:val="023C0FF3"/>
    <w:rsid w:val="046A44FD"/>
    <w:rsid w:val="051316A0"/>
    <w:rsid w:val="05E05E4D"/>
    <w:rsid w:val="06420CFA"/>
    <w:rsid w:val="06503B59"/>
    <w:rsid w:val="06F301FD"/>
    <w:rsid w:val="0752555A"/>
    <w:rsid w:val="078F2493"/>
    <w:rsid w:val="07E45984"/>
    <w:rsid w:val="0828699A"/>
    <w:rsid w:val="087D4021"/>
    <w:rsid w:val="09155E8F"/>
    <w:rsid w:val="097E3F67"/>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50266B"/>
    <w:rsid w:val="10776FA2"/>
    <w:rsid w:val="10E7087B"/>
    <w:rsid w:val="10FA5463"/>
    <w:rsid w:val="110C20DF"/>
    <w:rsid w:val="111923AE"/>
    <w:rsid w:val="11BA058F"/>
    <w:rsid w:val="12081858"/>
    <w:rsid w:val="12B62B3B"/>
    <w:rsid w:val="13031153"/>
    <w:rsid w:val="13181417"/>
    <w:rsid w:val="135A629F"/>
    <w:rsid w:val="13CF7B8E"/>
    <w:rsid w:val="142B361D"/>
    <w:rsid w:val="145D4EDA"/>
    <w:rsid w:val="1477086D"/>
    <w:rsid w:val="14B17543"/>
    <w:rsid w:val="14B80FF2"/>
    <w:rsid w:val="14C57FED"/>
    <w:rsid w:val="150C5665"/>
    <w:rsid w:val="15103313"/>
    <w:rsid w:val="15C56302"/>
    <w:rsid w:val="160940BB"/>
    <w:rsid w:val="161741B6"/>
    <w:rsid w:val="1659752C"/>
    <w:rsid w:val="16E43A7F"/>
    <w:rsid w:val="16EB65F0"/>
    <w:rsid w:val="17D45D18"/>
    <w:rsid w:val="185A3DA1"/>
    <w:rsid w:val="18C8521E"/>
    <w:rsid w:val="194852F2"/>
    <w:rsid w:val="198C4B50"/>
    <w:rsid w:val="19DA4F78"/>
    <w:rsid w:val="19F13F4F"/>
    <w:rsid w:val="1A102675"/>
    <w:rsid w:val="1B280245"/>
    <w:rsid w:val="1B581220"/>
    <w:rsid w:val="1B843575"/>
    <w:rsid w:val="1BA25B8B"/>
    <w:rsid w:val="1BBE4697"/>
    <w:rsid w:val="1D4D5B7F"/>
    <w:rsid w:val="1D552DD9"/>
    <w:rsid w:val="1D5B30BA"/>
    <w:rsid w:val="1DAB6D83"/>
    <w:rsid w:val="1DEF5455"/>
    <w:rsid w:val="1E211950"/>
    <w:rsid w:val="1E3173A3"/>
    <w:rsid w:val="1E792E51"/>
    <w:rsid w:val="1F0F5A19"/>
    <w:rsid w:val="1F1D6E1F"/>
    <w:rsid w:val="1F3E7F7D"/>
    <w:rsid w:val="1F51312D"/>
    <w:rsid w:val="1FC9553A"/>
    <w:rsid w:val="204D3B12"/>
    <w:rsid w:val="205A2AB3"/>
    <w:rsid w:val="20B6224D"/>
    <w:rsid w:val="21025026"/>
    <w:rsid w:val="21036497"/>
    <w:rsid w:val="21ED299E"/>
    <w:rsid w:val="22332466"/>
    <w:rsid w:val="22A04AF7"/>
    <w:rsid w:val="22A73C8E"/>
    <w:rsid w:val="22D3594B"/>
    <w:rsid w:val="22F12819"/>
    <w:rsid w:val="23430AF2"/>
    <w:rsid w:val="234F46D7"/>
    <w:rsid w:val="23753F06"/>
    <w:rsid w:val="238E1AAE"/>
    <w:rsid w:val="24345B9A"/>
    <w:rsid w:val="245517BD"/>
    <w:rsid w:val="2483647E"/>
    <w:rsid w:val="256E79E9"/>
    <w:rsid w:val="256F076F"/>
    <w:rsid w:val="260B65D7"/>
    <w:rsid w:val="26820AF7"/>
    <w:rsid w:val="27121B72"/>
    <w:rsid w:val="27947E62"/>
    <w:rsid w:val="27EB2573"/>
    <w:rsid w:val="288B46B0"/>
    <w:rsid w:val="292668E3"/>
    <w:rsid w:val="29361BBD"/>
    <w:rsid w:val="29F25B57"/>
    <w:rsid w:val="2A124404"/>
    <w:rsid w:val="2A1B5D68"/>
    <w:rsid w:val="2A5975B6"/>
    <w:rsid w:val="2A991D32"/>
    <w:rsid w:val="2AB92324"/>
    <w:rsid w:val="2AD6555A"/>
    <w:rsid w:val="2B376BE0"/>
    <w:rsid w:val="2C1B1E9D"/>
    <w:rsid w:val="2CAB68C5"/>
    <w:rsid w:val="2E354AE5"/>
    <w:rsid w:val="2EBC6D03"/>
    <w:rsid w:val="2F1F666C"/>
    <w:rsid w:val="2FD32A37"/>
    <w:rsid w:val="30551FFC"/>
    <w:rsid w:val="30E15E0F"/>
    <w:rsid w:val="311F702A"/>
    <w:rsid w:val="319F375F"/>
    <w:rsid w:val="31A82883"/>
    <w:rsid w:val="320E3E15"/>
    <w:rsid w:val="32290EBD"/>
    <w:rsid w:val="32B15B31"/>
    <w:rsid w:val="32C937E9"/>
    <w:rsid w:val="32CC2A2A"/>
    <w:rsid w:val="333F6AA7"/>
    <w:rsid w:val="3480359E"/>
    <w:rsid w:val="34BE4ED5"/>
    <w:rsid w:val="35476F5E"/>
    <w:rsid w:val="354D3F58"/>
    <w:rsid w:val="359A216E"/>
    <w:rsid w:val="36631FD8"/>
    <w:rsid w:val="36E72D9B"/>
    <w:rsid w:val="371940D4"/>
    <w:rsid w:val="379F2ED6"/>
    <w:rsid w:val="37CA172C"/>
    <w:rsid w:val="37DC2068"/>
    <w:rsid w:val="38071350"/>
    <w:rsid w:val="38224FD0"/>
    <w:rsid w:val="39775E90"/>
    <w:rsid w:val="3A3E2041"/>
    <w:rsid w:val="3B131EF6"/>
    <w:rsid w:val="3B23657C"/>
    <w:rsid w:val="3B490D86"/>
    <w:rsid w:val="3C2F2290"/>
    <w:rsid w:val="3CED53B1"/>
    <w:rsid w:val="3CF54813"/>
    <w:rsid w:val="3DDC10DF"/>
    <w:rsid w:val="3E513E2A"/>
    <w:rsid w:val="3EA67C14"/>
    <w:rsid w:val="3EAD1B36"/>
    <w:rsid w:val="3F056B9E"/>
    <w:rsid w:val="3F354A62"/>
    <w:rsid w:val="3FF54C55"/>
    <w:rsid w:val="40181F9C"/>
    <w:rsid w:val="406370BC"/>
    <w:rsid w:val="40FB7670"/>
    <w:rsid w:val="41B60000"/>
    <w:rsid w:val="423C06E2"/>
    <w:rsid w:val="425119F2"/>
    <w:rsid w:val="42815397"/>
    <w:rsid w:val="42C94634"/>
    <w:rsid w:val="43397C8C"/>
    <w:rsid w:val="434F2949"/>
    <w:rsid w:val="45540446"/>
    <w:rsid w:val="458F3937"/>
    <w:rsid w:val="459F641E"/>
    <w:rsid w:val="45A93DC9"/>
    <w:rsid w:val="45BB5620"/>
    <w:rsid w:val="45F127ED"/>
    <w:rsid w:val="46263D02"/>
    <w:rsid w:val="46CD66A0"/>
    <w:rsid w:val="472803B7"/>
    <w:rsid w:val="478411E4"/>
    <w:rsid w:val="488B59A4"/>
    <w:rsid w:val="488D1C67"/>
    <w:rsid w:val="494502E1"/>
    <w:rsid w:val="4A010AC9"/>
    <w:rsid w:val="4A7F0ADF"/>
    <w:rsid w:val="4AA612F0"/>
    <w:rsid w:val="4B0D3113"/>
    <w:rsid w:val="4BDC47ED"/>
    <w:rsid w:val="4C6B0DDA"/>
    <w:rsid w:val="4C6E1306"/>
    <w:rsid w:val="4CF979F4"/>
    <w:rsid w:val="4D8C0BC8"/>
    <w:rsid w:val="4E186164"/>
    <w:rsid w:val="4E247E9A"/>
    <w:rsid w:val="4E2F1033"/>
    <w:rsid w:val="4E8274B0"/>
    <w:rsid w:val="4EA65BC4"/>
    <w:rsid w:val="4EFC1B31"/>
    <w:rsid w:val="4F2836A5"/>
    <w:rsid w:val="4FF363B3"/>
    <w:rsid w:val="501216FC"/>
    <w:rsid w:val="50B73634"/>
    <w:rsid w:val="51081BBA"/>
    <w:rsid w:val="51351A04"/>
    <w:rsid w:val="51434E1B"/>
    <w:rsid w:val="51504FE6"/>
    <w:rsid w:val="532B1481"/>
    <w:rsid w:val="53905C92"/>
    <w:rsid w:val="53BC3DE1"/>
    <w:rsid w:val="5484329F"/>
    <w:rsid w:val="54E91D9C"/>
    <w:rsid w:val="55A47BB4"/>
    <w:rsid w:val="569F04F2"/>
    <w:rsid w:val="56B44788"/>
    <w:rsid w:val="5704449E"/>
    <w:rsid w:val="57BB6218"/>
    <w:rsid w:val="57D367F9"/>
    <w:rsid w:val="57FF3AAA"/>
    <w:rsid w:val="58911BA4"/>
    <w:rsid w:val="58DD2EEE"/>
    <w:rsid w:val="58E96C7A"/>
    <w:rsid w:val="59263C31"/>
    <w:rsid w:val="59AB3F4A"/>
    <w:rsid w:val="59AD3C67"/>
    <w:rsid w:val="5A1A2579"/>
    <w:rsid w:val="5A4B183F"/>
    <w:rsid w:val="5A7679AD"/>
    <w:rsid w:val="5B0D630F"/>
    <w:rsid w:val="5B9919B4"/>
    <w:rsid w:val="5BB70148"/>
    <w:rsid w:val="5C3C3DDC"/>
    <w:rsid w:val="5CF00E01"/>
    <w:rsid w:val="5D160516"/>
    <w:rsid w:val="5D48107A"/>
    <w:rsid w:val="5D713BC5"/>
    <w:rsid w:val="5D7D0F36"/>
    <w:rsid w:val="5DB61BFF"/>
    <w:rsid w:val="5DEF454B"/>
    <w:rsid w:val="5E0666CE"/>
    <w:rsid w:val="5E2F5628"/>
    <w:rsid w:val="5E5A6C63"/>
    <w:rsid w:val="5F3C6712"/>
    <w:rsid w:val="5F4B58F3"/>
    <w:rsid w:val="5FC85F8F"/>
    <w:rsid w:val="6053481F"/>
    <w:rsid w:val="60553A8D"/>
    <w:rsid w:val="606E0DED"/>
    <w:rsid w:val="60AB2000"/>
    <w:rsid w:val="60C17A27"/>
    <w:rsid w:val="61D85325"/>
    <w:rsid w:val="62860AAA"/>
    <w:rsid w:val="628B7CEE"/>
    <w:rsid w:val="629D5796"/>
    <w:rsid w:val="62A9314C"/>
    <w:rsid w:val="63FA4C5C"/>
    <w:rsid w:val="64102A52"/>
    <w:rsid w:val="64BC6713"/>
    <w:rsid w:val="65C14669"/>
    <w:rsid w:val="66666C1A"/>
    <w:rsid w:val="66F54088"/>
    <w:rsid w:val="671E2162"/>
    <w:rsid w:val="67C2281F"/>
    <w:rsid w:val="67FF603D"/>
    <w:rsid w:val="68D8721E"/>
    <w:rsid w:val="6A875FFE"/>
    <w:rsid w:val="6AA906CA"/>
    <w:rsid w:val="6B610D05"/>
    <w:rsid w:val="6BA50493"/>
    <w:rsid w:val="6BAC21D5"/>
    <w:rsid w:val="6C487B66"/>
    <w:rsid w:val="6CED1CB3"/>
    <w:rsid w:val="6D006F57"/>
    <w:rsid w:val="6D3B42C3"/>
    <w:rsid w:val="6D5A3D63"/>
    <w:rsid w:val="6D9A4080"/>
    <w:rsid w:val="6DF375CB"/>
    <w:rsid w:val="6E7E575F"/>
    <w:rsid w:val="6EF15941"/>
    <w:rsid w:val="6EFC37CF"/>
    <w:rsid w:val="6F83591B"/>
    <w:rsid w:val="6F926461"/>
    <w:rsid w:val="6F9921A1"/>
    <w:rsid w:val="6FE13B2D"/>
    <w:rsid w:val="70051875"/>
    <w:rsid w:val="720F6016"/>
    <w:rsid w:val="73407EBD"/>
    <w:rsid w:val="73932176"/>
    <w:rsid w:val="73E34BB9"/>
    <w:rsid w:val="73EF4563"/>
    <w:rsid w:val="74175679"/>
    <w:rsid w:val="744124AA"/>
    <w:rsid w:val="74664F47"/>
    <w:rsid w:val="74932476"/>
    <w:rsid w:val="756E538F"/>
    <w:rsid w:val="759379A8"/>
    <w:rsid w:val="75ED694B"/>
    <w:rsid w:val="76D05D87"/>
    <w:rsid w:val="777F0011"/>
    <w:rsid w:val="778222EA"/>
    <w:rsid w:val="77A30DC4"/>
    <w:rsid w:val="77E0572E"/>
    <w:rsid w:val="77E97496"/>
    <w:rsid w:val="77ED4104"/>
    <w:rsid w:val="78A8719C"/>
    <w:rsid w:val="78EF4372"/>
    <w:rsid w:val="78FC1166"/>
    <w:rsid w:val="79771B00"/>
    <w:rsid w:val="7980282D"/>
    <w:rsid w:val="798F6426"/>
    <w:rsid w:val="79B94653"/>
    <w:rsid w:val="7A6220BE"/>
    <w:rsid w:val="7AB7513D"/>
    <w:rsid w:val="7ACA272A"/>
    <w:rsid w:val="7B0E7C70"/>
    <w:rsid w:val="7B2E004A"/>
    <w:rsid w:val="7B76641B"/>
    <w:rsid w:val="7BA11351"/>
    <w:rsid w:val="7BAF4F23"/>
    <w:rsid w:val="7BBF1397"/>
    <w:rsid w:val="7DD764B7"/>
    <w:rsid w:val="7E6F339A"/>
    <w:rsid w:val="7E810662"/>
    <w:rsid w:val="7ED67E61"/>
    <w:rsid w:val="7F590AE3"/>
    <w:rsid w:val="7FC3622F"/>
    <w:rsid w:val="7FEF2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5"/>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font21"/>
    <w:basedOn w:val="13"/>
    <w:uiPriority w:val="0"/>
    <w:rPr>
      <w:rFonts w:hint="eastAsia" w:ascii="宋体" w:hAnsi="宋体" w:eastAsia="宋体" w:cs="宋体"/>
      <w:color w:val="000000"/>
      <w:sz w:val="21"/>
      <w:szCs w:val="21"/>
      <w:u w:val="none"/>
    </w:rPr>
  </w:style>
  <w:style w:type="character" w:customStyle="1" w:styleId="20">
    <w:name w:val="标题 1 Char"/>
    <w:link w:val="2"/>
    <w:uiPriority w:val="0"/>
    <w:rPr>
      <w:rFonts w:eastAsia="宋体"/>
      <w:b/>
      <w:kern w:val="44"/>
      <w:sz w:val="44"/>
    </w:rPr>
  </w:style>
  <w:style w:type="character" w:customStyle="1" w:styleId="21">
    <w:name w:val="批注框文本 Char"/>
    <w:link w:val="6"/>
    <w:uiPriority w:val="0"/>
    <w:rPr>
      <w:rFonts w:ascii="Calibri" w:hAnsi="Calibri" w:cs="黑体"/>
      <w:kern w:val="2"/>
      <w:sz w:val="18"/>
      <w:szCs w:val="18"/>
    </w:rPr>
  </w:style>
  <w:style w:type="character" w:customStyle="1" w:styleId="22">
    <w:name w:val="标题 2 Char"/>
    <w:link w:val="3"/>
    <w:uiPriority w:val="0"/>
    <w:rPr>
      <w:rFonts w:ascii="Arial" w:hAnsi="Arial" w:eastAsia="宋体"/>
      <w:b/>
      <w:sz w:val="24"/>
    </w:rPr>
  </w:style>
  <w:style w:type="character" w:customStyle="1" w:styleId="23">
    <w:name w:val="批注文字 Char"/>
    <w:link w:val="5"/>
    <w:uiPriority w:val="0"/>
    <w:rPr>
      <w:rFonts w:ascii="Calibri" w:hAnsi="Calibri" w:cs="黑体"/>
      <w:kern w:val="2"/>
      <w:sz w:val="21"/>
      <w:szCs w:val="24"/>
    </w:rPr>
  </w:style>
  <w:style w:type="character" w:customStyle="1" w:styleId="24">
    <w:name w:val="批注主题 Char"/>
    <w:link w:val="10"/>
    <w:uiPriority w:val="0"/>
    <w:rPr>
      <w:rFonts w:ascii="Calibri" w:hAnsi="Calibri" w:cs="黑体"/>
      <w:b/>
      <w:bCs/>
      <w:kern w:val="2"/>
      <w:sz w:val="21"/>
      <w:szCs w:val="24"/>
    </w:rPr>
  </w:style>
  <w:style w:type="character" w:customStyle="1" w:styleId="25">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34714</Words>
  <Characters>36652</Characters>
  <Lines>210</Lines>
  <Paragraphs>59</Paragraphs>
  <TotalTime>4</TotalTime>
  <ScaleCrop>false</ScaleCrop>
  <LinksUpToDate>false</LinksUpToDate>
  <CharactersWithSpaces>36877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未定义</dc:creator>
  <cp:lastModifiedBy>hccb</cp:lastModifiedBy>
  <dcterms:modified xsi:type="dcterms:W3CDTF">2023-03-27T01:51:37Z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