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6A0" w:rsidRDefault="009A77F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C76A0" w:rsidRDefault="00EC76A0">
      <w:pPr>
        <w:adjustRightInd w:val="0"/>
        <w:spacing w:line="360" w:lineRule="auto"/>
        <w:jc w:val="center"/>
        <w:rPr>
          <w:rStyle w:val="af0"/>
          <w:rFonts w:ascii="宋体" w:hAnsi="宋体"/>
          <w:sz w:val="32"/>
          <w:szCs w:val="32"/>
        </w:rPr>
      </w:pPr>
    </w:p>
    <w:p w:rsidR="00EC76A0" w:rsidRDefault="00EC76A0">
      <w:pPr>
        <w:adjustRightInd w:val="0"/>
        <w:spacing w:line="360" w:lineRule="auto"/>
        <w:jc w:val="center"/>
        <w:rPr>
          <w:rStyle w:val="af0"/>
          <w:rFonts w:ascii="宋体" w:hAnsi="宋体"/>
          <w:sz w:val="32"/>
          <w:szCs w:val="32"/>
        </w:rPr>
      </w:pPr>
    </w:p>
    <w:p w:rsidR="00EC76A0" w:rsidRDefault="009A77F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C76A0" w:rsidRDefault="00EC76A0">
      <w:pPr>
        <w:adjustRightInd w:val="0"/>
        <w:spacing w:line="360" w:lineRule="auto"/>
        <w:jc w:val="center"/>
        <w:rPr>
          <w:rStyle w:val="af0"/>
          <w:rFonts w:ascii="宋体" w:hAnsi="宋体"/>
          <w:sz w:val="32"/>
          <w:szCs w:val="32"/>
        </w:rPr>
      </w:pPr>
    </w:p>
    <w:p w:rsidR="00EC76A0" w:rsidRDefault="009A77F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兴银理财【稳利丰收封闭式固收类】</w:t>
      </w:r>
    </w:p>
    <w:p w:rsidR="00EC76A0" w:rsidRDefault="009A77F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 xml:space="preserve">理财产品 </w:t>
      </w:r>
    </w:p>
    <w:p w:rsidR="00EC76A0" w:rsidRDefault="009A77F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EC76A0" w:rsidRDefault="00EC76A0">
      <w:pPr>
        <w:adjustRightInd w:val="0"/>
        <w:spacing w:line="360" w:lineRule="auto"/>
        <w:jc w:val="center"/>
        <w:rPr>
          <w:rStyle w:val="af0"/>
          <w:rFonts w:ascii="宋体" w:hAnsi="宋体"/>
          <w:sz w:val="32"/>
          <w:szCs w:val="32"/>
        </w:rPr>
      </w:pPr>
    </w:p>
    <w:p w:rsidR="00EC76A0" w:rsidRDefault="00EC76A0">
      <w:pPr>
        <w:adjustRightInd w:val="0"/>
        <w:spacing w:line="360" w:lineRule="auto"/>
        <w:rPr>
          <w:rStyle w:val="af0"/>
          <w:rFonts w:ascii="黑体" w:eastAsia="黑体" w:hAnsi="黑体"/>
          <w:bCs w:val="0"/>
          <w:sz w:val="28"/>
          <w:szCs w:val="28"/>
        </w:rPr>
      </w:pPr>
    </w:p>
    <w:p w:rsidR="00EC76A0" w:rsidRDefault="00EC76A0">
      <w:pPr>
        <w:adjustRightInd w:val="0"/>
        <w:spacing w:line="360" w:lineRule="auto"/>
        <w:jc w:val="center"/>
        <w:rPr>
          <w:rStyle w:val="af0"/>
          <w:rFonts w:ascii="黑体" w:eastAsia="黑体" w:hAnsi="黑体"/>
          <w:bCs w:val="0"/>
          <w:sz w:val="28"/>
          <w:szCs w:val="28"/>
        </w:rPr>
      </w:pPr>
    </w:p>
    <w:p w:rsidR="00EC76A0" w:rsidRDefault="00EC76A0">
      <w:pPr>
        <w:adjustRightInd w:val="0"/>
        <w:spacing w:line="360" w:lineRule="auto"/>
        <w:jc w:val="center"/>
        <w:rPr>
          <w:rStyle w:val="af0"/>
          <w:rFonts w:ascii="黑体" w:eastAsia="黑体" w:hAnsi="黑体"/>
          <w:bCs w:val="0"/>
          <w:sz w:val="28"/>
          <w:szCs w:val="28"/>
        </w:rPr>
      </w:pPr>
    </w:p>
    <w:p w:rsidR="00EC76A0" w:rsidRDefault="009A77F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EC76A0" w:rsidRDefault="00EC76A0">
      <w:pPr>
        <w:adjustRightInd w:val="0"/>
        <w:spacing w:line="360" w:lineRule="auto"/>
        <w:jc w:val="center"/>
        <w:rPr>
          <w:rStyle w:val="af0"/>
          <w:rFonts w:ascii="宋体" w:hAnsi="宋体"/>
          <w:sz w:val="32"/>
          <w:szCs w:val="32"/>
        </w:rPr>
      </w:pPr>
    </w:p>
    <w:p w:rsidR="00EC76A0" w:rsidRDefault="00EC76A0">
      <w:pPr>
        <w:adjustRightInd w:val="0"/>
        <w:spacing w:line="360" w:lineRule="auto"/>
        <w:jc w:val="center"/>
        <w:rPr>
          <w:rStyle w:val="af0"/>
          <w:rFonts w:ascii="宋体" w:hAnsi="宋体"/>
          <w:sz w:val="32"/>
          <w:szCs w:val="32"/>
        </w:rPr>
      </w:pPr>
    </w:p>
    <w:p w:rsidR="00EC76A0" w:rsidRDefault="009A77F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w:t>
      </w:r>
      <w:r w:rsidR="0041270E">
        <w:rPr>
          <w:rStyle w:val="af0"/>
          <w:rFonts w:ascii="宋体" w:hAnsi="宋体" w:cs="Times New Roman"/>
          <w:sz w:val="32"/>
          <w:szCs w:val="32"/>
        </w:rPr>
        <w:t>5</w:t>
      </w:r>
      <w:r>
        <w:rPr>
          <w:rStyle w:val="af0"/>
          <w:rFonts w:ascii="宋体" w:hAnsi="宋体" w:cs="Times New Roman" w:hint="eastAsia"/>
          <w:sz w:val="32"/>
          <w:szCs w:val="32"/>
        </w:rPr>
        <w:t>】月</w:t>
      </w:r>
    </w:p>
    <w:p w:rsidR="00EC76A0" w:rsidRDefault="00EC76A0">
      <w:pPr>
        <w:adjustRightInd w:val="0"/>
        <w:spacing w:line="360" w:lineRule="auto"/>
        <w:jc w:val="center"/>
        <w:rPr>
          <w:rStyle w:val="af0"/>
          <w:rFonts w:ascii="宋体" w:hAnsi="宋体"/>
          <w:sz w:val="32"/>
          <w:szCs w:val="32"/>
        </w:rPr>
      </w:pPr>
    </w:p>
    <w:p w:rsidR="00EC76A0" w:rsidRDefault="009A77F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EC76A0" w:rsidRDefault="009A77F2">
          <w:pPr>
            <w:pStyle w:val="TOC2"/>
            <w:spacing w:line="360" w:lineRule="auto"/>
            <w:jc w:val="center"/>
          </w:pPr>
          <w:r>
            <w:rPr>
              <w:lang w:val="zh-CN"/>
            </w:rPr>
            <w:t>目录</w:t>
          </w:r>
        </w:p>
        <w:p w:rsidR="00EC76A0" w:rsidRDefault="009A77F2">
          <w:pPr>
            <w:pStyle w:val="10"/>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EC76A0" w:rsidRDefault="00012C46">
          <w:pPr>
            <w:pStyle w:val="10"/>
            <w:tabs>
              <w:tab w:val="right" w:leader="dot" w:pos="8296"/>
            </w:tabs>
            <w:spacing w:line="360" w:lineRule="auto"/>
            <w:rPr>
              <w:rFonts w:asciiTheme="minorHAnsi" w:eastAsiaTheme="minorEastAsia" w:hAnsiTheme="minorHAnsi" w:cstheme="minorBidi"/>
              <w:kern w:val="2"/>
              <w:sz w:val="21"/>
            </w:rPr>
          </w:pPr>
          <w:hyperlink w:anchor="_Toc88747121" w:history="1">
            <w:r w:rsidR="009A77F2">
              <w:rPr>
                <w:rStyle w:val="af2"/>
                <w:rFonts w:hAnsi="宋体" w:hint="eastAsia"/>
              </w:rPr>
              <w:t>第二条</w:t>
            </w:r>
            <w:r w:rsidR="009A77F2">
              <w:rPr>
                <w:rStyle w:val="af2"/>
                <w:rFonts w:hAnsi="宋体"/>
              </w:rPr>
              <w:t xml:space="preserve">  </w:t>
            </w:r>
            <w:r w:rsidR="009A77F2">
              <w:rPr>
                <w:rStyle w:val="af2"/>
                <w:rFonts w:hAnsi="宋体" w:hint="eastAsia"/>
              </w:rPr>
              <w:t>理财产品基本情况</w:t>
            </w:r>
            <w:r w:rsidR="009A77F2">
              <w:tab/>
            </w:r>
            <w:r w:rsidR="009A77F2">
              <w:fldChar w:fldCharType="begin"/>
            </w:r>
            <w:r w:rsidR="009A77F2">
              <w:instrText xml:space="preserve"> PAGEREF _Toc88747121 \h </w:instrText>
            </w:r>
            <w:r w:rsidR="009A77F2">
              <w:fldChar w:fldCharType="separate"/>
            </w:r>
            <w:r w:rsidR="009A77F2">
              <w:t>5</w:t>
            </w:r>
            <w:r w:rsidR="009A77F2">
              <w:fldChar w:fldCharType="end"/>
            </w:r>
          </w:hyperlink>
        </w:p>
        <w:p w:rsidR="00EC76A0" w:rsidRDefault="00012C46">
          <w:pPr>
            <w:pStyle w:val="10"/>
            <w:tabs>
              <w:tab w:val="right" w:leader="dot" w:pos="8296"/>
            </w:tabs>
            <w:spacing w:line="360" w:lineRule="auto"/>
            <w:rPr>
              <w:rFonts w:asciiTheme="minorHAnsi" w:eastAsiaTheme="minorEastAsia" w:hAnsiTheme="minorHAnsi" w:cstheme="minorBidi"/>
              <w:kern w:val="2"/>
              <w:sz w:val="21"/>
            </w:rPr>
          </w:pPr>
          <w:hyperlink w:anchor="_Toc88747122" w:history="1">
            <w:r w:rsidR="009A77F2">
              <w:rPr>
                <w:rStyle w:val="af2"/>
                <w:rFonts w:ascii="Times New Roman" w:hint="eastAsia"/>
              </w:rPr>
              <w:t>第三条</w:t>
            </w:r>
            <w:r w:rsidR="009A77F2">
              <w:rPr>
                <w:rStyle w:val="af2"/>
                <w:rFonts w:ascii="Times New Roman"/>
              </w:rPr>
              <w:t xml:space="preserve">  </w:t>
            </w:r>
            <w:r w:rsidR="009A77F2">
              <w:rPr>
                <w:rStyle w:val="af2"/>
                <w:rFonts w:ascii="Times New Roman" w:hint="eastAsia"/>
              </w:rPr>
              <w:t>理财产品的认购</w:t>
            </w:r>
            <w:r w:rsidR="009A77F2">
              <w:tab/>
            </w:r>
            <w:r w:rsidR="009A77F2">
              <w:fldChar w:fldCharType="begin"/>
            </w:r>
            <w:r w:rsidR="009A77F2">
              <w:instrText xml:space="preserve"> PAGEREF _Toc88747122 \h </w:instrText>
            </w:r>
            <w:r w:rsidR="009A77F2">
              <w:fldChar w:fldCharType="separate"/>
            </w:r>
            <w:r w:rsidR="009A77F2">
              <w:t>8</w:t>
            </w:r>
            <w:r w:rsidR="009A77F2">
              <w:fldChar w:fldCharType="end"/>
            </w:r>
          </w:hyperlink>
        </w:p>
        <w:p w:rsidR="00EC76A0" w:rsidRDefault="00012C46">
          <w:pPr>
            <w:pStyle w:val="10"/>
            <w:tabs>
              <w:tab w:val="right" w:leader="dot" w:pos="8296"/>
            </w:tabs>
            <w:spacing w:line="360" w:lineRule="auto"/>
            <w:rPr>
              <w:rFonts w:asciiTheme="minorHAnsi" w:eastAsiaTheme="minorEastAsia" w:hAnsiTheme="minorHAnsi" w:cstheme="minorBidi"/>
              <w:kern w:val="2"/>
              <w:sz w:val="21"/>
            </w:rPr>
          </w:pPr>
          <w:hyperlink w:anchor="_Toc88747123" w:history="1">
            <w:r w:rsidR="009A77F2">
              <w:rPr>
                <w:rStyle w:val="af2"/>
                <w:rFonts w:ascii="Times New Roman" w:hint="eastAsia"/>
              </w:rPr>
              <w:t>第四条</w:t>
            </w:r>
            <w:r w:rsidR="009A77F2">
              <w:rPr>
                <w:rStyle w:val="af2"/>
                <w:rFonts w:ascii="Times New Roman"/>
              </w:rPr>
              <w:t xml:space="preserve">  </w:t>
            </w:r>
            <w:r w:rsidR="009A77F2">
              <w:rPr>
                <w:rStyle w:val="af2"/>
                <w:rFonts w:ascii="Times New Roman" w:hint="eastAsia"/>
              </w:rPr>
              <w:t>理财产品的申购与赎回</w:t>
            </w:r>
            <w:r w:rsidR="009A77F2">
              <w:tab/>
            </w:r>
            <w:r w:rsidR="009A77F2">
              <w:fldChar w:fldCharType="begin"/>
            </w:r>
            <w:r w:rsidR="009A77F2">
              <w:instrText xml:space="preserve"> PAGEREF _Toc88747123 \h </w:instrText>
            </w:r>
            <w:r w:rsidR="009A77F2">
              <w:fldChar w:fldCharType="separate"/>
            </w:r>
            <w:r w:rsidR="009A77F2">
              <w:t>10</w:t>
            </w:r>
            <w:r w:rsidR="009A77F2">
              <w:fldChar w:fldCharType="end"/>
            </w:r>
          </w:hyperlink>
        </w:p>
        <w:p w:rsidR="00EC76A0" w:rsidRDefault="00012C46">
          <w:pPr>
            <w:pStyle w:val="10"/>
            <w:tabs>
              <w:tab w:val="right" w:leader="dot" w:pos="8296"/>
            </w:tabs>
            <w:spacing w:line="360" w:lineRule="auto"/>
            <w:rPr>
              <w:rFonts w:asciiTheme="minorHAnsi" w:eastAsiaTheme="minorEastAsia" w:hAnsiTheme="minorHAnsi" w:cstheme="minorBidi"/>
              <w:kern w:val="2"/>
              <w:sz w:val="21"/>
            </w:rPr>
          </w:pPr>
          <w:hyperlink w:anchor="_Toc88747124" w:history="1">
            <w:r w:rsidR="009A77F2">
              <w:rPr>
                <w:rStyle w:val="af2"/>
                <w:rFonts w:ascii="Times New Roman" w:hint="eastAsia"/>
              </w:rPr>
              <w:t>第五条</w:t>
            </w:r>
            <w:r w:rsidR="009A77F2">
              <w:rPr>
                <w:rStyle w:val="af2"/>
                <w:rFonts w:ascii="Times New Roman"/>
              </w:rPr>
              <w:t xml:space="preserve">  </w:t>
            </w:r>
            <w:r w:rsidR="009A77F2">
              <w:rPr>
                <w:rStyle w:val="af2"/>
                <w:rFonts w:ascii="Times New Roman" w:hint="eastAsia"/>
              </w:rPr>
              <w:t>理财产品的投资</w:t>
            </w:r>
            <w:r w:rsidR="009A77F2">
              <w:tab/>
            </w:r>
            <w:r w:rsidR="009A77F2">
              <w:fldChar w:fldCharType="begin"/>
            </w:r>
            <w:r w:rsidR="009A77F2">
              <w:instrText xml:space="preserve"> PAGEREF _Toc88747124 \h </w:instrText>
            </w:r>
            <w:r w:rsidR="009A77F2">
              <w:fldChar w:fldCharType="separate"/>
            </w:r>
            <w:r w:rsidR="009A77F2">
              <w:t>11</w:t>
            </w:r>
            <w:r w:rsidR="009A77F2">
              <w:fldChar w:fldCharType="end"/>
            </w:r>
          </w:hyperlink>
        </w:p>
        <w:p w:rsidR="00EC76A0" w:rsidRDefault="00012C46">
          <w:pPr>
            <w:pStyle w:val="10"/>
            <w:tabs>
              <w:tab w:val="right" w:leader="dot" w:pos="8296"/>
            </w:tabs>
            <w:spacing w:line="360" w:lineRule="auto"/>
            <w:rPr>
              <w:rFonts w:asciiTheme="minorHAnsi" w:eastAsiaTheme="minorEastAsia" w:hAnsiTheme="minorHAnsi" w:cstheme="minorBidi"/>
              <w:kern w:val="2"/>
              <w:sz w:val="21"/>
            </w:rPr>
          </w:pPr>
          <w:hyperlink w:anchor="_Toc88747125" w:history="1">
            <w:r w:rsidR="009A77F2">
              <w:rPr>
                <w:rStyle w:val="af2"/>
                <w:rFonts w:ascii="Times New Roman" w:hint="eastAsia"/>
              </w:rPr>
              <w:t>第六条</w:t>
            </w:r>
            <w:r w:rsidR="009A77F2">
              <w:rPr>
                <w:rStyle w:val="af2"/>
                <w:rFonts w:ascii="Times New Roman"/>
              </w:rPr>
              <w:t xml:space="preserve">  </w:t>
            </w:r>
            <w:r w:rsidR="009A77F2">
              <w:rPr>
                <w:rStyle w:val="af2"/>
                <w:rFonts w:ascii="Times New Roman" w:hint="eastAsia"/>
              </w:rPr>
              <w:t>理财产品的资产</w:t>
            </w:r>
            <w:r w:rsidR="009A77F2">
              <w:tab/>
            </w:r>
            <w:r w:rsidR="009A77F2">
              <w:fldChar w:fldCharType="begin"/>
            </w:r>
            <w:r w:rsidR="009A77F2">
              <w:instrText xml:space="preserve"> PAGEREF _Toc88747125 \h </w:instrText>
            </w:r>
            <w:r w:rsidR="009A77F2">
              <w:fldChar w:fldCharType="separate"/>
            </w:r>
            <w:r w:rsidR="009A77F2">
              <w:t>14</w:t>
            </w:r>
            <w:r w:rsidR="009A77F2">
              <w:fldChar w:fldCharType="end"/>
            </w:r>
          </w:hyperlink>
        </w:p>
        <w:p w:rsidR="00EC76A0" w:rsidRDefault="00012C46">
          <w:pPr>
            <w:pStyle w:val="10"/>
            <w:tabs>
              <w:tab w:val="right" w:leader="dot" w:pos="8296"/>
            </w:tabs>
            <w:spacing w:line="360" w:lineRule="auto"/>
            <w:rPr>
              <w:rFonts w:asciiTheme="minorHAnsi" w:eastAsiaTheme="minorEastAsia" w:hAnsiTheme="minorHAnsi" w:cstheme="minorBidi"/>
              <w:kern w:val="2"/>
              <w:sz w:val="21"/>
            </w:rPr>
          </w:pPr>
          <w:hyperlink w:anchor="_Toc88747126" w:history="1">
            <w:r w:rsidR="009A77F2">
              <w:rPr>
                <w:rStyle w:val="af2"/>
                <w:rFonts w:ascii="Times New Roman" w:hint="eastAsia"/>
              </w:rPr>
              <w:t>第七条</w:t>
            </w:r>
            <w:r w:rsidR="009A77F2">
              <w:rPr>
                <w:rStyle w:val="af2"/>
                <w:rFonts w:ascii="Times New Roman"/>
              </w:rPr>
              <w:t xml:space="preserve">  </w:t>
            </w:r>
            <w:r w:rsidR="009A77F2">
              <w:rPr>
                <w:rStyle w:val="af2"/>
                <w:rFonts w:ascii="Times New Roman" w:hint="eastAsia"/>
              </w:rPr>
              <w:t>理财产品项下资产的估值</w:t>
            </w:r>
            <w:r w:rsidR="009A77F2">
              <w:tab/>
            </w:r>
            <w:r w:rsidR="009A77F2">
              <w:fldChar w:fldCharType="begin"/>
            </w:r>
            <w:r w:rsidR="009A77F2">
              <w:instrText xml:space="preserve"> PAGEREF _Toc88747126 \h </w:instrText>
            </w:r>
            <w:r w:rsidR="009A77F2">
              <w:fldChar w:fldCharType="separate"/>
            </w:r>
            <w:r w:rsidR="009A77F2">
              <w:t>15</w:t>
            </w:r>
            <w:r w:rsidR="009A77F2">
              <w:fldChar w:fldCharType="end"/>
            </w:r>
          </w:hyperlink>
        </w:p>
        <w:p w:rsidR="00EC76A0" w:rsidRDefault="00012C46">
          <w:pPr>
            <w:pStyle w:val="10"/>
            <w:tabs>
              <w:tab w:val="right" w:leader="dot" w:pos="8296"/>
            </w:tabs>
            <w:spacing w:line="360" w:lineRule="auto"/>
            <w:rPr>
              <w:rFonts w:asciiTheme="minorHAnsi" w:eastAsiaTheme="minorEastAsia" w:hAnsiTheme="minorHAnsi" w:cstheme="minorBidi"/>
              <w:kern w:val="2"/>
              <w:sz w:val="21"/>
            </w:rPr>
          </w:pPr>
          <w:hyperlink w:anchor="_Toc88747127" w:history="1">
            <w:r w:rsidR="009A77F2">
              <w:rPr>
                <w:rStyle w:val="af2"/>
                <w:rFonts w:ascii="Times New Roman" w:hint="eastAsia"/>
              </w:rPr>
              <w:t>第八条</w:t>
            </w:r>
            <w:r w:rsidR="009A77F2">
              <w:rPr>
                <w:rStyle w:val="af2"/>
                <w:rFonts w:ascii="Times New Roman"/>
              </w:rPr>
              <w:t xml:space="preserve">  </w:t>
            </w:r>
            <w:r w:rsidR="009A77F2">
              <w:rPr>
                <w:rStyle w:val="af2"/>
                <w:rFonts w:ascii="Times New Roman" w:hint="eastAsia"/>
              </w:rPr>
              <w:t>理财产品的利益分配</w:t>
            </w:r>
            <w:r w:rsidR="009A77F2">
              <w:tab/>
            </w:r>
            <w:r w:rsidR="009A77F2">
              <w:fldChar w:fldCharType="begin"/>
            </w:r>
            <w:r w:rsidR="009A77F2">
              <w:instrText xml:space="preserve"> PAGEREF _Toc88747127 \h </w:instrText>
            </w:r>
            <w:r w:rsidR="009A77F2">
              <w:fldChar w:fldCharType="separate"/>
            </w:r>
            <w:r w:rsidR="009A77F2">
              <w:t>19</w:t>
            </w:r>
            <w:r w:rsidR="009A77F2">
              <w:fldChar w:fldCharType="end"/>
            </w:r>
          </w:hyperlink>
        </w:p>
        <w:p w:rsidR="00EC76A0" w:rsidRDefault="00012C46">
          <w:pPr>
            <w:pStyle w:val="10"/>
            <w:tabs>
              <w:tab w:val="right" w:leader="dot" w:pos="8296"/>
            </w:tabs>
            <w:spacing w:line="360" w:lineRule="auto"/>
            <w:rPr>
              <w:rFonts w:asciiTheme="minorHAnsi" w:eastAsiaTheme="minorEastAsia" w:hAnsiTheme="minorHAnsi" w:cstheme="minorBidi"/>
              <w:kern w:val="2"/>
              <w:sz w:val="21"/>
            </w:rPr>
          </w:pPr>
          <w:hyperlink w:anchor="_Toc88747128" w:history="1">
            <w:r w:rsidR="009A77F2">
              <w:rPr>
                <w:rStyle w:val="af2"/>
                <w:rFonts w:ascii="Times New Roman" w:hint="eastAsia"/>
              </w:rPr>
              <w:t>第九条</w:t>
            </w:r>
            <w:r w:rsidR="009A77F2">
              <w:rPr>
                <w:rStyle w:val="af2"/>
                <w:rFonts w:ascii="Times New Roman"/>
              </w:rPr>
              <w:t xml:space="preserve">  </w:t>
            </w:r>
            <w:r w:rsidR="009A77F2">
              <w:rPr>
                <w:rStyle w:val="af2"/>
                <w:rFonts w:ascii="Times New Roman" w:hint="eastAsia"/>
              </w:rPr>
              <w:t>理财产品的费用与税收</w:t>
            </w:r>
            <w:r w:rsidR="009A77F2">
              <w:tab/>
            </w:r>
            <w:r w:rsidR="009A77F2">
              <w:fldChar w:fldCharType="begin"/>
            </w:r>
            <w:r w:rsidR="009A77F2">
              <w:instrText xml:space="preserve"> PAGEREF _Toc88747128 \h </w:instrText>
            </w:r>
            <w:r w:rsidR="009A77F2">
              <w:fldChar w:fldCharType="separate"/>
            </w:r>
            <w:r w:rsidR="009A77F2">
              <w:t>20</w:t>
            </w:r>
            <w:r w:rsidR="009A77F2">
              <w:fldChar w:fldCharType="end"/>
            </w:r>
          </w:hyperlink>
        </w:p>
        <w:p w:rsidR="00EC76A0" w:rsidRDefault="00012C46">
          <w:pPr>
            <w:pStyle w:val="10"/>
            <w:tabs>
              <w:tab w:val="right" w:leader="dot" w:pos="8296"/>
            </w:tabs>
            <w:spacing w:line="360" w:lineRule="auto"/>
            <w:rPr>
              <w:rFonts w:asciiTheme="minorHAnsi" w:eastAsiaTheme="minorEastAsia" w:hAnsiTheme="minorHAnsi" w:cstheme="minorBidi"/>
              <w:kern w:val="2"/>
              <w:sz w:val="21"/>
            </w:rPr>
          </w:pPr>
          <w:hyperlink w:anchor="_Toc88747129" w:history="1">
            <w:r w:rsidR="009A77F2">
              <w:rPr>
                <w:rStyle w:val="af2"/>
                <w:rFonts w:hint="eastAsia"/>
              </w:rPr>
              <w:t>第十条</w:t>
            </w:r>
            <w:r w:rsidR="009A77F2">
              <w:rPr>
                <w:rStyle w:val="af2"/>
              </w:rPr>
              <w:t xml:space="preserve">  </w:t>
            </w:r>
            <w:r w:rsidR="009A77F2">
              <w:rPr>
                <w:rStyle w:val="af2"/>
                <w:rFonts w:hint="eastAsia"/>
              </w:rPr>
              <w:t>理财产品的终止与清算</w:t>
            </w:r>
            <w:r w:rsidR="009A77F2">
              <w:tab/>
            </w:r>
            <w:r w:rsidR="009A77F2">
              <w:fldChar w:fldCharType="begin"/>
            </w:r>
            <w:r w:rsidR="009A77F2">
              <w:instrText xml:space="preserve"> PAGEREF _Toc88747129 \h </w:instrText>
            </w:r>
            <w:r w:rsidR="009A77F2">
              <w:fldChar w:fldCharType="separate"/>
            </w:r>
            <w:r w:rsidR="009A77F2">
              <w:t>23</w:t>
            </w:r>
            <w:r w:rsidR="009A77F2">
              <w:fldChar w:fldCharType="end"/>
            </w:r>
          </w:hyperlink>
        </w:p>
        <w:p w:rsidR="00EC76A0" w:rsidRDefault="00012C46">
          <w:pPr>
            <w:pStyle w:val="10"/>
            <w:tabs>
              <w:tab w:val="right" w:leader="dot" w:pos="8296"/>
            </w:tabs>
            <w:spacing w:line="360" w:lineRule="auto"/>
            <w:rPr>
              <w:rFonts w:asciiTheme="minorHAnsi" w:eastAsiaTheme="minorEastAsia" w:hAnsiTheme="minorHAnsi" w:cstheme="minorBidi"/>
              <w:kern w:val="2"/>
              <w:sz w:val="21"/>
            </w:rPr>
          </w:pPr>
          <w:hyperlink w:anchor="_Toc88747130" w:history="1">
            <w:r w:rsidR="009A77F2">
              <w:rPr>
                <w:rStyle w:val="af2"/>
                <w:rFonts w:ascii="Times New Roman" w:hint="eastAsia"/>
              </w:rPr>
              <w:t>第十一条</w:t>
            </w:r>
            <w:r w:rsidR="009A77F2">
              <w:rPr>
                <w:rStyle w:val="af2"/>
                <w:rFonts w:ascii="Times New Roman"/>
              </w:rPr>
              <w:t xml:space="preserve">  </w:t>
            </w:r>
            <w:r w:rsidR="009A77F2">
              <w:rPr>
                <w:rStyle w:val="af2"/>
                <w:rFonts w:ascii="Times New Roman" w:hint="eastAsia"/>
              </w:rPr>
              <w:t>理财产品的信息披露</w:t>
            </w:r>
            <w:r w:rsidR="009A77F2">
              <w:tab/>
            </w:r>
            <w:r w:rsidR="009A77F2">
              <w:fldChar w:fldCharType="begin"/>
            </w:r>
            <w:r w:rsidR="009A77F2">
              <w:instrText xml:space="preserve"> PAGEREF _Toc88747130 \h </w:instrText>
            </w:r>
            <w:r w:rsidR="009A77F2">
              <w:fldChar w:fldCharType="separate"/>
            </w:r>
            <w:r w:rsidR="009A77F2">
              <w:t>25</w:t>
            </w:r>
            <w:r w:rsidR="009A77F2">
              <w:fldChar w:fldCharType="end"/>
            </w:r>
          </w:hyperlink>
        </w:p>
        <w:p w:rsidR="00EC76A0" w:rsidRDefault="00012C46">
          <w:pPr>
            <w:pStyle w:val="10"/>
            <w:tabs>
              <w:tab w:val="right" w:leader="dot" w:pos="8296"/>
            </w:tabs>
            <w:spacing w:line="360" w:lineRule="auto"/>
            <w:rPr>
              <w:rFonts w:asciiTheme="minorHAnsi" w:eastAsiaTheme="minorEastAsia" w:hAnsiTheme="minorHAnsi" w:cstheme="minorBidi"/>
              <w:kern w:val="2"/>
              <w:sz w:val="21"/>
            </w:rPr>
          </w:pPr>
          <w:hyperlink w:anchor="_Toc88747131" w:history="1">
            <w:r w:rsidR="009A77F2">
              <w:rPr>
                <w:rStyle w:val="af2"/>
                <w:rFonts w:ascii="Times New Roman" w:hint="eastAsia"/>
              </w:rPr>
              <w:t>第十二条</w:t>
            </w:r>
            <w:r w:rsidR="009A77F2">
              <w:rPr>
                <w:rStyle w:val="af2"/>
                <w:rFonts w:ascii="Times New Roman"/>
              </w:rPr>
              <w:t xml:space="preserve">  </w:t>
            </w:r>
            <w:r w:rsidR="009A77F2">
              <w:rPr>
                <w:rStyle w:val="af2"/>
                <w:rFonts w:ascii="Times New Roman" w:hint="eastAsia"/>
              </w:rPr>
              <w:t>理财产品的风险揭示</w:t>
            </w:r>
            <w:r w:rsidR="009A77F2">
              <w:tab/>
            </w:r>
            <w:r w:rsidR="009A77F2">
              <w:fldChar w:fldCharType="begin"/>
            </w:r>
            <w:r w:rsidR="009A77F2">
              <w:instrText xml:space="preserve"> PAGEREF _Toc88747131 \h </w:instrText>
            </w:r>
            <w:r w:rsidR="009A77F2">
              <w:fldChar w:fldCharType="separate"/>
            </w:r>
            <w:r w:rsidR="009A77F2">
              <w:t>27</w:t>
            </w:r>
            <w:r w:rsidR="009A77F2">
              <w:fldChar w:fldCharType="end"/>
            </w:r>
          </w:hyperlink>
        </w:p>
        <w:p w:rsidR="00EC76A0" w:rsidRDefault="009A77F2">
          <w:pPr>
            <w:spacing w:line="360" w:lineRule="auto"/>
          </w:pPr>
          <w:r>
            <w:fldChar w:fldCharType="end"/>
          </w:r>
        </w:p>
      </w:sdtContent>
    </w:sdt>
    <w:p w:rsidR="00EC76A0" w:rsidRDefault="00EC76A0">
      <w:pPr>
        <w:widowControl/>
        <w:spacing w:line="360" w:lineRule="auto"/>
        <w:jc w:val="left"/>
        <w:rPr>
          <w:rFonts w:ascii="Times New Roman"/>
          <w:sz w:val="30"/>
        </w:rPr>
      </w:pPr>
    </w:p>
    <w:p w:rsidR="00EC76A0" w:rsidRDefault="00EC76A0">
      <w:pPr>
        <w:widowControl/>
        <w:spacing w:line="360" w:lineRule="auto"/>
        <w:jc w:val="left"/>
        <w:rPr>
          <w:rFonts w:ascii="Times New Roman"/>
          <w:sz w:val="30"/>
        </w:rPr>
        <w:sectPr w:rsidR="00EC76A0">
          <w:headerReference w:type="default" r:id="rId26"/>
          <w:footerReference w:type="default" r:id="rId27"/>
          <w:pgSz w:w="11906" w:h="16838"/>
          <w:pgMar w:top="1276" w:right="1800" w:bottom="1418" w:left="1800" w:header="567" w:footer="850" w:gutter="0"/>
          <w:cols w:space="425"/>
          <w:docGrid w:type="lines" w:linePitch="312"/>
        </w:sectPr>
      </w:pPr>
    </w:p>
    <w:p w:rsidR="00EC76A0" w:rsidRDefault="009A77F2">
      <w:pPr>
        <w:pStyle w:val="1"/>
        <w:spacing w:before="0" w:after="0" w:line="360" w:lineRule="auto"/>
        <w:jc w:val="center"/>
        <w:rPr>
          <w:rFonts w:ascii="Times New Roman"/>
          <w:sz w:val="30"/>
        </w:rPr>
      </w:pPr>
      <w:bookmarkStart w:id="1"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w:t>
      </w:r>
      <w:proofErr w:type="gramStart"/>
      <w:r>
        <w:rPr>
          <w:rFonts w:ascii="黑体" w:eastAsia="黑体" w:hAnsi="黑体" w:hint="eastAsia"/>
          <w:bCs/>
          <w:color w:val="auto"/>
          <w:sz w:val="18"/>
          <w:szCs w:val="18"/>
        </w:rPr>
        <w:t>指兴银</w:t>
      </w:r>
      <w:proofErr w:type="gramEnd"/>
      <w:r>
        <w:rPr>
          <w:rFonts w:ascii="黑体" w:eastAsia="黑体" w:hAnsi="黑体" w:hint="eastAsia"/>
          <w:bCs/>
          <w:color w:val="auto"/>
          <w:sz w:val="18"/>
          <w:szCs w:val="18"/>
        </w:rPr>
        <w:t>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Pr>
          <w:rFonts w:asciiTheme="majorEastAsia" w:eastAsiaTheme="majorEastAsia" w:hAnsiTheme="majorEastAsia" w:hint="eastAsia"/>
          <w:bCs/>
          <w:color w:val="auto"/>
          <w:sz w:val="18"/>
          <w:szCs w:val="18"/>
        </w:rPr>
        <w:t>销售机构的具体名单</w:t>
      </w:r>
      <w:proofErr w:type="gramStart"/>
      <w:r>
        <w:rPr>
          <w:rFonts w:asciiTheme="majorEastAsia" w:eastAsiaTheme="majorEastAsia" w:hAnsiTheme="majorEastAsia" w:hint="eastAsia"/>
          <w:bCs/>
          <w:color w:val="auto"/>
          <w:sz w:val="18"/>
          <w:szCs w:val="18"/>
        </w:rPr>
        <w:t>见产品</w:t>
      </w:r>
      <w:proofErr w:type="gramEnd"/>
      <w:r>
        <w:rPr>
          <w:rFonts w:asciiTheme="majorEastAsia" w:eastAsiaTheme="majorEastAsia" w:hAnsiTheme="majorEastAsia" w:hint="eastAsia"/>
          <w:bCs/>
          <w:color w:val="auto"/>
          <w:sz w:val="18"/>
          <w:szCs w:val="18"/>
        </w:rPr>
        <w:t>管理人届时发布的相关公告及相关《（代理）销售协议书》中的约定。</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w:t>
      </w:r>
      <w:proofErr w:type="gramStart"/>
      <w:r>
        <w:rPr>
          <w:rFonts w:asciiTheme="majorEastAsia" w:eastAsiaTheme="majorEastAsia" w:hAnsiTheme="majorEastAsia" w:hint="eastAsia"/>
          <w:bCs/>
          <w:color w:val="auto"/>
          <w:sz w:val="18"/>
          <w:szCs w:val="18"/>
        </w:rPr>
        <w:t>电子化报告</w:t>
      </w:r>
      <w:proofErr w:type="gramEnd"/>
      <w:r>
        <w:rPr>
          <w:rFonts w:asciiTheme="majorEastAsia" w:eastAsiaTheme="majorEastAsia" w:hAnsiTheme="majorEastAsia" w:hint="eastAsia"/>
          <w:bCs/>
          <w:color w:val="auto"/>
          <w:sz w:val="18"/>
          <w:szCs w:val="18"/>
        </w:rPr>
        <w:t>和信息登记的电子信息系统。</w:t>
      </w:r>
    </w:p>
    <w:p w:rsidR="00EC76A0" w:rsidRDefault="009A77F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：指产品管理人向投资者提供的，用于描述产品特征，约定权利义务的文件。具体指《兴银理财【稳利丰收封闭式固收类】理财产品 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《投资协议书》：指管理人统一编制的《兴银理财【稳利丰收封闭式固收类】理财产品 投资协议书》，以及对该文件的有效修改或补充。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 产品说明书》，以及对该文件的有效修改或补充。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（4）《（代理）销售协议书》：指管理人统一编制的《兴银理财【稳利丰收封闭式固收类】理财产品 （代理）销售协议书》或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（代理）销售协议书》（文件名称以代理销售机构实际编制为准），以及对该文件的有效修改或补充。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 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风险揭示书》（文件名称以代理销售机构实际编制为准），以及对该文件的有效修改或补充。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）《投资者权益须知》：指管理人统一编制的《兴银理财【稳利丰收封闭式固收类】理财产品 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 投资者权益须知》（文件名称以代理销售机构实际编制为准），以及对该文件的有效修改或补充。</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w:t>
      </w:r>
      <w:r>
        <w:rPr>
          <w:rFonts w:asciiTheme="majorEastAsia" w:eastAsiaTheme="majorEastAsia" w:hAnsiTheme="majorEastAsia" w:hint="eastAsia"/>
          <w:bCs/>
          <w:sz w:val="18"/>
          <w:szCs w:val="18"/>
        </w:rPr>
        <w:lastRenderedPageBreak/>
        <w:t>评级结果。</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w:t>
      </w:r>
      <w:proofErr w:type="gramStart"/>
      <w:r>
        <w:rPr>
          <w:rFonts w:asciiTheme="majorEastAsia" w:eastAsiaTheme="majorEastAsia" w:hAnsiTheme="majorEastAsia"/>
          <w:bCs/>
          <w:color w:val="auto"/>
          <w:sz w:val="18"/>
          <w:szCs w:val="18"/>
        </w:rPr>
        <w:t>和</w:t>
      </w:r>
      <w:proofErr w:type="gramEnd"/>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EC76A0" w:rsidRDefault="009A77F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EC76A0" w:rsidRDefault="009A77F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15）利益分配：指产品管理人向投资者进行理财产品利益分配。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16）期间分配：指在理财产品终止日（不含当日）前的理财产品利益分配。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17）终止分配：指在理财产品终止日当日及之后的理财产品利益分配。</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（2）交易日：指银行间市场、证券交易所市场的共同正常开盘交易日。</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proofErr w:type="gramStart"/>
      <w:r>
        <w:rPr>
          <w:rFonts w:hAnsi="宋体"/>
          <w:color w:val="auto"/>
          <w:sz w:val="18"/>
          <w:szCs w:val="18"/>
        </w:rPr>
        <w:t>终</w:t>
      </w:r>
      <w:r>
        <w:rPr>
          <w:rFonts w:hAnsi="宋体" w:hint="eastAsia"/>
          <w:color w:val="auto"/>
          <w:sz w:val="18"/>
          <w:szCs w:val="18"/>
        </w:rPr>
        <w:t>产品</w:t>
      </w:r>
      <w:proofErr w:type="gramEnd"/>
      <w:r>
        <w:rPr>
          <w:rFonts w:hAnsi="宋体" w:hint="eastAsia"/>
          <w:color w:val="auto"/>
          <w:sz w:val="18"/>
          <w:szCs w:val="18"/>
        </w:rPr>
        <w:t>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EC76A0" w:rsidRDefault="009A77F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EC76A0" w:rsidRDefault="009A77F2">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EC76A0" w:rsidRDefault="009A77F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EC76A0" w:rsidRDefault="009A77F2">
      <w:pPr>
        <w:pStyle w:val="1"/>
        <w:spacing w:before="0" w:after="0" w:line="360" w:lineRule="auto"/>
        <w:jc w:val="center"/>
        <w:rPr>
          <w:rFonts w:hAnsi="宋体"/>
          <w:sz w:val="28"/>
          <w:szCs w:val="28"/>
        </w:rPr>
      </w:pPr>
      <w:bookmarkStart w:id="2" w:name="_Toc79154665"/>
      <w:bookmarkStart w:id="3" w:name="_Toc8874712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EC76A0">
        <w:trPr>
          <w:trHeight w:val="401"/>
          <w:jc w:val="center"/>
        </w:trPr>
        <w:tc>
          <w:tcPr>
            <w:tcW w:w="1828" w:type="dxa"/>
            <w:shd w:val="solid" w:color="FFFFFF" w:fill="FFFFFF"/>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EC76A0" w:rsidRDefault="00967C5A">
            <w:pPr>
              <w:spacing w:line="360" w:lineRule="auto"/>
              <w:jc w:val="left"/>
              <w:rPr>
                <w:rFonts w:asciiTheme="minorEastAsia" w:hAnsiTheme="minorEastAsia"/>
                <w:sz w:val="18"/>
                <w:szCs w:val="18"/>
              </w:rPr>
            </w:pPr>
            <w:r w:rsidRPr="00967C5A">
              <w:rPr>
                <w:rFonts w:asciiTheme="minorEastAsia" w:hAnsiTheme="minorEastAsia" w:hint="eastAsia"/>
                <w:sz w:val="18"/>
                <w:szCs w:val="18"/>
              </w:rPr>
              <w:t>兴银</w:t>
            </w:r>
            <w:proofErr w:type="gramStart"/>
            <w:r w:rsidRPr="00967C5A">
              <w:rPr>
                <w:rFonts w:asciiTheme="minorEastAsia" w:hAnsiTheme="minorEastAsia" w:hint="eastAsia"/>
                <w:sz w:val="18"/>
                <w:szCs w:val="18"/>
              </w:rPr>
              <w:t>理财稳利丰收</w:t>
            </w:r>
            <w:proofErr w:type="gramEnd"/>
            <w:r w:rsidRPr="00967C5A">
              <w:rPr>
                <w:rFonts w:asciiTheme="minorEastAsia" w:hAnsiTheme="minorEastAsia" w:hint="eastAsia"/>
                <w:sz w:val="18"/>
                <w:szCs w:val="18"/>
              </w:rPr>
              <w:t>封闭式28号</w:t>
            </w:r>
            <w:proofErr w:type="gramStart"/>
            <w:r w:rsidRPr="00967C5A">
              <w:rPr>
                <w:rFonts w:asciiTheme="minorEastAsia" w:hAnsiTheme="minorEastAsia" w:hint="eastAsia"/>
                <w:sz w:val="18"/>
                <w:szCs w:val="18"/>
              </w:rPr>
              <w:t>固收类理财</w:t>
            </w:r>
            <w:proofErr w:type="gramEnd"/>
            <w:r w:rsidRPr="00967C5A">
              <w:rPr>
                <w:rFonts w:asciiTheme="minorEastAsia" w:hAnsiTheme="minorEastAsia" w:hint="eastAsia"/>
                <w:sz w:val="18"/>
                <w:szCs w:val="18"/>
              </w:rPr>
              <w:t>产品</w:t>
            </w:r>
          </w:p>
        </w:tc>
      </w:tr>
      <w:tr w:rsidR="00EC76A0">
        <w:trPr>
          <w:trHeight w:val="383"/>
          <w:jc w:val="center"/>
        </w:trPr>
        <w:tc>
          <w:tcPr>
            <w:tcW w:w="1828" w:type="dxa"/>
            <w:shd w:val="solid" w:color="FFFFFF" w:fill="FFFFFF"/>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EC76A0" w:rsidRDefault="009A77F2">
            <w:pPr>
              <w:widowControl/>
              <w:spacing w:line="360" w:lineRule="auto"/>
              <w:jc w:val="left"/>
              <w:rPr>
                <w:rFonts w:asciiTheme="minorEastAsia" w:hAnsiTheme="minorEastAsia"/>
                <w:sz w:val="18"/>
                <w:szCs w:val="18"/>
              </w:rPr>
            </w:pPr>
            <w:r>
              <w:rPr>
                <w:rFonts w:asciiTheme="minorEastAsia" w:hAnsiTheme="minorEastAsia"/>
                <w:sz w:val="18"/>
                <w:szCs w:val="18"/>
              </w:rPr>
              <w:t>【</w:t>
            </w:r>
            <w:r w:rsidR="00967C5A" w:rsidRPr="00967C5A">
              <w:rPr>
                <w:rFonts w:asciiTheme="minorEastAsia" w:hAnsiTheme="minorEastAsia" w:hint="eastAsia"/>
                <w:sz w:val="18"/>
                <w:szCs w:val="18"/>
              </w:rPr>
              <w:t>稳利丰收封闭式28号A</w:t>
            </w:r>
            <w:r>
              <w:rPr>
                <w:rFonts w:asciiTheme="minorEastAsia" w:hAnsiTheme="minorEastAsia"/>
                <w:sz w:val="18"/>
                <w:szCs w:val="18"/>
              </w:rPr>
              <w:t>】</w:t>
            </w:r>
            <w:r>
              <w:rPr>
                <w:rFonts w:asciiTheme="minorEastAsia" w:hAnsiTheme="minorEastAsia" w:hint="eastAsia"/>
                <w:sz w:val="18"/>
                <w:szCs w:val="18"/>
              </w:rPr>
              <w:t>（适用【A】类份额）</w:t>
            </w:r>
          </w:p>
        </w:tc>
      </w:tr>
      <w:tr w:rsidR="00EC76A0">
        <w:trPr>
          <w:trHeight w:val="251"/>
          <w:jc w:val="center"/>
        </w:trPr>
        <w:tc>
          <w:tcPr>
            <w:tcW w:w="1828" w:type="dxa"/>
            <w:shd w:val="solid" w:color="FFFFFF" w:fill="FFFFFF"/>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EC76A0" w:rsidRDefault="009A77F2">
            <w:pPr>
              <w:spacing w:line="360" w:lineRule="auto"/>
              <w:jc w:val="left"/>
              <w:rPr>
                <w:rFonts w:asciiTheme="minorEastAsia" w:hAnsiTheme="minorEastAsia"/>
                <w:sz w:val="18"/>
                <w:szCs w:val="18"/>
              </w:rPr>
            </w:pPr>
            <w:r>
              <w:rPr>
                <w:rFonts w:asciiTheme="minorEastAsia" w:hAnsiTheme="minorEastAsia" w:hint="eastAsia"/>
                <w:sz w:val="18"/>
                <w:szCs w:val="18"/>
              </w:rPr>
              <w:t>【</w:t>
            </w:r>
            <w:r w:rsidR="00967C5A" w:rsidRPr="00967C5A">
              <w:rPr>
                <w:rFonts w:asciiTheme="minorEastAsia" w:hAnsiTheme="minorEastAsia"/>
                <w:sz w:val="18"/>
                <w:szCs w:val="18"/>
              </w:rPr>
              <w:t>Z7002022000856</w:t>
            </w:r>
            <w:r>
              <w:rPr>
                <w:rFonts w:asciiTheme="minorEastAsia" w:hAnsiTheme="minorEastAsia" w:hint="eastAsia"/>
                <w:sz w:val="18"/>
                <w:szCs w:val="18"/>
              </w:rPr>
              <w:t>】投资者可依据理财产品登记编码在中国</w:t>
            </w:r>
            <w:proofErr w:type="gramStart"/>
            <w:r>
              <w:rPr>
                <w:rFonts w:asciiTheme="minorEastAsia" w:hAnsiTheme="minorEastAsia" w:hint="eastAsia"/>
                <w:sz w:val="18"/>
                <w:szCs w:val="18"/>
              </w:rPr>
              <w:t>理财网</w:t>
            </w:r>
            <w:proofErr w:type="gramEnd"/>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EC76A0">
        <w:trPr>
          <w:trHeight w:val="251"/>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EC76A0" w:rsidRDefault="009A77F2">
            <w:pPr>
              <w:spacing w:line="360" w:lineRule="auto"/>
              <w:jc w:val="left"/>
              <w:rPr>
                <w:rFonts w:asciiTheme="minorEastAsia" w:hAnsiTheme="minorEastAsia"/>
                <w:sz w:val="18"/>
                <w:szCs w:val="18"/>
              </w:rPr>
            </w:pPr>
            <w:r>
              <w:rPr>
                <w:rFonts w:asciiTheme="minorEastAsia" w:hAnsiTheme="minorEastAsia"/>
                <w:sz w:val="18"/>
                <w:szCs w:val="18"/>
              </w:rPr>
              <w:t>【</w:t>
            </w:r>
            <w:r w:rsidR="00967C5A" w:rsidRPr="00967C5A">
              <w:rPr>
                <w:rFonts w:asciiTheme="minorEastAsia" w:hAnsiTheme="minorEastAsia"/>
                <w:sz w:val="18"/>
                <w:szCs w:val="18"/>
              </w:rPr>
              <w:t>9C310280</w:t>
            </w:r>
            <w:r>
              <w:rPr>
                <w:rFonts w:asciiTheme="minorEastAsia" w:hAnsiTheme="minorEastAsia" w:hint="eastAsia"/>
                <w:sz w:val="18"/>
                <w:szCs w:val="18"/>
              </w:rPr>
              <w:t>】</w:t>
            </w:r>
          </w:p>
        </w:tc>
      </w:tr>
      <w:tr w:rsidR="00EC76A0">
        <w:trPr>
          <w:trHeight w:val="50"/>
          <w:jc w:val="center"/>
        </w:trPr>
        <w:tc>
          <w:tcPr>
            <w:tcW w:w="1828" w:type="dxa"/>
            <w:shd w:val="solid" w:color="FFFFFF" w:fill="FFFFFF"/>
          </w:tcPr>
          <w:p w:rsidR="00EC76A0" w:rsidRDefault="009A77F2">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EC76A0" w:rsidRDefault="009A77F2">
            <w:pPr>
              <w:spacing w:line="360" w:lineRule="auto"/>
              <w:jc w:val="left"/>
              <w:rPr>
                <w:rFonts w:asciiTheme="minorEastAsia" w:hAnsiTheme="minorEastAsia"/>
                <w:sz w:val="18"/>
                <w:szCs w:val="18"/>
              </w:rPr>
            </w:pPr>
            <w:r>
              <w:rPr>
                <w:rFonts w:asciiTheme="minorEastAsia" w:hAnsiTheme="minorEastAsia"/>
                <w:sz w:val="18"/>
                <w:szCs w:val="18"/>
              </w:rPr>
              <w:t>【</w:t>
            </w:r>
            <w:r w:rsidR="00967C5A" w:rsidRPr="00967C5A">
              <w:rPr>
                <w:rFonts w:asciiTheme="minorEastAsia" w:hAnsiTheme="minorEastAsia"/>
                <w:sz w:val="18"/>
                <w:szCs w:val="18"/>
              </w:rPr>
              <w:t>9C31028A</w:t>
            </w:r>
            <w:r>
              <w:rPr>
                <w:rFonts w:asciiTheme="minorEastAsia" w:hAnsiTheme="minorEastAsia"/>
                <w:sz w:val="18"/>
                <w:szCs w:val="18"/>
              </w:rPr>
              <w:t>】</w:t>
            </w:r>
            <w:r>
              <w:rPr>
                <w:rFonts w:asciiTheme="minorEastAsia" w:hAnsiTheme="minorEastAsia" w:hint="eastAsia"/>
                <w:sz w:val="18"/>
                <w:szCs w:val="18"/>
              </w:rPr>
              <w:t>（适用【A】类份额）</w:t>
            </w:r>
          </w:p>
        </w:tc>
      </w:tr>
      <w:tr w:rsidR="00EC76A0">
        <w:trPr>
          <w:trHeight w:val="251"/>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EC76A0" w:rsidRDefault="009A77F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EC76A0" w:rsidRDefault="009A77F2">
            <w:pPr>
              <w:spacing w:line="360" w:lineRule="auto"/>
              <w:rPr>
                <w:rFonts w:ascii="宋体" w:hAnsi="宋体"/>
                <w:bCs/>
                <w:sz w:val="18"/>
                <w:szCs w:val="18"/>
              </w:rPr>
            </w:pPr>
            <w:r>
              <w:rPr>
                <w:rFonts w:ascii="宋体" w:hAnsi="宋体" w:hint="eastAsia"/>
                <w:bCs/>
                <w:sz w:val="18"/>
                <w:szCs w:val="18"/>
              </w:rPr>
              <w:t>（1）销售名称</w:t>
            </w:r>
          </w:p>
          <w:p w:rsidR="00EC76A0" w:rsidRDefault="009A77F2">
            <w:pPr>
              <w:spacing w:line="360" w:lineRule="auto"/>
              <w:rPr>
                <w:rFonts w:ascii="宋体" w:hAnsi="宋体"/>
                <w:bCs/>
                <w:sz w:val="18"/>
                <w:szCs w:val="18"/>
              </w:rPr>
            </w:pPr>
            <w:r>
              <w:rPr>
                <w:rFonts w:ascii="宋体" w:hAnsi="宋体" w:hint="eastAsia"/>
                <w:bCs/>
                <w:sz w:val="18"/>
                <w:szCs w:val="18"/>
              </w:rPr>
              <w:t>（2）收费方式</w:t>
            </w:r>
          </w:p>
          <w:p w:rsidR="00EC76A0" w:rsidRDefault="009A77F2">
            <w:pPr>
              <w:spacing w:line="360" w:lineRule="auto"/>
              <w:rPr>
                <w:rFonts w:ascii="宋体" w:hAnsi="宋体"/>
                <w:bCs/>
                <w:sz w:val="18"/>
                <w:szCs w:val="18"/>
              </w:rPr>
            </w:pPr>
            <w:r>
              <w:rPr>
                <w:rFonts w:ascii="宋体" w:hAnsi="宋体" w:hint="eastAsia"/>
                <w:bCs/>
                <w:sz w:val="18"/>
                <w:szCs w:val="18"/>
              </w:rPr>
              <w:t>（3）销售服务费</w:t>
            </w:r>
          </w:p>
          <w:p w:rsidR="00EC76A0" w:rsidRDefault="009A77F2">
            <w:pPr>
              <w:spacing w:line="360" w:lineRule="auto"/>
              <w:rPr>
                <w:rFonts w:ascii="宋体" w:hAnsi="宋体"/>
                <w:bCs/>
                <w:sz w:val="18"/>
                <w:szCs w:val="18"/>
              </w:rPr>
            </w:pPr>
            <w:r>
              <w:rPr>
                <w:rFonts w:ascii="宋体" w:hAnsi="宋体" w:hint="eastAsia"/>
                <w:bCs/>
                <w:sz w:val="18"/>
                <w:szCs w:val="18"/>
              </w:rPr>
              <w:t>（4）销售代码</w:t>
            </w:r>
          </w:p>
          <w:p w:rsidR="00EC76A0" w:rsidRDefault="009A77F2">
            <w:pPr>
              <w:spacing w:line="360" w:lineRule="auto"/>
              <w:rPr>
                <w:rFonts w:ascii="宋体" w:hAnsi="宋体"/>
                <w:bCs/>
                <w:sz w:val="18"/>
                <w:szCs w:val="18"/>
              </w:rPr>
            </w:pPr>
            <w:r>
              <w:rPr>
                <w:rFonts w:ascii="宋体" w:hAnsi="宋体" w:hint="eastAsia"/>
                <w:bCs/>
                <w:sz w:val="18"/>
                <w:szCs w:val="18"/>
              </w:rPr>
              <w:t>（5）销售对象</w:t>
            </w:r>
          </w:p>
          <w:p w:rsidR="00EC76A0" w:rsidRDefault="009A77F2">
            <w:pPr>
              <w:spacing w:line="360" w:lineRule="auto"/>
              <w:rPr>
                <w:rFonts w:ascii="宋体" w:hAnsi="宋体"/>
                <w:bCs/>
                <w:sz w:val="18"/>
                <w:szCs w:val="18"/>
              </w:rPr>
            </w:pPr>
            <w:r>
              <w:rPr>
                <w:rFonts w:ascii="宋体" w:hAnsi="宋体" w:hint="eastAsia"/>
                <w:bCs/>
                <w:sz w:val="18"/>
                <w:szCs w:val="18"/>
              </w:rPr>
              <w:t>（6）销售起点金额（认购、申购的起点金额）</w:t>
            </w:r>
          </w:p>
          <w:p w:rsidR="00EC76A0" w:rsidRDefault="009A77F2">
            <w:pPr>
              <w:spacing w:line="360" w:lineRule="auto"/>
              <w:rPr>
                <w:rFonts w:ascii="宋体" w:hAnsi="宋体"/>
                <w:bCs/>
                <w:sz w:val="18"/>
                <w:szCs w:val="18"/>
              </w:rPr>
            </w:pPr>
            <w:r>
              <w:rPr>
                <w:rFonts w:ascii="宋体" w:hAnsi="宋体" w:hint="eastAsia"/>
                <w:bCs/>
                <w:sz w:val="18"/>
                <w:szCs w:val="18"/>
              </w:rPr>
              <w:t>（7）投资者认购、申购和赎回的数量限制</w:t>
            </w:r>
          </w:p>
          <w:p w:rsidR="00EC76A0" w:rsidRDefault="009A77F2">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EC76A0" w:rsidRDefault="009A77F2">
            <w:pPr>
              <w:spacing w:line="360" w:lineRule="auto"/>
              <w:rPr>
                <w:rFonts w:ascii="宋体" w:hAnsi="宋体"/>
                <w:bCs/>
                <w:sz w:val="18"/>
                <w:szCs w:val="18"/>
              </w:rPr>
            </w:pPr>
            <w:r>
              <w:rPr>
                <w:rFonts w:ascii="宋体" w:hAnsi="宋体" w:hint="eastAsia"/>
                <w:bCs/>
                <w:sz w:val="18"/>
                <w:szCs w:val="18"/>
              </w:rPr>
              <w:t>（9）分别计算和公告产品份额净值</w:t>
            </w:r>
          </w:p>
          <w:p w:rsidR="00EC76A0" w:rsidRDefault="009A77F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EC76A0" w:rsidRDefault="009A77F2">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宋体" w:hAnsi="宋体" w:hint="eastAsia"/>
                <w:bCs/>
                <w:sz w:val="18"/>
                <w:szCs w:val="18"/>
              </w:rPr>
              <w:t>封闭式</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EC76A0" w:rsidRDefault="009A77F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EC76A0" w:rsidRDefault="009A77F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816" w:type="dxa"/>
            <w:shd w:val="solid" w:color="FFFFFF" w:fill="FFFFFF"/>
            <w:vAlign w:val="center"/>
          </w:tcPr>
          <w:p w:rsidR="00EC76A0" w:rsidRDefault="009A77F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EC76A0" w:rsidRDefault="009A77F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EC76A0" w:rsidRDefault="009A77F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EC76A0" w:rsidRDefault="009A77F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EC76A0" w:rsidRDefault="009A77F2">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EC76A0" w:rsidRDefault="009A77F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EC76A0" w:rsidRDefault="009A77F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EC76A0" w:rsidRDefault="009A77F2">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EC76A0" w:rsidRDefault="009A77F2">
            <w:pPr>
              <w:spacing w:line="360" w:lineRule="auto"/>
              <w:jc w:val="left"/>
              <w:rPr>
                <w:rFonts w:ascii="宋体" w:hAnsi="宋体"/>
                <w:sz w:val="18"/>
                <w:szCs w:val="18"/>
              </w:rPr>
            </w:pPr>
            <w:r>
              <w:rPr>
                <w:rFonts w:ascii="宋体" w:hAnsi="宋体" w:hint="eastAsia"/>
                <w:sz w:val="18"/>
                <w:szCs w:val="18"/>
              </w:rPr>
              <w:t>□ 直销适用</w:t>
            </w:r>
          </w:p>
          <w:p w:rsidR="00EC76A0" w:rsidRDefault="009A77F2">
            <w:pPr>
              <w:spacing w:line="360" w:lineRule="auto"/>
              <w:jc w:val="left"/>
              <w:rPr>
                <w:rFonts w:ascii="宋体" w:hAnsi="宋体"/>
                <w:sz w:val="18"/>
                <w:szCs w:val="18"/>
              </w:rPr>
            </w:pPr>
            <w:r>
              <w:rPr>
                <w:rFonts w:ascii="宋体" w:hAnsi="宋体" w:hint="eastAsia"/>
                <w:sz w:val="18"/>
                <w:szCs w:val="18"/>
              </w:rPr>
              <w:t>本产品由产品管理人销售。</w:t>
            </w:r>
          </w:p>
          <w:p w:rsidR="00EC76A0" w:rsidRDefault="009A77F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EC76A0" w:rsidRDefault="009A77F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EC76A0" w:rsidRDefault="009A77F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w:t>
            </w:r>
          </w:p>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w:t>
            </w:r>
            <w:r>
              <w:rPr>
                <w:rFonts w:asciiTheme="majorEastAsia" w:eastAsiaTheme="majorEastAsia" w:hAnsiTheme="majorEastAsia" w:cs="仿宋_GB2312"/>
                <w:kern w:val="0"/>
                <w:sz w:val="18"/>
                <w:szCs w:val="18"/>
              </w:rPr>
              <w:t>365</w:t>
            </w:r>
            <w:r>
              <w:rPr>
                <w:rFonts w:asciiTheme="majorEastAsia" w:eastAsiaTheme="majorEastAsia" w:hAnsiTheme="majorEastAsia" w:cs="仿宋_GB2312" w:hint="eastAsia"/>
                <w:kern w:val="0"/>
                <w:sz w:val="18"/>
                <w:szCs w:val="18"/>
              </w:rPr>
              <w:t>】天</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816" w:type="dxa"/>
            <w:shd w:val="solid" w:color="FFFFFF" w:fill="FFFFFF"/>
            <w:vAlign w:val="center"/>
          </w:tcPr>
          <w:p w:rsidR="00EC76A0" w:rsidRDefault="009A77F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本产品认购期/募集期为</w:t>
            </w:r>
            <w:r>
              <w:rPr>
                <w:rFonts w:asciiTheme="minorEastAsia" w:hAnsiTheme="minorEastAsia" w:hint="eastAsia"/>
                <w:bCs/>
                <w:sz w:val="18"/>
                <w:szCs w:val="18"/>
              </w:rPr>
              <w:t>：【202</w:t>
            </w:r>
            <w:r>
              <w:rPr>
                <w:rFonts w:asciiTheme="minorEastAsia" w:hAnsiTheme="minorEastAsia"/>
                <w:bCs/>
                <w:sz w:val="18"/>
                <w:szCs w:val="18"/>
              </w:rPr>
              <w:t>3</w:t>
            </w:r>
            <w:r>
              <w:rPr>
                <w:rFonts w:asciiTheme="minorEastAsia" w:hAnsiTheme="minorEastAsia" w:hint="eastAsia"/>
                <w:bCs/>
                <w:sz w:val="18"/>
                <w:szCs w:val="18"/>
              </w:rPr>
              <w:t>】年【</w:t>
            </w:r>
            <w:r w:rsidR="0041270E">
              <w:rPr>
                <w:rFonts w:asciiTheme="minorEastAsia" w:hAnsiTheme="minorEastAsia"/>
                <w:bCs/>
                <w:sz w:val="18"/>
                <w:szCs w:val="18"/>
              </w:rPr>
              <w:t>5</w:t>
            </w:r>
            <w:r>
              <w:rPr>
                <w:rFonts w:asciiTheme="minorEastAsia" w:hAnsiTheme="minorEastAsia" w:hint="eastAsia"/>
                <w:bCs/>
                <w:sz w:val="18"/>
                <w:szCs w:val="18"/>
              </w:rPr>
              <w:t>】月【</w:t>
            </w:r>
            <w:r w:rsidR="00967C5A">
              <w:rPr>
                <w:rFonts w:asciiTheme="minorEastAsia" w:hAnsiTheme="minorEastAsia"/>
                <w:bCs/>
                <w:sz w:val="18"/>
                <w:szCs w:val="18"/>
              </w:rPr>
              <w:t>24</w:t>
            </w:r>
            <w:r>
              <w:rPr>
                <w:rFonts w:asciiTheme="minorEastAsia" w:hAnsiTheme="minorEastAsia" w:hint="eastAsia"/>
                <w:bCs/>
                <w:sz w:val="18"/>
                <w:szCs w:val="18"/>
              </w:rPr>
              <w:t>】日</w:t>
            </w:r>
            <w:r>
              <w:rPr>
                <w:rFonts w:asciiTheme="minorEastAsia" w:hAnsiTheme="minorEastAsia"/>
                <w:bCs/>
                <w:sz w:val="18"/>
                <w:szCs w:val="18"/>
              </w:rPr>
              <w:t>9</w:t>
            </w:r>
            <w:r>
              <w:rPr>
                <w:rFonts w:asciiTheme="minorEastAsia" w:hAnsiTheme="minorEastAsia" w:hint="eastAsia"/>
                <w:bCs/>
                <w:sz w:val="18"/>
                <w:szCs w:val="18"/>
              </w:rPr>
              <w:t>:00至【202</w:t>
            </w:r>
            <w:r>
              <w:rPr>
                <w:rFonts w:asciiTheme="minorEastAsia" w:hAnsiTheme="minorEastAsia"/>
                <w:bCs/>
                <w:sz w:val="18"/>
                <w:szCs w:val="18"/>
              </w:rPr>
              <w:t>3</w:t>
            </w:r>
            <w:r>
              <w:rPr>
                <w:rFonts w:asciiTheme="minorEastAsia" w:hAnsiTheme="minorEastAsia" w:hint="eastAsia"/>
                <w:bCs/>
                <w:sz w:val="18"/>
                <w:szCs w:val="18"/>
              </w:rPr>
              <w:t>】年【</w:t>
            </w:r>
            <w:r w:rsidR="00967C5A">
              <w:rPr>
                <w:rFonts w:asciiTheme="minorEastAsia" w:hAnsiTheme="minorEastAsia"/>
                <w:bCs/>
                <w:sz w:val="18"/>
                <w:szCs w:val="18"/>
              </w:rPr>
              <w:t>6</w:t>
            </w:r>
            <w:r>
              <w:rPr>
                <w:rFonts w:asciiTheme="minorEastAsia" w:hAnsiTheme="minorEastAsia" w:hint="eastAsia"/>
                <w:bCs/>
                <w:sz w:val="18"/>
                <w:szCs w:val="18"/>
              </w:rPr>
              <w:t>】月【</w:t>
            </w:r>
            <w:r w:rsidR="00967C5A">
              <w:rPr>
                <w:rFonts w:asciiTheme="minorEastAsia" w:hAnsiTheme="minorEastAsia"/>
                <w:bCs/>
                <w:sz w:val="18"/>
                <w:szCs w:val="18"/>
              </w:rPr>
              <w:t>6</w:t>
            </w:r>
            <w:r>
              <w:rPr>
                <w:rFonts w:asciiTheme="minorEastAsia" w:hAnsiTheme="minorEastAsia" w:hint="eastAsia"/>
                <w:bCs/>
                <w:sz w:val="18"/>
                <w:szCs w:val="18"/>
              </w:rPr>
              <w:t>】日17:00。</w:t>
            </w:r>
          </w:p>
          <w:p w:rsidR="00EC76A0" w:rsidRDefault="009A77F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EC76A0" w:rsidRDefault="009A77F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募集期内资金按照活期存款利息计息，认购期/募集期内的利息不计入认购资金</w:t>
            </w:r>
            <w:r>
              <w:rPr>
                <w:rFonts w:ascii="宋体" w:hAnsi="宋体" w:hint="eastAsia"/>
                <w:sz w:val="18"/>
              </w:rPr>
              <w:t>。</w:t>
            </w:r>
          </w:p>
          <w:p w:rsidR="00EC76A0" w:rsidRDefault="009A77F2">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注：关于代理销售机构的实际工作服务时段的提示</w:t>
            </w:r>
          </w:p>
          <w:p w:rsidR="00EC76A0" w:rsidRDefault="009A77F2">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lastRenderedPageBreak/>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EC76A0" w:rsidRDefault="009A77F2">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EC76A0" w:rsidRDefault="009A77F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023】年【</w:t>
            </w:r>
            <w:r w:rsidR="00967C5A">
              <w:rPr>
                <w:rFonts w:asciiTheme="minorEastAsia" w:hAnsiTheme="minorEastAsia" w:cs="Times New Roman"/>
                <w:sz w:val="18"/>
                <w:szCs w:val="18"/>
              </w:rPr>
              <w:t>6</w:t>
            </w:r>
            <w:r>
              <w:rPr>
                <w:rFonts w:asciiTheme="minorEastAsia" w:hAnsiTheme="minorEastAsia" w:cs="Times New Roman" w:hint="eastAsia"/>
                <w:sz w:val="18"/>
                <w:szCs w:val="18"/>
              </w:rPr>
              <w:t>】月【</w:t>
            </w:r>
            <w:r w:rsidR="00967C5A">
              <w:rPr>
                <w:rFonts w:asciiTheme="minorEastAsia" w:hAnsiTheme="minorEastAsia" w:cs="Times New Roman"/>
                <w:sz w:val="18"/>
                <w:szCs w:val="18"/>
              </w:rPr>
              <w:t>7</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C76A0" w:rsidRDefault="009A77F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EC76A0" w:rsidRDefault="009A77F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024】年【</w:t>
            </w:r>
            <w:r w:rsidR="00967C5A">
              <w:rPr>
                <w:rFonts w:asciiTheme="minorEastAsia" w:hAnsiTheme="minorEastAsia" w:cs="Times New Roman"/>
                <w:sz w:val="18"/>
                <w:szCs w:val="18"/>
              </w:rPr>
              <w:t>6</w:t>
            </w:r>
            <w:r>
              <w:rPr>
                <w:rFonts w:asciiTheme="minorEastAsia" w:hAnsiTheme="minorEastAsia" w:cs="Times New Roman" w:hint="eastAsia"/>
                <w:sz w:val="18"/>
                <w:szCs w:val="18"/>
              </w:rPr>
              <w:t>】月【</w:t>
            </w:r>
            <w:r w:rsidR="00967C5A">
              <w:rPr>
                <w:rFonts w:asciiTheme="minorEastAsia" w:hAnsiTheme="minorEastAsia" w:cs="Times New Roman"/>
                <w:sz w:val="18"/>
                <w:szCs w:val="18"/>
              </w:rPr>
              <w:t>6</w:t>
            </w:r>
            <w:bookmarkStart w:id="4" w:name="_GoBack"/>
            <w:bookmarkEnd w:id="4"/>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C76A0" w:rsidRDefault="009A77F2">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购买起点金额为【1】元；超出起点金额的部分以【0</w:t>
            </w:r>
            <w:r>
              <w:rPr>
                <w:rFonts w:asciiTheme="majorEastAsia" w:eastAsiaTheme="majorEastAsia" w:hAnsiTheme="majorEastAsia"/>
                <w:bCs/>
                <w:sz w:val="18"/>
                <w:szCs w:val="18"/>
              </w:rPr>
              <w:t>.01</w:t>
            </w:r>
            <w:r>
              <w:rPr>
                <w:rFonts w:asciiTheme="majorEastAsia" w:eastAsiaTheme="majorEastAsia" w:hAnsiTheme="majorEastAsia" w:hint="eastAsia"/>
                <w:bCs/>
                <w:sz w:val="18"/>
                <w:szCs w:val="18"/>
              </w:rPr>
              <w:t>】元的整数</w:t>
            </w:r>
            <w:proofErr w:type="gramStart"/>
            <w:r>
              <w:rPr>
                <w:rFonts w:asciiTheme="majorEastAsia" w:eastAsiaTheme="majorEastAsia" w:hAnsiTheme="majorEastAsia" w:hint="eastAsia"/>
                <w:bCs/>
                <w:sz w:val="18"/>
                <w:szCs w:val="18"/>
              </w:rPr>
              <w:t>倍</w:t>
            </w:r>
            <w:proofErr w:type="gramEnd"/>
            <w:r>
              <w:rPr>
                <w:rFonts w:asciiTheme="majorEastAsia" w:eastAsiaTheme="majorEastAsia" w:hAnsiTheme="majorEastAsia" w:hint="eastAsia"/>
                <w:bCs/>
                <w:sz w:val="18"/>
                <w:szCs w:val="18"/>
              </w:rPr>
              <w:t>递增。</w:t>
            </w:r>
            <w:r>
              <w:rPr>
                <w:rFonts w:asciiTheme="majorEastAsia" w:eastAsiaTheme="majorEastAsia" w:hAnsiTheme="majorEastAsia" w:hint="eastAsia"/>
                <w:bCs/>
                <w:color w:val="000000" w:themeColor="text1"/>
                <w:sz w:val="18"/>
                <w:szCs w:val="18"/>
              </w:rPr>
              <w:t>（适用【A】类份额）</w:t>
            </w:r>
          </w:p>
          <w:p w:rsidR="00EC76A0" w:rsidRDefault="009A77F2">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EC76A0" w:rsidRDefault="009A77F2">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EC76A0" w:rsidRDefault="009A77F2">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EC76A0" w:rsidRDefault="009A77F2">
            <w:pPr>
              <w:pStyle w:val="Default"/>
              <w:spacing w:line="360" w:lineRule="auto"/>
              <w:rPr>
                <w:rFonts w:hAnsi="宋体"/>
                <w:bCs/>
                <w:sz w:val="18"/>
                <w:szCs w:val="18"/>
              </w:rPr>
            </w:pPr>
            <w:r>
              <w:rPr>
                <w:rFonts w:hAnsi="宋体" w:hint="eastAsia"/>
                <w:bCs/>
                <w:sz w:val="18"/>
                <w:szCs w:val="18"/>
              </w:rPr>
              <w:t>（适用【A】类份额）</w:t>
            </w:r>
          </w:p>
          <w:p w:rsidR="00EC76A0" w:rsidRDefault="009A77F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EC76A0" w:rsidRDefault="009A77F2">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EC76A0" w:rsidRDefault="009A77F2">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EC76A0" w:rsidRDefault="009A77F2">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EC76A0" w:rsidRDefault="009A77F2">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EC76A0" w:rsidRDefault="009A77F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816" w:type="dxa"/>
            <w:shd w:val="solid" w:color="FFFFFF" w:fill="FFFFFF"/>
            <w:vAlign w:val="center"/>
          </w:tcPr>
          <w:p w:rsidR="00EC76A0" w:rsidRDefault="009A77F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w:t>
            </w:r>
            <w:r>
              <w:rPr>
                <w:rFonts w:asciiTheme="majorEastAsia" w:eastAsiaTheme="majorEastAsia" w:hAnsiTheme="majorEastAsia"/>
                <w:bCs/>
                <w:sz w:val="18"/>
                <w:szCs w:val="18"/>
              </w:rPr>
              <w:lastRenderedPageBreak/>
              <w:t>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EC76A0" w:rsidRDefault="009A77F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EC76A0">
        <w:trPr>
          <w:trHeight w:val="1078"/>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hint="eastAsia"/>
                <w:sz w:val="18"/>
                <w:szCs w:val="18"/>
              </w:rPr>
              <w:lastRenderedPageBreak/>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EC76A0" w:rsidRDefault="009A77F2">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w:t>
            </w:r>
            <w:r w:rsidR="0041270E">
              <w:rPr>
                <w:rFonts w:ascii="宋体" w:hAnsi="宋体" w:hint="eastAsia"/>
                <w:bCs/>
                <w:sz w:val="18"/>
                <w:szCs w:val="18"/>
              </w:rPr>
              <w:t>债权类</w:t>
            </w:r>
            <w:r>
              <w:rPr>
                <w:rFonts w:ascii="宋体" w:hAnsi="宋体" w:hint="eastAsia"/>
                <w:bCs/>
                <w:sz w:val="18"/>
                <w:szCs w:val="18"/>
              </w:rPr>
              <w:t>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EC76A0" w:rsidRDefault="009A77F2">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EC76A0" w:rsidRDefault="009A77F2">
            <w:pPr>
              <w:spacing w:line="360" w:lineRule="auto"/>
              <w:jc w:val="left"/>
              <w:rPr>
                <w:rFonts w:ascii="宋体" w:hAnsi="宋体"/>
                <w:bCs/>
                <w:sz w:val="18"/>
                <w:szCs w:val="18"/>
              </w:rPr>
            </w:pPr>
            <w:proofErr w:type="gramStart"/>
            <w:r>
              <w:rPr>
                <w:rFonts w:ascii="宋体" w:hAnsi="宋体" w:hint="eastAsia"/>
                <w:bCs/>
                <w:sz w:val="18"/>
                <w:szCs w:val="18"/>
              </w:rPr>
              <w:t>年化</w:t>
            </w:r>
            <w:r>
              <w:rPr>
                <w:rFonts w:ascii="宋体" w:hAnsi="宋体"/>
                <w:bCs/>
                <w:sz w:val="18"/>
                <w:szCs w:val="18"/>
              </w:rPr>
              <w:t>【</w:t>
            </w:r>
            <w:r w:rsidR="0041270E">
              <w:rPr>
                <w:rFonts w:ascii="宋体" w:hAnsi="宋体"/>
                <w:bCs/>
                <w:sz w:val="18"/>
                <w:szCs w:val="18"/>
              </w:rPr>
              <w:t>3.4</w:t>
            </w:r>
            <w:r>
              <w:rPr>
                <w:rFonts w:ascii="宋体" w:hAnsi="宋体"/>
                <w:bCs/>
                <w:sz w:val="18"/>
                <w:szCs w:val="18"/>
              </w:rPr>
              <w:t>%</w:t>
            </w:r>
            <w:r>
              <w:rPr>
                <w:rFonts w:ascii="宋体" w:hAnsi="宋体" w:hint="eastAsia"/>
                <w:bCs/>
                <w:sz w:val="18"/>
                <w:szCs w:val="18"/>
              </w:rPr>
              <w:t>-</w:t>
            </w:r>
            <w:r w:rsidR="0041270E">
              <w:rPr>
                <w:rFonts w:ascii="宋体" w:hAnsi="宋体"/>
                <w:bCs/>
                <w:sz w:val="18"/>
                <w:szCs w:val="18"/>
              </w:rPr>
              <w:t>4.2</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。（适用【A】类份额）</w:t>
            </w:r>
          </w:p>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3.业绩比较基准的提示：</w:t>
            </w:r>
          </w:p>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EC76A0">
        <w:trPr>
          <w:trHeight w:val="1078"/>
          <w:jc w:val="center"/>
        </w:trPr>
        <w:tc>
          <w:tcPr>
            <w:tcW w:w="1828" w:type="dxa"/>
            <w:shd w:val="solid" w:color="FFFFFF" w:fill="FFFFFF"/>
            <w:vAlign w:val="center"/>
          </w:tcPr>
          <w:p w:rsidR="00EC76A0" w:rsidRDefault="009A77F2">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EC76A0" w:rsidRDefault="009A77F2">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EC76A0" w:rsidRDefault="009A77F2">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【0】。</w:t>
            </w:r>
          </w:p>
          <w:p w:rsidR="00EC76A0" w:rsidRDefault="009A77F2">
            <w:pPr>
              <w:spacing w:line="360" w:lineRule="auto"/>
              <w:rPr>
                <w:rFonts w:ascii="宋体" w:hAnsi="宋体"/>
                <w:b/>
                <w:bCs/>
                <w:color w:val="000000" w:themeColor="text1"/>
                <w:sz w:val="18"/>
                <w:szCs w:val="18"/>
              </w:rPr>
            </w:pPr>
            <w:r>
              <w:rPr>
                <w:rFonts w:asciiTheme="majorEastAsia" w:eastAsiaTheme="majorEastAsia" w:hAnsiTheme="majorEastAsia"/>
                <w:b/>
                <w:bCs/>
                <w:color w:val="000000" w:themeColor="text1"/>
                <w:sz w:val="18"/>
                <w:szCs w:val="18"/>
              </w:rPr>
              <w:t>2.销售服</w:t>
            </w:r>
            <w:r>
              <w:rPr>
                <w:rFonts w:ascii="宋体" w:hAnsi="宋体" w:hint="eastAsia"/>
                <w:b/>
                <w:bCs/>
                <w:color w:val="000000" w:themeColor="text1"/>
                <w:sz w:val="18"/>
                <w:szCs w:val="18"/>
              </w:rPr>
              <w:t>务费：</w:t>
            </w:r>
          </w:p>
          <w:p w:rsidR="00EC76A0" w:rsidRDefault="009A77F2">
            <w:pPr>
              <w:spacing w:line="360" w:lineRule="auto"/>
              <w:rPr>
                <w:rFonts w:ascii="宋体" w:hAnsi="宋体"/>
                <w:bCs/>
                <w:color w:val="000000" w:themeColor="text1"/>
                <w:sz w:val="18"/>
                <w:szCs w:val="18"/>
              </w:rPr>
            </w:pP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.25</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C76A0" w:rsidRDefault="009A77F2">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.14】</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C76A0" w:rsidRDefault="009A77F2">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C76A0" w:rsidRDefault="009A77F2">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EC76A0" w:rsidRDefault="009A77F2">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EC76A0" w:rsidRDefault="009A77F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816" w:type="dxa"/>
            <w:shd w:val="solid" w:color="FFFFFF" w:fill="FFFFFF"/>
            <w:vAlign w:val="center"/>
          </w:tcPr>
          <w:p w:rsidR="00EC76A0" w:rsidRDefault="009A77F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EC76A0" w:rsidRDefault="009A77F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EC76A0" w:rsidRDefault="009A77F2">
      <w:pPr>
        <w:pStyle w:val="1"/>
        <w:spacing w:before="0" w:after="0" w:line="360" w:lineRule="auto"/>
        <w:jc w:val="center"/>
        <w:rPr>
          <w:rFonts w:ascii="Times New Roman"/>
          <w:sz w:val="30"/>
        </w:rPr>
      </w:pPr>
      <w:bookmarkStart w:id="5" w:name="_Toc88747122"/>
      <w:bookmarkStart w:id="6" w:name="_Toc79154666"/>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EC76A0" w:rsidRDefault="009A77F2">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proofErr w:type="gramStart"/>
      <w:r>
        <w:rPr>
          <w:rFonts w:asciiTheme="minorEastAsia" w:eastAsiaTheme="minorEastAsia" w:hAnsiTheme="minorEastAsia" w:hint="eastAsia"/>
          <w:color w:val="auto"/>
          <w:sz w:val="18"/>
          <w:szCs w:val="18"/>
        </w:rPr>
        <w:t>定进行</w:t>
      </w:r>
      <w:proofErr w:type="gramEnd"/>
      <w:r>
        <w:rPr>
          <w:rFonts w:asciiTheme="minorEastAsia" w:eastAsiaTheme="minorEastAsia" w:hAnsiTheme="minorEastAsia" w:hint="eastAsia"/>
          <w:color w:val="auto"/>
          <w:sz w:val="18"/>
          <w:szCs w:val="18"/>
        </w:rPr>
        <w:t>公告。</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w:t>
      </w:r>
      <w:proofErr w:type="gramStart"/>
      <w:r>
        <w:rPr>
          <w:rFonts w:asciiTheme="minorEastAsia" w:eastAsiaTheme="minorEastAsia" w:hAnsiTheme="minorEastAsia" w:hint="eastAsia"/>
          <w:color w:val="auto"/>
          <w:sz w:val="18"/>
          <w:szCs w:val="18"/>
        </w:rPr>
        <w:t>上渠道</w:t>
      </w:r>
      <w:proofErr w:type="gramEnd"/>
      <w:r>
        <w:rPr>
          <w:rFonts w:asciiTheme="minorEastAsia" w:eastAsiaTheme="minorEastAsia" w:hAnsiTheme="minorEastAsia" w:hint="eastAsia"/>
          <w:color w:val="auto"/>
          <w:sz w:val="18"/>
          <w:szCs w:val="18"/>
        </w:rPr>
        <w:t>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w:t>
      </w:r>
      <w:proofErr w:type="gramStart"/>
      <w:r>
        <w:rPr>
          <w:rFonts w:asciiTheme="minorEastAsia" w:hAnsiTheme="minorEastAsia" w:hint="eastAsia"/>
          <w:bCs/>
          <w:color w:val="auto"/>
          <w:sz w:val="18"/>
          <w:szCs w:val="18"/>
        </w:rPr>
        <w:t>上渠道</w:t>
      </w:r>
      <w:proofErr w:type="gramEnd"/>
      <w:r>
        <w:rPr>
          <w:rFonts w:asciiTheme="minorEastAsia" w:hAnsiTheme="minorEastAsia" w:hint="eastAsia"/>
          <w:bCs/>
          <w:color w:val="auto"/>
          <w:sz w:val="18"/>
          <w:szCs w:val="18"/>
        </w:rPr>
        <w:t>的具体要求执行。</w:t>
      </w:r>
    </w:p>
    <w:p w:rsidR="00EC76A0" w:rsidRDefault="009A77F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EC76A0">
        <w:trPr>
          <w:jc w:val="center"/>
        </w:trPr>
        <w:tc>
          <w:tcPr>
            <w:tcW w:w="1984" w:type="dxa"/>
            <w:vAlign w:val="center"/>
          </w:tcPr>
          <w:p w:rsidR="00EC76A0" w:rsidRDefault="009A77F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EC76A0" w:rsidRDefault="009A77F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EC76A0" w:rsidRDefault="009A77F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EC76A0">
        <w:trPr>
          <w:jc w:val="center"/>
        </w:trPr>
        <w:tc>
          <w:tcPr>
            <w:tcW w:w="1984" w:type="dxa"/>
            <w:vAlign w:val="center"/>
          </w:tcPr>
          <w:p w:rsidR="00EC76A0" w:rsidRDefault="009A77F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EC76A0" w:rsidRDefault="009A77F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EC76A0" w:rsidRDefault="009A77F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w:t>
      </w:r>
      <w:proofErr w:type="gramStart"/>
      <w:r>
        <w:rPr>
          <w:rFonts w:asciiTheme="minorEastAsia" w:eastAsiaTheme="minorEastAsia" w:hAnsiTheme="minorEastAsia" w:hint="eastAsia"/>
          <w:bCs/>
          <w:sz w:val="18"/>
          <w:szCs w:val="18"/>
        </w:rPr>
        <w:t>日系统</w:t>
      </w:r>
      <w:proofErr w:type="gramEnd"/>
      <w:r>
        <w:rPr>
          <w:rFonts w:asciiTheme="minorEastAsia" w:eastAsiaTheme="minorEastAsia" w:hAnsiTheme="minorEastAsia" w:hint="eastAsia"/>
          <w:bCs/>
          <w:sz w:val="18"/>
          <w:szCs w:val="18"/>
        </w:rPr>
        <w:t>完成处理后，查询产品份额。</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EC76A0" w:rsidRDefault="009A77F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EC76A0" w:rsidRDefault="009A77F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C76A0" w:rsidRDefault="009A77F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EC76A0" w:rsidRDefault="009A77F2">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投资者认购资金在产品认购期内按照活期存款利率计息，但在产品认购期所产生的利息不作为理财资金进入理财运作，不计算理财利益。</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w:t>
      </w:r>
      <w:proofErr w:type="gramStart"/>
      <w:r>
        <w:rPr>
          <w:rFonts w:asciiTheme="majorEastAsia" w:eastAsiaTheme="majorEastAsia" w:hAnsiTheme="majorEastAsia"/>
          <w:color w:val="auto"/>
          <w:sz w:val="18"/>
          <w:szCs w:val="18"/>
        </w:rPr>
        <w:t>上渠道</w:t>
      </w:r>
      <w:proofErr w:type="gramEnd"/>
      <w:r>
        <w:rPr>
          <w:rFonts w:asciiTheme="majorEastAsia" w:eastAsiaTheme="majorEastAsia" w:hAnsiTheme="majorEastAsia"/>
          <w:color w:val="auto"/>
          <w:sz w:val="18"/>
          <w:szCs w:val="18"/>
        </w:rPr>
        <w:t>确认的结果为准。</w:t>
      </w:r>
    </w:p>
    <w:p w:rsidR="00EC76A0" w:rsidRDefault="009A77F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EC76A0" w:rsidRDefault="009A77F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w:t>
      </w:r>
      <w:proofErr w:type="gramStart"/>
      <w:r>
        <w:rPr>
          <w:rFonts w:asciiTheme="majorEastAsia" w:eastAsiaTheme="majorEastAsia" w:hAnsiTheme="majorEastAsia" w:hint="eastAsia"/>
          <w:b/>
          <w:color w:val="auto"/>
          <w:sz w:val="18"/>
          <w:szCs w:val="18"/>
        </w:rPr>
        <w:t>日期遇非工作日</w:t>
      </w:r>
      <w:proofErr w:type="gramEnd"/>
      <w:r>
        <w:rPr>
          <w:rFonts w:asciiTheme="majorEastAsia" w:eastAsiaTheme="majorEastAsia" w:hAnsiTheme="majorEastAsia" w:hint="eastAsia"/>
          <w:b/>
          <w:color w:val="auto"/>
          <w:sz w:val="18"/>
          <w:szCs w:val="18"/>
        </w:rPr>
        <w:t>的调整</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w:t>
      </w:r>
      <w:proofErr w:type="gramStart"/>
      <w:r>
        <w:rPr>
          <w:rFonts w:asciiTheme="majorEastAsia" w:eastAsiaTheme="majorEastAsia" w:hAnsiTheme="majorEastAsia" w:hint="eastAsia"/>
          <w:color w:val="auto"/>
          <w:sz w:val="18"/>
          <w:szCs w:val="18"/>
        </w:rPr>
        <w:t>如遇非工作日</w:t>
      </w:r>
      <w:proofErr w:type="gramEnd"/>
      <w:r>
        <w:rPr>
          <w:rFonts w:asciiTheme="majorEastAsia" w:eastAsiaTheme="majorEastAsia" w:hAnsiTheme="majorEastAsia" w:hint="eastAsia"/>
          <w:color w:val="auto"/>
          <w:sz w:val="18"/>
          <w:szCs w:val="18"/>
        </w:rPr>
        <w:t>则产品管理人可做相应调整。产品管理人对上述日期保留变更的权利，调整后的日期以产品管理人发布的公告中所载明的日期为准。</w:t>
      </w:r>
    </w:p>
    <w:p w:rsidR="00EC76A0" w:rsidRDefault="009A77F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C76A0" w:rsidRDefault="00EC76A0">
      <w:pPr>
        <w:spacing w:line="360" w:lineRule="auto"/>
        <w:ind w:firstLineChars="200" w:firstLine="360"/>
        <w:rPr>
          <w:rFonts w:asciiTheme="minorEastAsia" w:hAnsiTheme="minorEastAsia"/>
          <w:bCs/>
          <w:sz w:val="18"/>
          <w:szCs w:val="18"/>
        </w:rPr>
      </w:pPr>
    </w:p>
    <w:p w:rsidR="00EC76A0" w:rsidRDefault="009A77F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EC76A0" w:rsidRDefault="009A77F2">
      <w:pPr>
        <w:pStyle w:val="1"/>
        <w:spacing w:before="0" w:after="0" w:line="360" w:lineRule="auto"/>
        <w:jc w:val="center"/>
        <w:rPr>
          <w:rFonts w:ascii="Times New Roman"/>
          <w:sz w:val="30"/>
        </w:rPr>
      </w:pPr>
      <w:bookmarkStart w:id="10" w:name="_Toc4771"/>
      <w:bookmarkStart w:id="11" w:name="_Toc88747123"/>
      <w:bookmarkStart w:id="12" w:name="_Toc3266"/>
      <w:bookmarkStart w:id="13" w:name="_Toc74065741"/>
      <w:bookmarkStart w:id="14" w:name="_Toc29784"/>
      <w:bookmarkStart w:id="15" w:name="_Toc29948"/>
      <w:bookmarkStart w:id="16" w:name="_Toc90742390"/>
      <w:bookmarkStart w:id="17" w:name="_Toc27226"/>
      <w:bookmarkStart w:id="18" w:name="_Toc90742321"/>
      <w:bookmarkStart w:id="19" w:name="_Toc16265"/>
      <w:bookmarkStart w:id="20" w:name="_Toc7151"/>
      <w:bookmarkStart w:id="21" w:name="_Toc6714"/>
      <w:bookmarkStart w:id="22" w:name="_Toc79154668"/>
      <w:bookmarkStart w:id="23" w:name="_Toc22074"/>
      <w:bookmarkStart w:id="24" w:name="_Toc90742688"/>
      <w:bookmarkStart w:id="25" w:name="_Toc27189"/>
      <w:bookmarkStart w:id="26" w:name="_Toc15203"/>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EC76A0" w:rsidRDefault="009A77F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C76A0" w:rsidRDefault="009A77F2">
      <w:pPr>
        <w:pStyle w:val="1"/>
        <w:spacing w:before="0" w:after="0" w:line="360" w:lineRule="auto"/>
        <w:jc w:val="center"/>
        <w:rPr>
          <w:rFonts w:ascii="Times New Roman"/>
          <w:sz w:val="30"/>
        </w:rPr>
      </w:pPr>
      <w:bookmarkStart w:id="27" w:name="_Toc88747124"/>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EC76A0" w:rsidRDefault="009A77F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EC76A0" w:rsidRDefault="009A77F2">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（1）银行存款、债券逆回购、货币基金等货币市场工具及其它银行间和交易所资金融通工具；</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本产品投资于</w:t>
      </w:r>
      <w:r w:rsidR="0041270E">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资产的比例不低于产品总资产的80%。</w:t>
      </w:r>
      <w:r>
        <w:rPr>
          <w:rFonts w:asciiTheme="majorEastAsia" w:eastAsiaTheme="majorEastAsia" w:hAnsiTheme="majorEastAsia"/>
          <w:bCs/>
          <w:sz w:val="18"/>
          <w:szCs w:val="18"/>
        </w:rPr>
        <w:t xml:space="preserve"> </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注：本产品可能投资不存在活跃交易市场，并且需要采用估值技术确定公允价值的资产，且投资上述资产的比例达到理财产品净资产50%以上。</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.如果法律法规对本协议约定投资组合比例限制进行变更的，以变更后的规定为准。</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w:t>
      </w:r>
      <w:proofErr w:type="gramStart"/>
      <w:r>
        <w:rPr>
          <w:rFonts w:asciiTheme="majorEastAsia" w:eastAsiaTheme="majorEastAsia" w:hAnsiTheme="majorEastAsia" w:hint="eastAsia"/>
          <w:bCs/>
          <w:sz w:val="18"/>
          <w:szCs w:val="18"/>
        </w:rPr>
        <w:t>定及时</w:t>
      </w:r>
      <w:proofErr w:type="gramEnd"/>
      <w:r>
        <w:rPr>
          <w:rFonts w:asciiTheme="majorEastAsia" w:eastAsiaTheme="majorEastAsia" w:hAnsiTheme="majorEastAsia" w:hint="eastAsia"/>
          <w:bCs/>
          <w:sz w:val="18"/>
          <w:szCs w:val="18"/>
        </w:rPr>
        <w:t>向投资者进行信息披露。</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EC76A0" w:rsidRDefault="009A77F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w:t>
      </w:r>
      <w:proofErr w:type="gramStart"/>
      <w:r>
        <w:rPr>
          <w:rFonts w:ascii="黑体" w:eastAsia="黑体" w:hAnsi="黑体"/>
          <w:bCs/>
          <w:sz w:val="18"/>
          <w:szCs w:val="18"/>
        </w:rPr>
        <w:t>作出</w:t>
      </w:r>
      <w:proofErr w:type="gramEnd"/>
      <w:r>
        <w:rPr>
          <w:rFonts w:ascii="黑体" w:eastAsia="黑体" w:hAnsi="黑体"/>
          <w:bCs/>
          <w:sz w:val="18"/>
          <w:szCs w:val="18"/>
        </w:rPr>
        <w:t>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EC76A0" w:rsidRDefault="009A77F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）本产品因为流动性需要可开展存单质押、债券正回购等融资业务，本产品总资产不超过净资产的200%。</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EC76A0" w:rsidRDefault="009A77F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w:t>
      </w:r>
      <w:proofErr w:type="gramStart"/>
      <w:r>
        <w:rPr>
          <w:rFonts w:ascii="宋体" w:hAnsi="宋体" w:hint="eastAsia"/>
          <w:bCs/>
          <w:sz w:val="18"/>
          <w:szCs w:val="18"/>
        </w:rPr>
        <w:t>档</w:t>
      </w:r>
      <w:proofErr w:type="gramEnd"/>
      <w:r>
        <w:rPr>
          <w:rFonts w:ascii="宋体" w:hAnsi="宋体" w:hint="eastAsia"/>
          <w:bCs/>
          <w:sz w:val="18"/>
          <w:szCs w:val="18"/>
        </w:rPr>
        <w:t>信贷资产支持证券。</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投资者发行的理财产品不得直接或间接投资于不良资产、不良资产支持证券，国务院银行业监督管理机构另有规定的除外。</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proofErr w:type="gramStart"/>
      <w:r>
        <w:rPr>
          <w:rFonts w:ascii="宋体" w:hAnsi="宋体" w:hint="eastAsia"/>
          <w:bCs/>
          <w:sz w:val="18"/>
          <w:szCs w:val="18"/>
        </w:rPr>
        <w:t>不</w:t>
      </w:r>
      <w:proofErr w:type="gramEnd"/>
      <w:r>
        <w:rPr>
          <w:rFonts w:ascii="宋体" w:hAnsi="宋体" w:hint="eastAsia"/>
          <w:bCs/>
          <w:sz w:val="18"/>
          <w:szCs w:val="18"/>
        </w:rPr>
        <w:t>持有金融牌照的机构发行的产品或管理的资产，金融资产投资公司的附属机构依法依规设立的私</w:t>
      </w:r>
      <w:proofErr w:type="gramStart"/>
      <w:r>
        <w:rPr>
          <w:rFonts w:ascii="宋体" w:hAnsi="宋体" w:hint="eastAsia"/>
          <w:bCs/>
          <w:sz w:val="18"/>
          <w:szCs w:val="18"/>
        </w:rPr>
        <w:t>募股权投资</w:t>
      </w:r>
      <w:proofErr w:type="gramEnd"/>
      <w:r>
        <w:rPr>
          <w:rFonts w:ascii="宋体" w:hAnsi="宋体" w:hint="eastAsia"/>
          <w:bCs/>
          <w:sz w:val="18"/>
          <w:szCs w:val="18"/>
        </w:rPr>
        <w:t>基金以及国务院银行业监督管理机构另有规定的除外。</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投资者发行的理财产品不得直接或间接投资于不良资产受（收）益权。</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 xml:space="preserve">（五）业绩比较基准 </w:t>
      </w:r>
    </w:p>
    <w:p w:rsidR="00EC76A0" w:rsidRDefault="009A77F2">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EC76A0" w:rsidRDefault="009A77F2">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EC76A0" w:rsidRDefault="009A77F2">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产品管理人不设立业绩比较基准。</w:t>
      </w:r>
    </w:p>
    <w:p w:rsidR="00EC76A0" w:rsidRDefault="009A77F2">
      <w:pPr>
        <w:autoSpaceDE w:val="0"/>
        <w:autoSpaceDN w:val="0"/>
        <w:adjustRightInd w:val="0"/>
        <w:spacing w:line="360" w:lineRule="auto"/>
        <w:ind w:firstLineChars="200" w:firstLine="361"/>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EC76A0" w:rsidRDefault="009A77F2">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C76A0" w:rsidRDefault="009A77F2">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EC76A0" w:rsidRDefault="009A77F2">
      <w:pPr>
        <w:pStyle w:val="1"/>
        <w:spacing w:before="0" w:after="0" w:line="360" w:lineRule="auto"/>
        <w:jc w:val="center"/>
        <w:rPr>
          <w:rFonts w:ascii="Times New Roman"/>
          <w:sz w:val="30"/>
        </w:rPr>
      </w:pPr>
      <w:bookmarkStart w:id="28" w:name="_Toc26986"/>
      <w:bookmarkStart w:id="29" w:name="_Toc18797"/>
      <w:bookmarkStart w:id="30" w:name="_Toc88747125"/>
      <w:bookmarkStart w:id="31" w:name="_Toc141703885"/>
      <w:bookmarkStart w:id="32" w:name="_Toc7848"/>
      <w:bookmarkStart w:id="33" w:name="_Toc1823"/>
      <w:bookmarkStart w:id="34" w:name="_Toc79154669"/>
      <w:bookmarkStart w:id="35" w:name="_Toc14893"/>
      <w:bookmarkStart w:id="36" w:name="_Toc18526"/>
      <w:bookmarkStart w:id="37" w:name="_Toc4741"/>
      <w:bookmarkStart w:id="38" w:name="_Toc21988"/>
      <w:bookmarkStart w:id="39" w:name="_Toc17912"/>
      <w:bookmarkStart w:id="40" w:name="_Toc18329"/>
      <w:bookmarkStart w:id="41" w:name="_Toc139991735"/>
      <w:bookmarkStart w:id="42" w:name="_Toc74065742"/>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w:t>
      </w:r>
      <w:proofErr w:type="gramStart"/>
      <w:r>
        <w:rPr>
          <w:rFonts w:asciiTheme="majorEastAsia" w:eastAsiaTheme="majorEastAsia" w:hAnsiTheme="majorEastAsia" w:hint="eastAsia"/>
          <w:color w:val="auto"/>
          <w:sz w:val="18"/>
          <w:szCs w:val="18"/>
        </w:rPr>
        <w:t>律法规</w:t>
      </w:r>
      <w:proofErr w:type="gramEnd"/>
      <w:r>
        <w:rPr>
          <w:rFonts w:asciiTheme="majorEastAsia" w:eastAsiaTheme="majorEastAsia" w:hAnsiTheme="majorEastAsia" w:hint="eastAsia"/>
          <w:color w:val="auto"/>
          <w:sz w:val="18"/>
          <w:szCs w:val="18"/>
        </w:rPr>
        <w:t>规定的处分外，理财产品的资产不得被处分。</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；产品管理人管理运作不同产品的理财财产所产生的债权债务不得相互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EC76A0" w:rsidRDefault="009A77F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C76A0" w:rsidRDefault="009A77F2">
      <w:pPr>
        <w:pStyle w:val="1"/>
        <w:spacing w:before="0" w:after="0" w:line="360" w:lineRule="auto"/>
        <w:jc w:val="center"/>
        <w:rPr>
          <w:rFonts w:ascii="Times New Roman"/>
          <w:sz w:val="30"/>
        </w:rPr>
      </w:pPr>
      <w:bookmarkStart w:id="44" w:name="_Toc79392606"/>
      <w:bookmarkStart w:id="45" w:name="_Toc74065743"/>
      <w:bookmarkStart w:id="46" w:name="_Toc139991736"/>
      <w:bookmarkStart w:id="47" w:name="_Toc98560352"/>
      <w:bookmarkStart w:id="48" w:name="_Toc20733"/>
      <w:bookmarkStart w:id="49" w:name="_Toc610"/>
      <w:bookmarkStart w:id="50" w:name="_Toc10463"/>
      <w:bookmarkStart w:id="51" w:name="_Toc4003"/>
      <w:bookmarkStart w:id="52" w:name="_Toc123112234"/>
      <w:bookmarkStart w:id="53" w:name="_Toc7920"/>
      <w:bookmarkStart w:id="54" w:name="_Toc23822"/>
      <w:bookmarkStart w:id="55" w:name="_Toc23261"/>
      <w:bookmarkStart w:id="56" w:name="_Toc88747126"/>
      <w:bookmarkStart w:id="57" w:name="_Toc1270"/>
      <w:bookmarkStart w:id="58" w:name="_Toc123051452"/>
      <w:bookmarkStart w:id="59" w:name="_Toc141703886"/>
      <w:bookmarkStart w:id="60" w:name="_Toc79154670"/>
      <w:bookmarkStart w:id="61" w:name="_Toc17244"/>
      <w:bookmarkStart w:id="62" w:name="_Toc48649707"/>
      <w:bookmarkStart w:id="63" w:name="_Toc1427"/>
      <w:bookmarkStart w:id="64" w:name="_Toc123102453"/>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EC76A0" w:rsidRDefault="009A77F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EC76A0" w:rsidRDefault="009A77F2">
      <w:pPr>
        <w:pStyle w:val="Default"/>
        <w:spacing w:line="360" w:lineRule="auto"/>
        <w:ind w:firstLineChars="250" w:firstLine="450"/>
        <w:rPr>
          <w:sz w:val="18"/>
          <w:szCs w:val="18"/>
        </w:rPr>
      </w:pPr>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到期日、季末、半年度、年度末等时间节点管理人将增加估值日。</w:t>
      </w:r>
    </w:p>
    <w:p w:rsidR="00EC76A0" w:rsidRDefault="009A77F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EC76A0" w:rsidRDefault="009A77F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EC76A0" w:rsidRDefault="009A77F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EC76A0" w:rsidRDefault="009A77F2">
      <w:pPr>
        <w:pStyle w:val="Default"/>
        <w:spacing w:line="360" w:lineRule="auto"/>
        <w:ind w:firstLineChars="250" w:firstLine="452"/>
        <w:rPr>
          <w:rFonts w:hAnsi="宋体"/>
          <w:b/>
          <w:bCs/>
          <w:sz w:val="18"/>
          <w:szCs w:val="18"/>
        </w:rPr>
      </w:pPr>
      <w:r>
        <w:rPr>
          <w:rFonts w:hAnsi="宋体" w:hint="eastAsia"/>
          <w:b/>
          <w:bCs/>
          <w:sz w:val="18"/>
          <w:szCs w:val="18"/>
        </w:rPr>
        <w:t>本理财产品实际持仓依据前述投资范围约定，实际持仓资产参照下述具体品类资产估值方法估值。</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EC76A0" w:rsidRDefault="009A77F2">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w:t>
      </w:r>
      <w:proofErr w:type="gramStart"/>
      <w:r>
        <w:rPr>
          <w:rFonts w:hAnsi="宋体" w:hint="eastAsia"/>
          <w:sz w:val="18"/>
          <w:szCs w:val="18"/>
        </w:rPr>
        <w:t>余成本</w:t>
      </w:r>
      <w:proofErr w:type="gramEnd"/>
      <w:r>
        <w:rPr>
          <w:rFonts w:hAnsi="宋体" w:hint="eastAsia"/>
          <w:sz w:val="18"/>
          <w:szCs w:val="18"/>
        </w:rPr>
        <w:t>计量。</w:t>
      </w:r>
    </w:p>
    <w:p w:rsidR="00EC76A0" w:rsidRDefault="009A77F2">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EC76A0" w:rsidRDefault="009A77F2">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w:t>
      </w:r>
      <w:proofErr w:type="gramStart"/>
      <w:r>
        <w:rPr>
          <w:rFonts w:hAnsi="宋体" w:hint="eastAsia"/>
          <w:sz w:val="18"/>
          <w:szCs w:val="18"/>
        </w:rPr>
        <w:t>流难以</w:t>
      </w:r>
      <w:proofErr w:type="gramEnd"/>
      <w:r>
        <w:rPr>
          <w:rFonts w:hAnsi="宋体" w:hint="eastAsia"/>
          <w:sz w:val="18"/>
          <w:szCs w:val="18"/>
        </w:rPr>
        <w:t>确定，导致第三方估值数据和市场收盘价均无法准确反映其公允价值的，可采用估值技术对其进行估值，管理人会对估值模型的有效性进行持续有效评估，并尽可能予以修正。</w:t>
      </w:r>
    </w:p>
    <w:p w:rsidR="00EC76A0" w:rsidRDefault="009A77F2">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EC76A0" w:rsidRDefault="009A77F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EC76A0" w:rsidRDefault="009A77F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w:t>
      </w:r>
      <w:proofErr w:type="gramStart"/>
      <w:r>
        <w:rPr>
          <w:rFonts w:hAnsi="宋体" w:hint="eastAsia"/>
          <w:sz w:val="18"/>
          <w:szCs w:val="18"/>
        </w:rPr>
        <w:t>按摊余成本</w:t>
      </w:r>
      <w:proofErr w:type="gramEnd"/>
      <w:r>
        <w:rPr>
          <w:rFonts w:hAnsi="宋体" w:hint="eastAsia"/>
          <w:sz w:val="18"/>
          <w:szCs w:val="18"/>
        </w:rPr>
        <w:t>计量。</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EC76A0" w:rsidRDefault="009A77F2">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EC76A0" w:rsidRDefault="009A77F2">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EC76A0" w:rsidRDefault="009A77F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EC76A0" w:rsidRDefault="009A77F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（1）非上市基金估值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EC76A0" w:rsidRDefault="009A77F2">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EC76A0" w:rsidRDefault="009A77F2">
      <w:pPr>
        <w:pStyle w:val="Default"/>
        <w:spacing w:line="360" w:lineRule="auto"/>
        <w:ind w:firstLineChars="200" w:firstLine="360"/>
        <w:rPr>
          <w:rFonts w:hAnsi="宋体"/>
          <w:sz w:val="18"/>
          <w:szCs w:val="18"/>
        </w:rPr>
      </w:pPr>
      <w:r>
        <w:rPr>
          <w:rFonts w:hAnsi="宋体" w:hint="eastAsia"/>
          <w:sz w:val="18"/>
          <w:szCs w:val="18"/>
        </w:rPr>
        <w:t>（2）上市基金估值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EC76A0" w:rsidRDefault="009A77F2">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w:t>
      </w:r>
      <w:proofErr w:type="gramStart"/>
      <w:r>
        <w:rPr>
          <w:rFonts w:hAnsi="宋体" w:hint="eastAsia"/>
          <w:sz w:val="18"/>
          <w:szCs w:val="18"/>
        </w:rPr>
        <w:t>日资产</w:t>
      </w:r>
      <w:proofErr w:type="gramEnd"/>
      <w:r>
        <w:rPr>
          <w:rFonts w:hAnsi="宋体" w:hint="eastAsia"/>
          <w:sz w:val="18"/>
          <w:szCs w:val="18"/>
        </w:rPr>
        <w:t>管理人提供的单位净值进行估值，估值</w:t>
      </w:r>
      <w:proofErr w:type="gramStart"/>
      <w:r>
        <w:rPr>
          <w:rFonts w:hAnsi="宋体" w:hint="eastAsia"/>
          <w:sz w:val="18"/>
          <w:szCs w:val="18"/>
        </w:rPr>
        <w:t>日产品</w:t>
      </w:r>
      <w:proofErr w:type="gramEnd"/>
      <w:r>
        <w:rPr>
          <w:rFonts w:hAnsi="宋体" w:hint="eastAsia"/>
          <w:sz w:val="18"/>
          <w:szCs w:val="18"/>
        </w:rPr>
        <w:t>单位净值未提供的，可参考最近可获取的净值确定公允价值。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EC76A0" w:rsidRDefault="009A77F2">
      <w:pPr>
        <w:pStyle w:val="Default"/>
        <w:spacing w:line="360" w:lineRule="auto"/>
        <w:ind w:firstLineChars="200" w:firstLine="360"/>
        <w:rPr>
          <w:rFonts w:hAnsi="宋体"/>
          <w:sz w:val="18"/>
          <w:szCs w:val="18"/>
        </w:rPr>
      </w:pPr>
      <w:r>
        <w:rPr>
          <w:rFonts w:hAnsi="宋体" w:hint="eastAsia"/>
          <w:sz w:val="18"/>
          <w:szCs w:val="18"/>
        </w:rPr>
        <w:lastRenderedPageBreak/>
        <w:t>1.产品份额净值是按照估值</w:t>
      </w:r>
      <w:proofErr w:type="gramStart"/>
      <w:r>
        <w:rPr>
          <w:rFonts w:hAnsi="宋体" w:hint="eastAsia"/>
          <w:sz w:val="18"/>
          <w:szCs w:val="18"/>
        </w:rPr>
        <w:t>日产品</w:t>
      </w:r>
      <w:proofErr w:type="gramEnd"/>
      <w:r>
        <w:rPr>
          <w:rFonts w:hAnsi="宋体" w:hint="eastAsia"/>
          <w:sz w:val="18"/>
          <w:szCs w:val="18"/>
        </w:rPr>
        <w:t>资产净值除以当日产品总份额计算，四舍五入保留5位小数。国家另有规定的，从其规定。</w:t>
      </w:r>
    </w:p>
    <w:p w:rsidR="00EC76A0" w:rsidRDefault="009A77F2">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EC76A0" w:rsidRDefault="009A77F2">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EC76A0" w:rsidRDefault="009A77F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3.监管机构规定的其他情形。</w:t>
      </w:r>
    </w:p>
    <w:p w:rsidR="00EC76A0" w:rsidRDefault="009A77F2">
      <w:pPr>
        <w:widowControl/>
        <w:spacing w:line="360" w:lineRule="auto"/>
        <w:jc w:val="left"/>
        <w:rPr>
          <w:rFonts w:ascii="宋体" w:hAnsi="宋体"/>
          <w:kern w:val="0"/>
          <w:sz w:val="18"/>
          <w:szCs w:val="18"/>
        </w:rPr>
      </w:pPr>
      <w:r>
        <w:rPr>
          <w:rFonts w:hAnsi="宋体"/>
          <w:sz w:val="18"/>
          <w:szCs w:val="18"/>
        </w:rPr>
        <w:br w:type="page"/>
      </w:r>
    </w:p>
    <w:p w:rsidR="00EC76A0" w:rsidRDefault="009A77F2">
      <w:pPr>
        <w:pStyle w:val="1"/>
        <w:spacing w:before="0" w:after="0" w:line="360" w:lineRule="auto"/>
        <w:ind w:left="60" w:firstLine="10"/>
        <w:jc w:val="center"/>
        <w:rPr>
          <w:rFonts w:ascii="Times New Roman"/>
          <w:sz w:val="30"/>
        </w:rPr>
      </w:pPr>
      <w:bookmarkStart w:id="65" w:name="_Hlt70481650"/>
      <w:bookmarkStart w:id="66" w:name="_Toc6405"/>
      <w:bookmarkStart w:id="67" w:name="_Toc26207"/>
      <w:bookmarkStart w:id="68" w:name="_Toc141703887"/>
      <w:bookmarkStart w:id="69" w:name="_Toc14835"/>
      <w:bookmarkStart w:id="70" w:name="_Toc123102454"/>
      <w:bookmarkStart w:id="71" w:name="_Toc31644"/>
      <w:bookmarkStart w:id="72" w:name="_Toc31235"/>
      <w:bookmarkStart w:id="73" w:name="_Toc15143"/>
      <w:bookmarkStart w:id="74" w:name="_Toc98560353"/>
      <w:bookmarkStart w:id="75" w:name="_Toc74065744"/>
      <w:bookmarkStart w:id="76" w:name="_Toc12245"/>
      <w:bookmarkStart w:id="77" w:name="_Toc139991737"/>
      <w:bookmarkStart w:id="78" w:name="_Toc31653"/>
      <w:bookmarkStart w:id="79" w:name="_Toc123051453"/>
      <w:bookmarkStart w:id="80" w:name="_Toc88747127"/>
      <w:bookmarkStart w:id="81" w:name="_Toc123112235"/>
      <w:bookmarkStart w:id="82" w:name="_Toc3601"/>
      <w:bookmarkStart w:id="83" w:name="_Toc79154671"/>
      <w:bookmarkStart w:id="84" w:name="_Toc29251"/>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23711668"/>
      <w:bookmarkStart w:id="89" w:name="_Toc5753023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C76A0" w:rsidRDefault="009A77F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EC76A0" w:rsidRDefault="009A77F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EC76A0" w:rsidRDefault="009A77F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EC76A0" w:rsidRDefault="009A77F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EC76A0" w:rsidRDefault="009A77F2">
      <w:pPr>
        <w:pStyle w:val="Default"/>
        <w:spacing w:line="360" w:lineRule="auto"/>
        <w:ind w:firstLineChars="200" w:firstLine="361"/>
        <w:rPr>
          <w:rFonts w:hAnsi="宋体"/>
          <w:b/>
          <w:bCs/>
          <w:color w:val="auto"/>
          <w:sz w:val="18"/>
          <w:szCs w:val="18"/>
        </w:rPr>
      </w:pPr>
      <w:r>
        <w:rPr>
          <w:rFonts w:hAnsi="宋体" w:hint="eastAsia"/>
          <w:b/>
          <w:bCs/>
          <w:color w:val="auto"/>
          <w:sz w:val="18"/>
          <w:szCs w:val="18"/>
        </w:rPr>
        <w:t>1.分配方案要点：</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EC76A0" w:rsidRDefault="009A77F2">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3.产品管理人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 w:rsidR="00EC76A0" w:rsidRDefault="009A77F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1.理财利益的分配日</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EC76A0" w:rsidRDefault="009A77F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具体的理财利益分配以实际情况为准。</w:t>
      </w:r>
    </w:p>
    <w:p w:rsidR="00EC76A0" w:rsidRDefault="009A77F2">
      <w:pPr>
        <w:widowControl/>
        <w:spacing w:line="360" w:lineRule="auto"/>
        <w:jc w:val="left"/>
        <w:rPr>
          <w:rFonts w:ascii="宋体" w:hAnsi="宋体"/>
          <w:kern w:val="0"/>
          <w:sz w:val="18"/>
          <w:szCs w:val="18"/>
        </w:rPr>
      </w:pPr>
      <w:r>
        <w:rPr>
          <w:rFonts w:hAnsi="宋体"/>
          <w:sz w:val="18"/>
          <w:szCs w:val="18"/>
        </w:rPr>
        <w:br w:type="page"/>
      </w:r>
    </w:p>
    <w:p w:rsidR="00EC76A0" w:rsidRDefault="009A77F2">
      <w:pPr>
        <w:pStyle w:val="1"/>
        <w:spacing w:before="0" w:after="0" w:line="360" w:lineRule="auto"/>
        <w:jc w:val="center"/>
        <w:rPr>
          <w:rFonts w:ascii="Times New Roman"/>
          <w:sz w:val="30"/>
        </w:rPr>
      </w:pPr>
      <w:bookmarkStart w:id="90" w:name="_Hlt88897298"/>
      <w:bookmarkStart w:id="91" w:name="_Hlt88825574"/>
      <w:bookmarkStart w:id="92" w:name="_Toc98560354"/>
      <w:bookmarkStart w:id="93" w:name="_Toc141703888"/>
      <w:bookmarkStart w:id="94" w:name="_Toc6447"/>
      <w:bookmarkStart w:id="95" w:name="_Toc139991738"/>
      <w:bookmarkStart w:id="96" w:name="_Toc3771"/>
      <w:bookmarkStart w:id="97" w:name="_Toc79154672"/>
      <w:bookmarkStart w:id="98" w:name="_Toc25783"/>
      <w:bookmarkStart w:id="99" w:name="_Toc18567"/>
      <w:bookmarkStart w:id="100" w:name="_Toc79392583"/>
      <w:bookmarkStart w:id="101" w:name="_Toc74065745"/>
      <w:bookmarkStart w:id="102" w:name="_Toc123051454"/>
      <w:bookmarkStart w:id="103" w:name="_Toc10650"/>
      <w:bookmarkStart w:id="104" w:name="_Toc88747128"/>
      <w:bookmarkStart w:id="105" w:name="_Toc9706"/>
      <w:bookmarkStart w:id="106" w:name="_Toc7058"/>
      <w:bookmarkStart w:id="107" w:name="_Toc123102455"/>
      <w:bookmarkStart w:id="108" w:name="_Toc3321"/>
      <w:bookmarkStart w:id="109" w:name="_Toc123112236"/>
      <w:bookmarkStart w:id="110" w:name="_Toc4559"/>
      <w:bookmarkStart w:id="111" w:name="_Toc11030"/>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EC76A0" w:rsidRDefault="009A77F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）理财产品的证券交易费用；</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EC76A0" w:rsidRDefault="009A77F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C76A0" w:rsidRDefault="009A77F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EC76A0" w:rsidRDefault="009A77F2">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EC76A0" w:rsidRDefault="009A77F2">
      <w:pPr>
        <w:widowControl/>
        <w:spacing w:line="360" w:lineRule="auto"/>
        <w:ind w:firstLineChars="200" w:firstLine="360"/>
        <w:jc w:val="left"/>
        <w:rPr>
          <w:rFonts w:ascii="宋体" w:hAnsi="宋体"/>
          <w:kern w:val="0"/>
          <w:sz w:val="18"/>
          <w:szCs w:val="18"/>
        </w:rPr>
      </w:pPr>
      <w:r>
        <w:rPr>
          <w:rFonts w:ascii="宋体" w:hAnsi="宋体"/>
          <w:kern w:val="0"/>
          <w:sz w:val="18"/>
          <w:szCs w:val="18"/>
        </w:rPr>
        <w:lastRenderedPageBreak/>
        <w:t>（4）超额业绩报酬</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每份产品份额在产品终止日时，若理财资产扣除销售服务费、产品托管费和投资管理费等相关费用后，产品终止日产品份额净值折算</w:t>
      </w:r>
      <w:proofErr w:type="gramStart"/>
      <w:r>
        <w:rPr>
          <w:rFonts w:asciiTheme="majorEastAsia" w:eastAsiaTheme="majorEastAsia" w:hAnsiTheme="majorEastAsia" w:hint="eastAsia"/>
          <w:sz w:val="18"/>
          <w:szCs w:val="18"/>
        </w:rPr>
        <w:t>的年化收益率</w:t>
      </w:r>
      <w:proofErr w:type="gramEnd"/>
      <w:r>
        <w:rPr>
          <w:rFonts w:asciiTheme="majorEastAsia" w:eastAsiaTheme="majorEastAsia" w:hAnsiTheme="majorEastAsia" w:hint="eastAsia"/>
          <w:sz w:val="18"/>
          <w:szCs w:val="18"/>
        </w:rPr>
        <w:t>超过业绩报酬计提基准，则产品管理人收取超出部分的一定比例作为超额业绩报酬。由此造成产品终止日产品份额净值调整的，以调整后的产品份额净值为准进行利益分配。</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超额业绩报酬依照上述约定，从理财财产中支付。超额业绩报酬的具体比例数值以《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②在产品终止日，本产品对符合超额业绩报酬提取条件的产品份额计提超额业绩报酬；</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产品份额超额业绩报酬计提日为产品终止日。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proofErr w:type="gramStart"/>
      <w:r>
        <w:rPr>
          <w:rFonts w:asciiTheme="majorEastAsia" w:eastAsiaTheme="majorEastAsia" w:hAnsiTheme="majorEastAsia" w:hint="eastAsia"/>
          <w:sz w:val="18"/>
          <w:szCs w:val="18"/>
        </w:rPr>
        <w:t>份额年化收益率</w:t>
      </w:r>
      <w:proofErr w:type="gramEnd"/>
      <w:r>
        <w:rPr>
          <w:rFonts w:asciiTheme="majorEastAsia" w:eastAsiaTheme="majorEastAsia" w:hAnsiTheme="majorEastAsia" w:hint="eastAsia"/>
          <w:sz w:val="18"/>
          <w:szCs w:val="18"/>
        </w:rPr>
        <w:t>（R）超过业绩报酬计提基准的部分，按比例（N）以及产品份额持有天数（D）提取超额业绩报酬，计算方法如下：</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当R≤业绩报酬计提基准，超额业绩报酬=0；</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当R＞业绩报酬计提基准，超额业绩报酬=产品份额数量×产品成立日产品份额净值×（R-业绩报酬计提基准）×N×D/365；</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若该份额持有期间，超额业绩报酬计提规则有所调整，以该产品份额持有期间的每个计提规则分别计算整个份额持有期间应收取的超额业绩报酬数值，以较小的数值来收取超额业绩报酬。</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w:t>
      </w:r>
      <w:proofErr w:type="gramStart"/>
      <w:r>
        <w:rPr>
          <w:rFonts w:ascii="宋体" w:hAnsi="宋体" w:hint="eastAsia"/>
          <w:kern w:val="0"/>
          <w:sz w:val="18"/>
          <w:szCs w:val="18"/>
        </w:rPr>
        <w:t>托管费</w:t>
      </w:r>
      <w:r>
        <w:rPr>
          <w:rFonts w:ascii="宋体" w:hAnsi="宋体"/>
          <w:kern w:val="0"/>
          <w:sz w:val="18"/>
          <w:szCs w:val="18"/>
        </w:rPr>
        <w:t>年费率</w:t>
      </w:r>
      <w:proofErr w:type="gramEnd"/>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lastRenderedPageBreak/>
        <w:t>E为前一日的理财资产净值</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proofErr w:type="gramStart"/>
      <w:r>
        <w:rPr>
          <w:rFonts w:ascii="宋体" w:hAnsi="宋体"/>
          <w:kern w:val="0"/>
          <w:sz w:val="18"/>
          <w:szCs w:val="18"/>
        </w:rPr>
        <w:t>验</w:t>
      </w:r>
      <w:proofErr w:type="gramEnd"/>
      <w:r>
        <w:rPr>
          <w:rFonts w:ascii="宋体" w:hAnsi="宋体"/>
          <w:kern w:val="0"/>
          <w:sz w:val="18"/>
          <w:szCs w:val="18"/>
        </w:rPr>
        <w:t>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EC76A0" w:rsidRDefault="009A77F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EC76A0" w:rsidRDefault="009A77F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w:t>
      </w:r>
      <w:proofErr w:type="gramStart"/>
      <w:r>
        <w:rPr>
          <w:rFonts w:ascii="黑体" w:eastAsia="黑体" w:hAnsi="黑体" w:hint="eastAsia"/>
          <w:bCs/>
          <w:color w:val="auto"/>
          <w:sz w:val="18"/>
        </w:rPr>
        <w:t>定进行</w:t>
      </w:r>
      <w:proofErr w:type="gramEnd"/>
      <w:r>
        <w:rPr>
          <w:rFonts w:ascii="黑体" w:eastAsia="黑体" w:hAnsi="黑体" w:hint="eastAsia"/>
          <w:bCs/>
          <w:color w:val="auto"/>
          <w:sz w:val="18"/>
        </w:rPr>
        <w:t>公告。</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EC76A0" w:rsidRDefault="009A77F2">
      <w:pPr>
        <w:pStyle w:val="1"/>
        <w:spacing w:line="360" w:lineRule="auto"/>
        <w:jc w:val="center"/>
      </w:pPr>
      <w:bookmarkStart w:id="112" w:name="_Toc3963"/>
      <w:bookmarkStart w:id="113" w:name="_Toc1745"/>
      <w:r>
        <w:br w:type="page"/>
      </w:r>
      <w:bookmarkStart w:id="114" w:name="_Toc21735"/>
      <w:bookmarkStart w:id="115" w:name="_Toc3080"/>
      <w:bookmarkStart w:id="116" w:name="_Toc139991739"/>
      <w:bookmarkStart w:id="117" w:name="_Toc74065746"/>
      <w:bookmarkStart w:id="118" w:name="_Toc123112237"/>
      <w:bookmarkStart w:id="119" w:name="_Toc16164"/>
      <w:bookmarkStart w:id="120" w:name="_Toc98560355"/>
      <w:bookmarkStart w:id="121" w:name="_Toc10398"/>
      <w:bookmarkStart w:id="122" w:name="_Toc123102456"/>
      <w:bookmarkStart w:id="123" w:name="_Toc725"/>
      <w:bookmarkStart w:id="124" w:name="_Toc31821"/>
      <w:bookmarkStart w:id="125" w:name="_Toc123051455"/>
      <w:bookmarkStart w:id="126" w:name="_Toc88747129"/>
      <w:bookmarkStart w:id="127" w:name="_Toc79154673"/>
      <w:bookmarkStart w:id="128" w:name="_Toc18206"/>
      <w:bookmarkStart w:id="129" w:name="_Toc141703889"/>
      <w:bookmarkStart w:id="130" w:name="_Toc3572"/>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C76A0" w:rsidRDefault="009A77F2">
      <w:pPr>
        <w:spacing w:line="360" w:lineRule="auto"/>
        <w:ind w:firstLineChars="200" w:firstLine="361"/>
        <w:rPr>
          <w:rFonts w:asciiTheme="majorEastAsia" w:eastAsiaTheme="majorEastAsia" w:hAnsiTheme="majorEastAsia"/>
          <w:b/>
          <w:bCs/>
          <w:sz w:val="18"/>
          <w:szCs w:val="18"/>
        </w:rPr>
      </w:pPr>
      <w:bookmarkStart w:id="131" w:name="_Toc79392593"/>
      <w:bookmarkStart w:id="132" w:name="_Toc15118245"/>
      <w:bookmarkStart w:id="133" w:name="_Toc57530252"/>
      <w:r>
        <w:rPr>
          <w:rFonts w:asciiTheme="majorEastAsia" w:eastAsiaTheme="majorEastAsia" w:hAnsiTheme="majorEastAsia" w:hint="eastAsia"/>
          <w:b/>
          <w:bCs/>
          <w:sz w:val="18"/>
          <w:szCs w:val="18"/>
        </w:rPr>
        <w:t>（一）理财产品的终止</w:t>
      </w:r>
    </w:p>
    <w:p w:rsidR="00EC76A0" w:rsidRDefault="009A77F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w:t>
      </w:r>
      <w:proofErr w:type="gramStart"/>
      <w:r>
        <w:rPr>
          <w:rFonts w:asciiTheme="majorEastAsia" w:eastAsiaTheme="majorEastAsia" w:hAnsiTheme="majorEastAsia" w:hint="eastAsia"/>
          <w:bCs/>
          <w:sz w:val="18"/>
          <w:szCs w:val="18"/>
        </w:rPr>
        <w:t>方主体</w:t>
      </w:r>
      <w:proofErr w:type="gramEnd"/>
      <w:r>
        <w:rPr>
          <w:rFonts w:asciiTheme="majorEastAsia" w:eastAsiaTheme="majorEastAsia" w:hAnsiTheme="majorEastAsia" w:hint="eastAsia"/>
          <w:bCs/>
          <w:sz w:val="18"/>
          <w:szCs w:val="18"/>
        </w:rPr>
        <w:t>实施符合法律法规规定或协议等相关文件约定的行为导致理财产品被动提前终止。</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EC76A0" w:rsidRDefault="009A77F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工作日的，</w:t>
      </w:r>
      <w:r>
        <w:rPr>
          <w:rFonts w:asciiTheme="majorEastAsia" w:eastAsiaTheme="majorEastAsia" w:hAnsiTheme="majorEastAsia"/>
          <w:bCs/>
          <w:sz w:val="18"/>
          <w:szCs w:val="18"/>
        </w:rPr>
        <w:t>将依约</w:t>
      </w:r>
      <w:proofErr w:type="gramStart"/>
      <w:r>
        <w:rPr>
          <w:rFonts w:asciiTheme="majorEastAsia" w:eastAsiaTheme="majorEastAsia" w:hAnsiTheme="majorEastAsia" w:hint="eastAsia"/>
          <w:bCs/>
          <w:sz w:val="18"/>
          <w:szCs w:val="18"/>
        </w:rPr>
        <w:t>定进行</w:t>
      </w:r>
      <w:proofErr w:type="gramEnd"/>
      <w:r>
        <w:rPr>
          <w:rFonts w:asciiTheme="majorEastAsia" w:eastAsiaTheme="majorEastAsia" w:hAnsiTheme="majorEastAsia" w:hint="eastAsia"/>
          <w:bCs/>
          <w:sz w:val="18"/>
          <w:szCs w:val="18"/>
        </w:rPr>
        <w:t>公告。</w:t>
      </w:r>
      <w:r>
        <w:rPr>
          <w:rFonts w:asciiTheme="majorEastAsia" w:eastAsiaTheme="majorEastAsia" w:hAnsiTheme="majorEastAsia"/>
          <w:bCs/>
          <w:sz w:val="18"/>
          <w:szCs w:val="18"/>
        </w:rPr>
        <w:t xml:space="preserve"> </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工作日内将已变现资产按投资者持有理财产品份额比例分配。理财产品终止</w:t>
      </w:r>
      <w:proofErr w:type="gramStart"/>
      <w:r>
        <w:rPr>
          <w:rFonts w:asciiTheme="majorEastAsia" w:eastAsiaTheme="majorEastAsia" w:hAnsiTheme="majorEastAsia" w:hint="eastAsia"/>
          <w:bCs/>
          <w:sz w:val="18"/>
          <w:szCs w:val="18"/>
        </w:rPr>
        <w:t>日相应</w:t>
      </w:r>
      <w:proofErr w:type="gramEnd"/>
      <w:r>
        <w:rPr>
          <w:rFonts w:asciiTheme="majorEastAsia" w:eastAsiaTheme="majorEastAsia" w:hAnsiTheme="majorEastAsia" w:hint="eastAsia"/>
          <w:bCs/>
          <w:sz w:val="18"/>
          <w:szCs w:val="18"/>
        </w:rPr>
        <w:t>顺延至理财产品全部变现之日。待全部资产变现后，产品管理人依照清算条款分配理财利益至投资者账户。</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31"/>
    <w:bookmarkEnd w:id="132"/>
    <w:bookmarkEnd w:id="133"/>
    <w:p w:rsidR="00EC76A0" w:rsidRDefault="009A77F2">
      <w:pPr>
        <w:pStyle w:val="1"/>
        <w:spacing w:before="0" w:after="0" w:line="360" w:lineRule="auto"/>
        <w:jc w:val="center"/>
        <w:rPr>
          <w:rFonts w:ascii="Times New Roman"/>
          <w:sz w:val="30"/>
        </w:rPr>
      </w:pPr>
      <w:r>
        <w:rPr>
          <w:rFonts w:ascii="Times New Roman"/>
          <w:b w:val="0"/>
          <w:bCs w:val="0"/>
          <w:kern w:val="2"/>
        </w:rPr>
        <w:br w:type="page"/>
      </w:r>
      <w:bookmarkStart w:id="134" w:name="_Toc8791"/>
      <w:bookmarkStart w:id="135" w:name="_Toc141703890"/>
      <w:bookmarkStart w:id="136" w:name="_Toc17920"/>
      <w:bookmarkStart w:id="137" w:name="_Toc98560356"/>
      <w:bookmarkStart w:id="138" w:name="_Toc74065747"/>
      <w:bookmarkStart w:id="139" w:name="_Toc739"/>
      <w:bookmarkStart w:id="140" w:name="_Toc3329"/>
      <w:bookmarkStart w:id="141" w:name="_Toc139991740"/>
      <w:bookmarkStart w:id="142" w:name="_Toc17198"/>
      <w:bookmarkStart w:id="143" w:name="_Toc48649708"/>
      <w:bookmarkStart w:id="144" w:name="_Toc5170"/>
      <w:bookmarkStart w:id="145" w:name="_Toc79392622"/>
      <w:bookmarkStart w:id="146" w:name="_Toc123051456"/>
      <w:bookmarkStart w:id="147" w:name="_Toc79154674"/>
      <w:bookmarkStart w:id="148" w:name="_Toc29408"/>
      <w:bookmarkStart w:id="149" w:name="_Toc21237"/>
      <w:bookmarkStart w:id="150" w:name="_Toc123112238"/>
      <w:bookmarkStart w:id="151" w:name="_Toc123102457"/>
      <w:bookmarkStart w:id="152" w:name="_Toc88747130"/>
      <w:bookmarkStart w:id="153" w:name="_Toc32584"/>
      <w:bookmarkStart w:id="154" w:name="_Toc32092"/>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EC76A0" w:rsidRDefault="009A77F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EC76A0" w:rsidRDefault="009A77F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EC76A0" w:rsidRDefault="009A77F2">
      <w:pPr>
        <w:spacing w:line="360" w:lineRule="auto"/>
        <w:ind w:firstLine="361"/>
        <w:rPr>
          <w:rFonts w:ascii="宋体" w:hAnsi="宋体"/>
          <w:b/>
          <w:bCs/>
          <w:sz w:val="18"/>
          <w:szCs w:val="18"/>
        </w:rPr>
      </w:pPr>
      <w:r>
        <w:rPr>
          <w:rFonts w:ascii="宋体" w:hAnsi="宋体" w:hint="eastAsia"/>
          <w:b/>
          <w:bCs/>
          <w:sz w:val="18"/>
          <w:szCs w:val="18"/>
        </w:rPr>
        <w:t>（二）信息披露的渠道</w:t>
      </w:r>
    </w:p>
    <w:p w:rsidR="00EC76A0" w:rsidRDefault="009A77F2">
      <w:pPr>
        <w:spacing w:line="360" w:lineRule="auto"/>
        <w:ind w:firstLine="36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rsidR="00EC76A0" w:rsidRDefault="009A77F2">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通过兴业银行或销售机构的信息披露渠道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w:t>
      </w:r>
      <w:proofErr w:type="gramStart"/>
      <w:r>
        <w:rPr>
          <w:rFonts w:ascii="黑体" w:eastAsia="黑体" w:hAnsi="黑体"/>
          <w:bCs/>
          <w:sz w:val="18"/>
          <w:szCs w:val="18"/>
        </w:rPr>
        <w:t>已适当</w:t>
      </w:r>
      <w:proofErr w:type="gramEnd"/>
      <w:r>
        <w:rPr>
          <w:rFonts w:ascii="黑体" w:eastAsia="黑体" w:hAnsi="黑体"/>
          <w:bCs/>
          <w:sz w:val="18"/>
          <w:szCs w:val="18"/>
        </w:rPr>
        <w:t>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EC76A0" w:rsidRDefault="009A77F2">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proofErr w:type="gramStart"/>
      <w:r>
        <w:rPr>
          <w:rFonts w:ascii="宋体" w:hAnsi="宋体" w:hint="eastAsia"/>
          <w:bCs/>
          <w:sz w:val="18"/>
          <w:szCs w:val="18"/>
        </w:rPr>
        <w:t>已适当</w:t>
      </w:r>
      <w:proofErr w:type="gramEnd"/>
      <w:r>
        <w:rPr>
          <w:rFonts w:ascii="宋体" w:hAnsi="宋体" w:hint="eastAsia"/>
          <w:bCs/>
          <w:sz w:val="18"/>
          <w:szCs w:val="18"/>
        </w:rPr>
        <w:t>披露理财产品相关信息。投资者承诺将及时接收、浏览和阅读该等信息。如投资者对本产品的运作状况有任何疑问，可向产品管理人或销售机构进行咨询。</w:t>
      </w:r>
    </w:p>
    <w:p w:rsidR="00EC76A0" w:rsidRDefault="009A77F2">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EC76A0" w:rsidRDefault="009A77F2">
      <w:pPr>
        <w:spacing w:line="360" w:lineRule="auto"/>
        <w:ind w:firstLine="361"/>
        <w:rPr>
          <w:rFonts w:ascii="宋体" w:hAnsi="宋体"/>
          <w:b/>
          <w:bCs/>
          <w:sz w:val="18"/>
          <w:szCs w:val="18"/>
        </w:rPr>
      </w:pPr>
      <w:r>
        <w:rPr>
          <w:rFonts w:ascii="宋体" w:hAnsi="宋体" w:hint="eastAsia"/>
          <w:b/>
          <w:bCs/>
          <w:sz w:val="18"/>
          <w:szCs w:val="18"/>
        </w:rPr>
        <w:t>（三）信息披露的内容</w:t>
      </w:r>
    </w:p>
    <w:p w:rsidR="00EC76A0" w:rsidRDefault="009A77F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rsidR="00EC76A0" w:rsidRDefault="009A77F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EC76A0" w:rsidRDefault="009A77F2">
      <w:pPr>
        <w:spacing w:line="360" w:lineRule="auto"/>
        <w:ind w:firstLine="360"/>
        <w:rPr>
          <w:rFonts w:ascii="宋体" w:hAnsi="宋体"/>
          <w:bCs/>
          <w:sz w:val="18"/>
          <w:szCs w:val="18"/>
        </w:rPr>
      </w:pPr>
      <w:r>
        <w:rPr>
          <w:rFonts w:ascii="宋体" w:hAnsi="宋体"/>
          <w:bCs/>
          <w:sz w:val="18"/>
          <w:szCs w:val="18"/>
        </w:rPr>
        <w:t>1.产品成立公告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EC76A0" w:rsidRDefault="009A77F2">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EC76A0" w:rsidRDefault="009A77F2">
      <w:pPr>
        <w:spacing w:line="360" w:lineRule="auto"/>
        <w:ind w:firstLine="360"/>
        <w:rPr>
          <w:rFonts w:ascii="宋体" w:hAnsi="宋体"/>
          <w:bCs/>
          <w:sz w:val="18"/>
          <w:szCs w:val="18"/>
        </w:rPr>
      </w:pPr>
      <w:r>
        <w:rPr>
          <w:rFonts w:ascii="宋体" w:hAnsi="宋体"/>
          <w:bCs/>
          <w:sz w:val="18"/>
          <w:szCs w:val="18"/>
        </w:rPr>
        <w:t>3.定期报告</w:t>
      </w:r>
    </w:p>
    <w:p w:rsidR="00EC76A0" w:rsidRDefault="009A77F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EC76A0" w:rsidRDefault="009A77F2">
      <w:pPr>
        <w:spacing w:line="360" w:lineRule="auto"/>
        <w:ind w:firstLine="360"/>
        <w:rPr>
          <w:rFonts w:ascii="宋体" w:hAnsi="宋体"/>
          <w:bCs/>
          <w:sz w:val="18"/>
          <w:szCs w:val="18"/>
        </w:rPr>
      </w:pPr>
      <w:r>
        <w:rPr>
          <w:rFonts w:ascii="宋体" w:hAnsi="宋体"/>
          <w:bCs/>
          <w:sz w:val="18"/>
          <w:szCs w:val="18"/>
        </w:rPr>
        <w:lastRenderedPageBreak/>
        <w:t>4.到期公告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rsidR="00EC76A0" w:rsidRDefault="009A77F2">
      <w:pPr>
        <w:spacing w:line="360" w:lineRule="auto"/>
        <w:ind w:firstLine="360"/>
        <w:rPr>
          <w:rFonts w:ascii="宋体" w:hAnsi="宋体"/>
          <w:bCs/>
          <w:sz w:val="18"/>
          <w:szCs w:val="18"/>
        </w:rPr>
      </w:pPr>
      <w:r>
        <w:rPr>
          <w:rFonts w:ascii="宋体" w:hAnsi="宋体"/>
          <w:bCs/>
          <w:sz w:val="18"/>
          <w:szCs w:val="18"/>
        </w:rPr>
        <w:t>5.估值日公告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ascii="宋体" w:hAnsi="宋体" w:hint="eastAsia"/>
          <w:bCs/>
          <w:sz w:val="18"/>
          <w:szCs w:val="18"/>
        </w:rPr>
        <w:t>基准</w:t>
      </w:r>
      <w:r>
        <w:rPr>
          <w:rFonts w:ascii="宋体" w:hAnsi="宋体"/>
          <w:bCs/>
          <w:sz w:val="18"/>
          <w:szCs w:val="18"/>
        </w:rPr>
        <w:t>（</w:t>
      </w:r>
      <w:r>
        <w:rPr>
          <w:rFonts w:ascii="宋体" w:hAnsi="宋体" w:hint="eastAsia"/>
          <w:bCs/>
          <w:sz w:val="18"/>
          <w:szCs w:val="18"/>
        </w:rPr>
        <w:t>如有</w:t>
      </w:r>
      <w:r>
        <w:rPr>
          <w:rFonts w:ascii="宋体" w:hAnsi="宋体"/>
          <w:bCs/>
          <w:sz w:val="18"/>
          <w:szCs w:val="18"/>
        </w:rPr>
        <w:t>）</w:t>
      </w:r>
      <w:r>
        <w:rPr>
          <w:rFonts w:ascii="宋体" w:hAnsi="宋体" w:hint="eastAsia"/>
          <w:bCs/>
          <w:sz w:val="18"/>
          <w:szCs w:val="18"/>
        </w:rPr>
        <w:t>等。如遇法定节假日顺延。此外，如遇其他特殊情况，以产品管理人信息披露为准。</w:t>
      </w:r>
      <w:r>
        <w:rPr>
          <w:rFonts w:ascii="宋体" w:hAnsi="宋体"/>
          <w:bCs/>
          <w:sz w:val="18"/>
          <w:szCs w:val="18"/>
        </w:rPr>
        <w:t xml:space="preserve"> </w:t>
      </w:r>
    </w:p>
    <w:p w:rsidR="00EC76A0" w:rsidRDefault="009A77F2">
      <w:pPr>
        <w:spacing w:line="360" w:lineRule="auto"/>
        <w:ind w:firstLine="360"/>
        <w:rPr>
          <w:rFonts w:ascii="宋体" w:hAnsi="宋体"/>
          <w:bCs/>
          <w:sz w:val="18"/>
          <w:szCs w:val="18"/>
        </w:rPr>
      </w:pPr>
      <w:r>
        <w:rPr>
          <w:rFonts w:ascii="宋体" w:hAnsi="宋体"/>
          <w:bCs/>
          <w:sz w:val="18"/>
          <w:szCs w:val="18"/>
        </w:rPr>
        <w:t>6.临时公告</w:t>
      </w:r>
    </w:p>
    <w:p w:rsidR="00EC76A0" w:rsidRDefault="009A77F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EC76A0" w:rsidRDefault="009A77F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w:t>
      </w:r>
      <w:proofErr w:type="gramStart"/>
      <w:r>
        <w:rPr>
          <w:rFonts w:ascii="宋体" w:hAnsi="宋体" w:hint="eastAsia"/>
          <w:bCs/>
          <w:sz w:val="18"/>
          <w:szCs w:val="18"/>
        </w:rPr>
        <w:t>拟采取</w:t>
      </w:r>
      <w:proofErr w:type="gramEnd"/>
      <w:r>
        <w:rPr>
          <w:rFonts w:ascii="宋体" w:hAnsi="宋体" w:hint="eastAsia"/>
          <w:bCs/>
          <w:sz w:val="18"/>
          <w:szCs w:val="18"/>
        </w:rPr>
        <w:t>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EC76A0" w:rsidRDefault="009A77F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EC76A0" w:rsidRDefault="009A77F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EC76A0" w:rsidRDefault="009A77F2">
      <w:pPr>
        <w:spacing w:line="360" w:lineRule="auto"/>
        <w:ind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w:t>
      </w:r>
      <w:proofErr w:type="gramStart"/>
      <w:r>
        <w:rPr>
          <w:rFonts w:ascii="黑体" w:eastAsia="黑体" w:hAnsi="黑体" w:hint="eastAsia"/>
          <w:b/>
          <w:bCs/>
          <w:sz w:val="18"/>
          <w:szCs w:val="18"/>
        </w:rPr>
        <w:t>若构成</w:t>
      </w:r>
      <w:proofErr w:type="gramEnd"/>
      <w:r>
        <w:rPr>
          <w:rFonts w:ascii="黑体" w:eastAsia="黑体" w:hAnsi="黑体" w:hint="eastAsia"/>
          <w:b/>
          <w:bCs/>
          <w:sz w:val="18"/>
          <w:szCs w:val="18"/>
        </w:rPr>
        <w:t>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rsidR="00EC76A0" w:rsidRDefault="009A77F2">
      <w:pPr>
        <w:widowControl/>
        <w:spacing w:line="360" w:lineRule="auto"/>
        <w:jc w:val="left"/>
        <w:rPr>
          <w:bCs/>
          <w:sz w:val="24"/>
        </w:rPr>
      </w:pPr>
      <w:r>
        <w:rPr>
          <w:bCs/>
          <w:sz w:val="24"/>
        </w:rPr>
        <w:br w:type="page"/>
      </w:r>
    </w:p>
    <w:p w:rsidR="00EC76A0" w:rsidRDefault="009A77F2">
      <w:pPr>
        <w:pStyle w:val="1"/>
        <w:spacing w:before="0" w:after="0" w:line="360" w:lineRule="auto"/>
        <w:jc w:val="center"/>
        <w:rPr>
          <w:rFonts w:ascii="Times New Roman"/>
          <w:b w:val="0"/>
          <w:sz w:val="30"/>
        </w:rPr>
      </w:pPr>
      <w:bookmarkStart w:id="155" w:name="_Toc79154675"/>
      <w:bookmarkStart w:id="156" w:name="_Toc88747131"/>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EC76A0" w:rsidRDefault="009A77F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1.拟投资市场和资产的风险：</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（1）投资</w:t>
      </w:r>
      <w:r w:rsidR="0041270E">
        <w:rPr>
          <w:rFonts w:ascii="宋体" w:hAnsi="宋体" w:hint="eastAsia"/>
          <w:bCs/>
          <w:sz w:val="18"/>
          <w:szCs w:val="18"/>
        </w:rPr>
        <w:t>债权类</w:t>
      </w:r>
      <w:r>
        <w:rPr>
          <w:rFonts w:ascii="宋体" w:hAnsi="宋体" w:hint="eastAsia"/>
          <w:bCs/>
          <w:sz w:val="18"/>
          <w:szCs w:val="18"/>
        </w:rPr>
        <w:t>资产的风险</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1）投资标准化债权类资产的风险</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w:t>
      </w:r>
      <w:r w:rsidR="0041270E">
        <w:rPr>
          <w:rFonts w:ascii="宋体" w:hAnsi="宋体" w:hint="eastAsia"/>
          <w:bCs/>
          <w:sz w:val="18"/>
          <w:szCs w:val="18"/>
        </w:rPr>
        <w:t>债权类</w:t>
      </w:r>
      <w:r>
        <w:rPr>
          <w:rFonts w:ascii="宋体" w:hAnsi="宋体" w:hint="eastAsia"/>
          <w:bCs/>
          <w:sz w:val="18"/>
          <w:szCs w:val="18"/>
        </w:rPr>
        <w:t>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EC76A0" w:rsidRDefault="009A77F2">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EC76A0" w:rsidRDefault="009A77F2">
      <w:pPr>
        <w:spacing w:line="360" w:lineRule="auto"/>
        <w:ind w:firstLineChars="200" w:firstLine="361"/>
        <w:rPr>
          <w:rFonts w:ascii="宋体" w:hAnsi="宋体"/>
          <w:b/>
          <w:bCs/>
          <w:sz w:val="18"/>
          <w:szCs w:val="18"/>
        </w:rPr>
      </w:pPr>
      <w:r>
        <w:rPr>
          <w:rFonts w:ascii="宋体" w:hAnsi="宋体" w:hint="eastAsia"/>
          <w:b/>
          <w:bCs/>
          <w:sz w:val="18"/>
          <w:szCs w:val="18"/>
        </w:rPr>
        <w:t xml:space="preserve">（二）投资者投资本产品可能面临的一般风险主要包括（但不限于）： </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EC76A0" w:rsidRDefault="009A77F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EC76A0" w:rsidRDefault="009A77F2">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hint="eastAsia"/>
          <w:sz w:val="18"/>
          <w:szCs w:val="18"/>
        </w:rPr>
        <w:t>品投资</w:t>
      </w:r>
      <w:proofErr w:type="gramEnd"/>
      <w:r>
        <w:rPr>
          <w:rFonts w:ascii="宋体" w:hAnsi="宋体" w:hint="eastAsia"/>
          <w:sz w:val="18"/>
          <w:szCs w:val="18"/>
        </w:rPr>
        <w:t>风险等。</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7.</w:t>
      </w:r>
      <w:proofErr w:type="gramStart"/>
      <w:r>
        <w:rPr>
          <w:rFonts w:ascii="宋体" w:hAnsi="宋体"/>
          <w:sz w:val="18"/>
          <w:szCs w:val="18"/>
        </w:rPr>
        <w:t>早偿风险</w:t>
      </w:r>
      <w:proofErr w:type="gramEnd"/>
      <w:r>
        <w:rPr>
          <w:rFonts w:ascii="宋体" w:hAnsi="宋体"/>
          <w:sz w:val="18"/>
          <w:szCs w:val="18"/>
        </w:rPr>
        <w:t>：</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EC76A0" w:rsidRDefault="009A77F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EC76A0" w:rsidRDefault="009A77F2">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1.理财产品不成立风险：如自本产品开始募集至认购期结束</w:t>
      </w:r>
      <w:proofErr w:type="gramStart"/>
      <w:r>
        <w:rPr>
          <w:rFonts w:ascii="宋体" w:hAnsi="宋体" w:hint="eastAsia"/>
          <w:sz w:val="18"/>
          <w:szCs w:val="18"/>
        </w:rPr>
        <w:t>认购总</w:t>
      </w:r>
      <w:proofErr w:type="gramEnd"/>
      <w:r>
        <w:rPr>
          <w:rFonts w:ascii="宋体" w:hAnsi="宋体" w:hint="eastAsia"/>
          <w:sz w:val="18"/>
          <w:szCs w:val="18"/>
        </w:rPr>
        <w:t>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EC76A0" w:rsidRDefault="009A77F2">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sz w:val="18"/>
          <w:szCs w:val="18"/>
        </w:rPr>
        <w:t>不</w:t>
      </w:r>
      <w:proofErr w:type="gramEnd"/>
      <w:r>
        <w:rPr>
          <w:rFonts w:ascii="黑体" w:eastAsia="黑体" w:hAnsi="黑体" w:hint="eastAsia"/>
          <w:sz w:val="18"/>
          <w:szCs w:val="18"/>
        </w:rPr>
        <w:t>免除因代理销售机构过错依法应由代理销售机构承担的责任。</w:t>
      </w:r>
    </w:p>
    <w:p w:rsidR="00EC76A0" w:rsidRDefault="009A77F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EC76A0" w:rsidRDefault="009A77F2">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EC76A0" w:rsidRDefault="00EC76A0">
      <w:pPr>
        <w:spacing w:line="360" w:lineRule="auto"/>
        <w:ind w:firstLineChars="200" w:firstLine="360"/>
        <w:rPr>
          <w:rFonts w:ascii="宋体" w:hAnsi="宋体"/>
          <w:sz w:val="18"/>
          <w:szCs w:val="18"/>
        </w:rPr>
      </w:pPr>
    </w:p>
    <w:p w:rsidR="00EC76A0" w:rsidRDefault="009A77F2">
      <w:pPr>
        <w:pStyle w:val="Default"/>
        <w:spacing w:line="360" w:lineRule="auto"/>
        <w:rPr>
          <w:rFonts w:hAnsi="宋体"/>
          <w:sz w:val="18"/>
          <w:szCs w:val="18"/>
        </w:rPr>
      </w:pPr>
      <w:r>
        <w:rPr>
          <w:rFonts w:hAnsi="宋体"/>
          <w:sz w:val="18"/>
          <w:szCs w:val="18"/>
        </w:rPr>
        <w:br w:type="page"/>
      </w: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EC76A0">
        <w:trPr>
          <w:trHeight w:hRule="exact" w:val="316"/>
        </w:trPr>
        <w:tc>
          <w:tcPr>
            <w:tcW w:w="8522" w:type="dxa"/>
            <w:gridSpan w:val="2"/>
          </w:tcPr>
          <w:p w:rsidR="00EC76A0" w:rsidRDefault="009A77F2">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EC76A0" w:rsidRDefault="00EC76A0">
            <w:pPr>
              <w:spacing w:line="360" w:lineRule="auto"/>
              <w:rPr>
                <w:b/>
                <w:sz w:val="18"/>
                <w:szCs w:val="18"/>
              </w:rPr>
            </w:pPr>
          </w:p>
        </w:tc>
      </w:tr>
      <w:tr w:rsidR="00EC76A0">
        <w:trPr>
          <w:trHeight w:hRule="exact" w:val="1862"/>
        </w:trPr>
        <w:tc>
          <w:tcPr>
            <w:tcW w:w="882" w:type="dxa"/>
          </w:tcPr>
          <w:p w:rsidR="00EC76A0" w:rsidRDefault="009A77F2">
            <w:pPr>
              <w:spacing w:line="360" w:lineRule="auto"/>
              <w:rPr>
                <w:b/>
                <w:sz w:val="18"/>
                <w:szCs w:val="18"/>
              </w:rPr>
            </w:pPr>
            <w:r>
              <w:rPr>
                <w:rFonts w:hint="eastAsia"/>
                <w:b/>
                <w:sz w:val="18"/>
                <w:szCs w:val="18"/>
              </w:rPr>
              <w:t>个人投资者适用</w:t>
            </w:r>
          </w:p>
        </w:tc>
        <w:tc>
          <w:tcPr>
            <w:tcW w:w="7640" w:type="dxa"/>
          </w:tcPr>
          <w:p w:rsidR="00EC76A0" w:rsidRDefault="009A77F2">
            <w:pPr>
              <w:spacing w:line="360" w:lineRule="auto"/>
              <w:rPr>
                <w:sz w:val="18"/>
                <w:szCs w:val="18"/>
              </w:rPr>
            </w:pPr>
            <w:r>
              <w:rPr>
                <w:rFonts w:hint="eastAsia"/>
                <w:sz w:val="18"/>
                <w:szCs w:val="18"/>
              </w:rPr>
              <w:t>投资者（签字）：</w:t>
            </w:r>
          </w:p>
          <w:p w:rsidR="00EC76A0" w:rsidRDefault="00EC76A0">
            <w:pPr>
              <w:spacing w:line="360" w:lineRule="auto"/>
              <w:rPr>
                <w:b/>
                <w:sz w:val="18"/>
                <w:szCs w:val="18"/>
              </w:rPr>
            </w:pPr>
          </w:p>
          <w:p w:rsidR="00EC76A0" w:rsidRDefault="009A77F2">
            <w:pPr>
              <w:spacing w:line="360" w:lineRule="auto"/>
              <w:rPr>
                <w:sz w:val="18"/>
                <w:szCs w:val="18"/>
              </w:rPr>
            </w:pPr>
            <w:r>
              <w:rPr>
                <w:rFonts w:hint="eastAsia"/>
                <w:sz w:val="18"/>
                <w:szCs w:val="18"/>
              </w:rPr>
              <w:t>日期：</w:t>
            </w:r>
          </w:p>
        </w:tc>
      </w:tr>
      <w:tr w:rsidR="00EC76A0">
        <w:trPr>
          <w:trHeight w:val="1954"/>
        </w:trPr>
        <w:tc>
          <w:tcPr>
            <w:tcW w:w="882" w:type="dxa"/>
          </w:tcPr>
          <w:p w:rsidR="00EC76A0" w:rsidRDefault="009A77F2">
            <w:pPr>
              <w:spacing w:line="360" w:lineRule="auto"/>
              <w:rPr>
                <w:b/>
                <w:sz w:val="18"/>
                <w:szCs w:val="18"/>
              </w:rPr>
            </w:pPr>
            <w:r>
              <w:rPr>
                <w:rFonts w:hint="eastAsia"/>
                <w:b/>
                <w:sz w:val="18"/>
                <w:szCs w:val="18"/>
              </w:rPr>
              <w:t>机构投资者适用</w:t>
            </w:r>
          </w:p>
        </w:tc>
        <w:tc>
          <w:tcPr>
            <w:tcW w:w="7640" w:type="dxa"/>
          </w:tcPr>
          <w:p w:rsidR="00EC76A0" w:rsidRDefault="009A77F2">
            <w:pPr>
              <w:spacing w:line="360" w:lineRule="auto"/>
              <w:rPr>
                <w:rFonts w:cs="Arial"/>
                <w:sz w:val="18"/>
                <w:szCs w:val="18"/>
              </w:rPr>
            </w:pPr>
            <w:r>
              <w:rPr>
                <w:rFonts w:hint="eastAsia"/>
                <w:sz w:val="18"/>
                <w:szCs w:val="18"/>
              </w:rPr>
              <w:t>投资者</w:t>
            </w:r>
            <w:r>
              <w:rPr>
                <w:rFonts w:cs="Arial" w:hint="eastAsia"/>
                <w:sz w:val="18"/>
                <w:szCs w:val="18"/>
              </w:rPr>
              <w:t>（盖章）：</w:t>
            </w:r>
          </w:p>
          <w:p w:rsidR="00EC76A0" w:rsidRDefault="00EC76A0">
            <w:pPr>
              <w:spacing w:line="360" w:lineRule="auto"/>
              <w:rPr>
                <w:rFonts w:cs="Arial"/>
                <w:sz w:val="18"/>
                <w:szCs w:val="18"/>
              </w:rPr>
            </w:pPr>
          </w:p>
          <w:p w:rsidR="00EC76A0" w:rsidRDefault="009A77F2">
            <w:pPr>
              <w:spacing w:line="360" w:lineRule="auto"/>
              <w:rPr>
                <w:rFonts w:cs="Arial"/>
                <w:sz w:val="18"/>
                <w:szCs w:val="18"/>
              </w:rPr>
            </w:pPr>
            <w:r>
              <w:rPr>
                <w:rFonts w:cs="Arial" w:hint="eastAsia"/>
                <w:sz w:val="18"/>
                <w:szCs w:val="18"/>
              </w:rPr>
              <w:t>投资者法定代表人或授权代理人（签字或盖章）：</w:t>
            </w:r>
          </w:p>
          <w:p w:rsidR="00EC76A0" w:rsidRDefault="00EC76A0">
            <w:pPr>
              <w:spacing w:line="360" w:lineRule="auto"/>
              <w:rPr>
                <w:b/>
                <w:sz w:val="18"/>
                <w:szCs w:val="18"/>
              </w:rPr>
            </w:pPr>
          </w:p>
          <w:p w:rsidR="00EC76A0" w:rsidRDefault="009A77F2">
            <w:pPr>
              <w:spacing w:line="360" w:lineRule="auto"/>
              <w:rPr>
                <w:sz w:val="18"/>
                <w:szCs w:val="18"/>
              </w:rPr>
            </w:pPr>
            <w:r>
              <w:rPr>
                <w:rFonts w:hint="eastAsia"/>
                <w:sz w:val="18"/>
                <w:szCs w:val="18"/>
              </w:rPr>
              <w:t>日期：</w:t>
            </w:r>
          </w:p>
        </w:tc>
      </w:tr>
    </w:tbl>
    <w:p w:rsidR="00EC76A0" w:rsidRDefault="009A77F2">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rsidR="00EC76A0" w:rsidRDefault="00EC76A0">
      <w:pPr>
        <w:spacing w:line="360" w:lineRule="auto"/>
        <w:ind w:firstLineChars="200" w:firstLine="360"/>
        <w:rPr>
          <w:rFonts w:ascii="宋体" w:hAnsi="宋体"/>
          <w:sz w:val="18"/>
          <w:szCs w:val="18"/>
        </w:rPr>
      </w:pPr>
    </w:p>
    <w:p w:rsidR="00EC76A0" w:rsidRDefault="00EC76A0">
      <w:pPr>
        <w:pStyle w:val="Default"/>
        <w:spacing w:line="360" w:lineRule="auto"/>
        <w:rPr>
          <w:rFonts w:hAnsi="宋体"/>
          <w:sz w:val="18"/>
          <w:szCs w:val="18"/>
        </w:rPr>
      </w:pPr>
    </w:p>
    <w:sectPr w:rsidR="00EC76A0">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C46" w:rsidRDefault="00012C46">
      <w:r>
        <w:separator/>
      </w:r>
    </w:p>
  </w:endnote>
  <w:endnote w:type="continuationSeparator" w:id="0">
    <w:p w:rsidR="00012C46" w:rsidRDefault="0001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A0" w:rsidRDefault="009A77F2">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967C5A">
      <w:rPr>
        <w:noProof/>
        <w:kern w:val="0"/>
        <w:szCs w:val="21"/>
      </w:rPr>
      <w:t>9</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C46" w:rsidRDefault="00012C46">
      <w:r>
        <w:separator/>
      </w:r>
    </w:p>
  </w:footnote>
  <w:footnote w:type="continuationSeparator" w:id="0">
    <w:p w:rsidR="00012C46" w:rsidRDefault="00012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A0" w:rsidRDefault="009A77F2">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EC76A0" w:rsidRDefault="009A77F2">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56C4F65"/>
    <w:rsid w:val="06F4696E"/>
    <w:rsid w:val="07245E56"/>
    <w:rsid w:val="0AD5214B"/>
    <w:rsid w:val="0C023D8C"/>
    <w:rsid w:val="0E94232E"/>
    <w:rsid w:val="0F1306D5"/>
    <w:rsid w:val="11295396"/>
    <w:rsid w:val="123D50EA"/>
    <w:rsid w:val="163E2FB7"/>
    <w:rsid w:val="187A0D22"/>
    <w:rsid w:val="1A48157B"/>
    <w:rsid w:val="1BD70953"/>
    <w:rsid w:val="1BF87698"/>
    <w:rsid w:val="1E585AB7"/>
    <w:rsid w:val="1EB160C2"/>
    <w:rsid w:val="1FF145B9"/>
    <w:rsid w:val="20B54A10"/>
    <w:rsid w:val="2193546F"/>
    <w:rsid w:val="26F50BA9"/>
    <w:rsid w:val="29026D00"/>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9D1319D"/>
    <w:rsid w:val="4D39606F"/>
    <w:rsid w:val="4F8E3D4D"/>
    <w:rsid w:val="50440547"/>
    <w:rsid w:val="53B3493A"/>
    <w:rsid w:val="5481363B"/>
    <w:rsid w:val="5537323C"/>
    <w:rsid w:val="55855837"/>
    <w:rsid w:val="56503211"/>
    <w:rsid w:val="598B567E"/>
    <w:rsid w:val="5C624734"/>
    <w:rsid w:val="5FE91ABC"/>
    <w:rsid w:val="628E734C"/>
    <w:rsid w:val="648D5239"/>
    <w:rsid w:val="6580603B"/>
    <w:rsid w:val="68C7223A"/>
    <w:rsid w:val="68EF6886"/>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EB36FD-3B9C-4642-AD72-A596C8B6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0.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1.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2.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3.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4.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5.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6.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7.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18.xml><?xml version="1.0" encoding="utf-8"?>
<ds:datastoreItem xmlns:ds="http://schemas.openxmlformats.org/officeDocument/2006/customXml" ds:itemID="{858C8B3F-D11A-488B-B623-BA8019BDC338}">
  <ds:schemaRefs>
    <ds:schemaRef ds:uri="http://schemas.openxmlformats.org/officeDocument/2006/bibliography"/>
  </ds:schemaRefs>
</ds:datastoreItem>
</file>

<file path=customXml/itemProps2.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3.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6.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7.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8.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9.xml><?xml version="1.0" encoding="utf-8"?>
<ds:datastoreItem xmlns:ds="http://schemas.openxmlformats.org/officeDocument/2006/customXml" ds:itemID="{E6D3D55C-3DD8-4C31-8069-E5508DD844F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3581</Words>
  <Characters>20418</Characters>
  <Application>Microsoft Office Word</Application>
  <DocSecurity>0</DocSecurity>
  <Lines>170</Lines>
  <Paragraphs>47</Paragraphs>
  <ScaleCrop>false</ScaleCrop>
  <Company>Microsoft</Company>
  <LinksUpToDate>false</LinksUpToDate>
  <CharactersWithSpaces>23952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110</cp:revision>
  <cp:lastPrinted>2020-09-21T06:35:00Z</cp:lastPrinted>
  <dcterms:created xsi:type="dcterms:W3CDTF">2021-09-06T06:01:00Z</dcterms:created>
  <dcterms:modified xsi:type="dcterms:W3CDTF">2023-05-17T02:15:00Z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