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947456">
        <w:rPr>
          <w:rFonts w:ascii="宋体" w:hAnsi="宋体" w:cs="宋体"/>
          <w:b/>
          <w:bCs/>
          <w:sz w:val="32"/>
          <w:szCs w:val="32"/>
        </w:rPr>
        <w:t>2023年第12期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947456">
        <w:rPr>
          <w:rFonts w:ascii="宋体" w:hAnsi="宋体" w:hint="eastAsia"/>
          <w:b/>
          <w:bCs/>
          <w:color w:val="auto"/>
          <w:sz w:val="21"/>
          <w:szCs w:val="21"/>
        </w:rPr>
        <w:t>2023年第12期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947456">
              <w:rPr>
                <w:rFonts w:ascii="宋体" w:hAnsi="宋体" w:cs="宋体" w:hint="eastAsia"/>
                <w:kern w:val="0"/>
                <w:sz w:val="18"/>
                <w:szCs w:val="18"/>
              </w:rPr>
              <w:t>2023年第12期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947456">
              <w:rPr>
                <w:rFonts w:ascii="宋体" w:hAnsi="宋体" w:hint="eastAsia"/>
                <w:kern w:val="0"/>
                <w:sz w:val="18"/>
                <w:szCs w:val="18"/>
              </w:rPr>
              <w:t>312</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905C15">
              <w:rPr>
                <w:rFonts w:ascii="宋体" w:hAnsi="宋体" w:cs="宋体" w:hint="eastAsia"/>
                <w:kern w:val="0"/>
                <w:sz w:val="18"/>
                <w:szCs w:val="18"/>
              </w:rPr>
              <w:t>045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6352B">
            <w:pPr>
              <w:spacing w:line="320" w:lineRule="exact"/>
              <w:rPr>
                <w:rFonts w:ascii="宋体" w:hAnsi="宋体"/>
                <w:kern w:val="0"/>
              </w:rPr>
            </w:pPr>
            <w:r>
              <w:rPr>
                <w:rFonts w:ascii="宋体" w:hAnsi="宋体" w:cs="宋体" w:hint="eastAsia"/>
                <w:kern w:val="0"/>
                <w:sz w:val="18"/>
                <w:szCs w:val="18"/>
              </w:rPr>
              <w:t>2023年</w:t>
            </w:r>
            <w:r w:rsidR="00DD31A8">
              <w:rPr>
                <w:rFonts w:ascii="宋体" w:hAnsi="宋体" w:cs="宋体" w:hint="eastAsia"/>
                <w:kern w:val="0"/>
                <w:sz w:val="18"/>
                <w:szCs w:val="18"/>
              </w:rPr>
              <w:t>5</w:t>
            </w:r>
            <w:r>
              <w:rPr>
                <w:rFonts w:ascii="宋体" w:hAnsi="宋体" w:cs="宋体" w:hint="eastAsia"/>
                <w:kern w:val="0"/>
                <w:sz w:val="18"/>
                <w:szCs w:val="18"/>
              </w:rPr>
              <w:t>月</w:t>
            </w:r>
            <w:r w:rsidR="00947456">
              <w:rPr>
                <w:rFonts w:ascii="宋体" w:hAnsi="宋体" w:cs="宋体" w:hint="eastAsia"/>
                <w:kern w:val="0"/>
                <w:sz w:val="18"/>
                <w:szCs w:val="18"/>
              </w:rPr>
              <w:t>12</w:t>
            </w:r>
            <w:r>
              <w:rPr>
                <w:rFonts w:ascii="宋体" w:hAnsi="宋体" w:cs="宋体" w:hint="eastAsia"/>
                <w:kern w:val="0"/>
                <w:sz w:val="18"/>
                <w:szCs w:val="18"/>
              </w:rPr>
              <w:t>日至2023年</w:t>
            </w:r>
            <w:r w:rsidR="00AA3D82">
              <w:rPr>
                <w:rFonts w:ascii="宋体" w:hAnsi="宋体" w:cs="宋体" w:hint="eastAsia"/>
                <w:kern w:val="0"/>
                <w:sz w:val="18"/>
                <w:szCs w:val="18"/>
              </w:rPr>
              <w:t>5</w:t>
            </w:r>
            <w:r>
              <w:rPr>
                <w:rFonts w:ascii="宋体" w:hAnsi="宋体" w:cs="宋体" w:hint="eastAsia"/>
                <w:kern w:val="0"/>
                <w:sz w:val="18"/>
                <w:szCs w:val="18"/>
              </w:rPr>
              <w:t>月</w:t>
            </w:r>
            <w:r w:rsidR="00947456">
              <w:rPr>
                <w:rFonts w:ascii="宋体" w:hAnsi="宋体" w:cs="宋体" w:hint="eastAsia"/>
                <w:kern w:val="0"/>
                <w:sz w:val="18"/>
                <w:szCs w:val="18"/>
              </w:rPr>
              <w:t>17</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947456">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AA3D82">
              <w:rPr>
                <w:rFonts w:ascii="宋体" w:hAnsi="宋体" w:cs="宋体" w:hint="eastAsia"/>
                <w:kern w:val="0"/>
                <w:sz w:val="18"/>
                <w:szCs w:val="18"/>
              </w:rPr>
              <w:t>5</w:t>
            </w:r>
            <w:r>
              <w:rPr>
                <w:rFonts w:ascii="宋体" w:hAnsi="宋体" w:cs="宋体" w:hint="eastAsia"/>
                <w:kern w:val="0"/>
                <w:sz w:val="18"/>
                <w:szCs w:val="18"/>
              </w:rPr>
              <w:t>月</w:t>
            </w:r>
            <w:r w:rsidR="00947456">
              <w:rPr>
                <w:rFonts w:ascii="宋体" w:hAnsi="宋体" w:cs="宋体" w:hint="eastAsia"/>
                <w:kern w:val="0"/>
                <w:sz w:val="18"/>
                <w:szCs w:val="18"/>
              </w:rPr>
              <w:t>18</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947456">
              <w:rPr>
                <w:rFonts w:ascii="宋体" w:hAnsi="宋体" w:cs="宋体" w:hint="eastAsia"/>
                <w:kern w:val="0"/>
                <w:sz w:val="18"/>
                <w:szCs w:val="18"/>
              </w:rPr>
              <w:t>23</w:t>
            </w:r>
            <w:r>
              <w:rPr>
                <w:rFonts w:ascii="宋体" w:hAnsi="宋体" w:cs="宋体" w:hint="eastAsia"/>
                <w:kern w:val="0"/>
                <w:sz w:val="18"/>
                <w:szCs w:val="18"/>
              </w:rPr>
              <w:t>年</w:t>
            </w:r>
            <w:r w:rsidR="00947456">
              <w:rPr>
                <w:rFonts w:ascii="宋体" w:hAnsi="宋体" w:cs="宋体" w:hint="eastAsia"/>
                <w:kern w:val="0"/>
                <w:sz w:val="18"/>
                <w:szCs w:val="18"/>
              </w:rPr>
              <w:t>11</w:t>
            </w:r>
            <w:r>
              <w:rPr>
                <w:rFonts w:ascii="宋体" w:hAnsi="宋体" w:cs="宋体" w:hint="eastAsia"/>
                <w:kern w:val="0"/>
                <w:sz w:val="18"/>
                <w:szCs w:val="18"/>
              </w:rPr>
              <w:t>月</w:t>
            </w:r>
            <w:r w:rsidR="00947456">
              <w:rPr>
                <w:rFonts w:ascii="宋体" w:hAnsi="宋体" w:cs="宋体" w:hint="eastAsia"/>
                <w:kern w:val="0"/>
                <w:sz w:val="18"/>
                <w:szCs w:val="18"/>
              </w:rPr>
              <w:t>24</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947456" w:rsidP="0053643D">
            <w:pPr>
              <w:spacing w:line="320" w:lineRule="exact"/>
              <w:rPr>
                <w:rFonts w:ascii="宋体" w:hAnsi="宋体" w:cs="宋体"/>
                <w:kern w:val="0"/>
                <w:sz w:val="18"/>
                <w:szCs w:val="18"/>
              </w:rPr>
            </w:pPr>
            <w:r>
              <w:rPr>
                <w:rFonts w:ascii="宋体" w:hAnsi="宋体" w:cs="宋体" w:hint="eastAsia"/>
                <w:kern w:val="0"/>
                <w:sz w:val="18"/>
                <w:szCs w:val="18"/>
              </w:rPr>
              <w:t>190</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905C15">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905C15">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905C15">
              <w:rPr>
                <w:rFonts w:ascii="宋体" w:hAnsi="宋体" w:cs="宋体" w:hint="eastAsia"/>
                <w:color w:val="000000"/>
                <w:kern w:val="0"/>
                <w:sz w:val="18"/>
                <w:szCs w:val="18"/>
              </w:rPr>
              <w:t>3.6</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A3940"/>
    <w:rsid w:val="008F52BF"/>
    <w:rsid w:val="0090172D"/>
    <w:rsid w:val="00905C15"/>
    <w:rsid w:val="00932F83"/>
    <w:rsid w:val="00941F4A"/>
    <w:rsid w:val="00947456"/>
    <w:rsid w:val="00976F47"/>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E020C"/>
    <w:rsid w:val="00D74924"/>
    <w:rsid w:val="00DB1EBC"/>
    <w:rsid w:val="00DC0A3A"/>
    <w:rsid w:val="00DC3E03"/>
    <w:rsid w:val="00DD31A8"/>
    <w:rsid w:val="00E4485B"/>
    <w:rsid w:val="00E6239E"/>
    <w:rsid w:val="00E96A0E"/>
    <w:rsid w:val="00EA61A2"/>
    <w:rsid w:val="00EC6F91"/>
    <w:rsid w:val="00EF3AFF"/>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8</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109</cp:revision>
  <dcterms:created xsi:type="dcterms:W3CDTF">2020-04-28T03:10:00Z</dcterms:created>
  <dcterms:modified xsi:type="dcterms:W3CDTF">2023-05-06T04:19:00Z</dcterms:modified>
</cp:coreProperties>
</file>