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0"/>
        </w:rPr>
      </w:pPr>
    </w:p>
    <w:p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简体"/>
          <w:sz w:val="24"/>
        </w:rPr>
      </w:pPr>
    </w:p>
    <w:p>
      <w:pPr>
        <w:pStyle w:val="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hAnsi="仿宋_GB2312" w:eastAsia="仿宋_GB2312" w:cs="仿宋_GB2312"/>
          <w:bCs/>
          <w:kern w:val="0"/>
          <w:sz w:val="52"/>
          <w:szCs w:val="52"/>
          <w:lang w:bidi="zh-CN"/>
        </w:rPr>
      </w:pPr>
      <w:r>
        <w:rPr>
          <w:rFonts w:hint="eastAsia" w:ascii="仿宋_GB2312" w:hAnsi="仿宋_GB2312" w:eastAsia="仿宋_GB2312" w:cs="仿宋_GB2312"/>
          <w:bCs/>
          <w:kern w:val="0"/>
          <w:sz w:val="52"/>
          <w:szCs w:val="52"/>
          <w:lang w:bidi="zh-CN"/>
        </w:rPr>
        <w:t>幸福99零钱包开放式理财计划</w:t>
      </w:r>
    </w:p>
    <w:p>
      <w:pPr>
        <w:autoSpaceDE w:val="0"/>
        <w:autoSpaceDN w:val="0"/>
        <w:spacing w:line="360" w:lineRule="auto"/>
        <w:jc w:val="center"/>
        <w:rPr>
          <w:rFonts w:ascii="仿宋_GB2312" w:hAnsi="仿宋_GB2312" w:eastAsia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hAnsi="仿宋_GB2312" w:eastAsia="仿宋_GB2312" w:cs="仿宋_GB2312"/>
          <w:b/>
          <w:sz w:val="44"/>
        </w:rPr>
        <w:t>年第1季度报告</w:t>
      </w:r>
    </w:p>
    <w:p>
      <w:pPr>
        <w:jc w:val="center"/>
        <w:rPr>
          <w:rFonts w:ascii="宋体" w:hAnsi="宋体" w:eastAsia="宋体" w:cs="Times New Roman"/>
          <w:color w:val="0000FF"/>
          <w:kern w:val="0"/>
          <w:sz w:val="18"/>
          <w:szCs w:val="20"/>
        </w:rPr>
      </w:pPr>
    </w:p>
    <w:p>
      <w:pPr>
        <w:jc w:val="center"/>
        <w:rPr>
          <w:rFonts w:ascii="Times New Roman" w:hAnsi="Times New Roman" w:eastAsia="宋体"/>
          <w:sz w:val="24"/>
        </w:rPr>
      </w:pPr>
    </w:p>
    <w:p>
      <w:pPr>
        <w:jc w:val="center"/>
        <w:rPr>
          <w:rFonts w:eastAsia="宋体"/>
          <w:sz w:val="24"/>
        </w:rPr>
      </w:pPr>
    </w:p>
    <w:p>
      <w:pPr>
        <w:jc w:val="center"/>
        <w:rPr>
          <w:rFonts w:eastAsia="宋体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产品管理人：</w:t>
      </w:r>
      <w:r>
        <w:rPr>
          <w:rFonts w:ascii="仿宋" w:hAnsi="仿宋" w:eastAsia="仿宋"/>
          <w:sz w:val="24"/>
        </w:rPr>
        <w:t>杭银理财有限责任公司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产品托管人：</w:t>
      </w:r>
      <w:r>
        <w:rPr>
          <w:rFonts w:ascii="仿宋" w:hAnsi="仿宋" w:eastAsia="仿宋"/>
          <w:sz w:val="24"/>
        </w:rPr>
        <w:t>杭州银行股份有限公司</w:t>
      </w:r>
    </w:p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2023年4月19日</w:t>
      </w:r>
    </w:p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§1  重要提示</w:t>
      </w:r>
    </w:p>
    <w:tbl>
      <w:tblPr>
        <w:tblStyle w:val="9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仿宋" w:hAnsi="仿宋" w:eastAsia="仿宋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仿宋" w:hAnsi="仿宋" w:eastAsia="仿宋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404040"/>
                <w:kern w:val="0"/>
                <w:sz w:val="24"/>
              </w:rPr>
              <w:t>产品托管人根据本产品合同规定，于</w:t>
            </w:r>
            <w:r>
              <w:rPr>
                <w:rFonts w:ascii="仿宋" w:hAnsi="仿宋" w:eastAsia="仿宋" w:cs="仿宋"/>
                <w:color w:val="404040"/>
                <w:sz w:val="24"/>
              </w:rPr>
              <w:t>2023年3月31日</w:t>
            </w:r>
            <w:r>
              <w:rPr>
                <w:rFonts w:hint="eastAsia" w:ascii="仿宋" w:hAnsi="仿宋" w:eastAsia="仿宋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仿宋" w:hAnsi="仿宋" w:eastAsia="仿宋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404040"/>
                <w:kern w:val="0"/>
                <w:sz w:val="24"/>
              </w:rPr>
              <w:t>产品的过往业绩并不代表其未来表现。投资有风险，投资者在作出投资决策前应仔细阅读本产品的产品说明书。</w:t>
            </w:r>
          </w:p>
          <w:p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仿宋" w:hAnsi="仿宋" w:eastAsia="仿宋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404040"/>
                <w:kern w:val="0"/>
                <w:sz w:val="24"/>
              </w:rPr>
              <w:t>本报告中财务资料未经审计。</w:t>
            </w:r>
          </w:p>
          <w:p>
            <w:pPr>
              <w:widowControl/>
              <w:adjustRightInd w:val="0"/>
              <w:snapToGrid w:val="0"/>
              <w:spacing w:line="42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hAnsi="仿宋" w:eastAsia="仿宋" w:cs="仿宋"/>
                <w:color w:val="404040"/>
                <w:sz w:val="24"/>
              </w:rPr>
              <w:t>2023年1月1日</w:t>
            </w:r>
            <w:r>
              <w:rPr>
                <w:rFonts w:hint="eastAsia" w:ascii="仿宋" w:hAnsi="仿宋" w:eastAsia="仿宋"/>
                <w:color w:val="404040"/>
                <w:kern w:val="0"/>
                <w:sz w:val="24"/>
              </w:rPr>
              <w:t>起至</w:t>
            </w:r>
            <w:r>
              <w:rPr>
                <w:rFonts w:ascii="仿宋" w:hAnsi="仿宋" w:eastAsia="仿宋" w:cs="仿宋"/>
                <w:color w:val="404040"/>
                <w:sz w:val="24"/>
              </w:rPr>
              <w:t>2023年3月31日</w:t>
            </w:r>
            <w:r>
              <w:rPr>
                <w:rFonts w:hint="eastAsia" w:ascii="仿宋" w:hAnsi="仿宋" w:eastAsia="仿宋"/>
                <w:color w:val="404040"/>
                <w:kern w:val="0"/>
                <w:sz w:val="24"/>
              </w:rPr>
              <w:t>止。</w:t>
            </w:r>
          </w:p>
        </w:tc>
      </w:tr>
    </w:tbl>
    <w:p>
      <w:pPr>
        <w:rPr>
          <w:rStyle w:val="12"/>
          <w:rFonts w:ascii="仿宋" w:hAnsi="仿宋" w:eastAsia="仿宋"/>
          <w:color w:val="0000FF"/>
          <w:sz w:val="24"/>
          <w:szCs w:val="24"/>
        </w:rPr>
      </w:pPr>
      <w:r>
        <w:rPr>
          <w:rStyle w:val="12"/>
          <w:rFonts w:ascii="仿宋" w:hAnsi="仿宋" w:eastAsia="仿宋"/>
          <w:color w:val="0000FF"/>
          <w:sz w:val="24"/>
          <w:szCs w:val="24"/>
        </w:rPr>
        <w:t xml:space="preserve"> </w:t>
      </w:r>
    </w:p>
    <w:p>
      <w:pPr>
        <w:pStyle w:val="2"/>
        <w:adjustRightInd w:val="0"/>
        <w:snapToGrid w:val="0"/>
        <w:spacing w:line="56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§2  产品概况</w:t>
      </w:r>
    </w:p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bookmarkStart w:id="0" w:name="_Toc354129567"/>
      <w:r>
        <w:rPr>
          <w:rFonts w:hint="eastAsia" w:ascii="仿宋" w:hAnsi="仿宋" w:eastAsia="仿宋"/>
          <w:b/>
          <w:sz w:val="24"/>
        </w:rPr>
        <w:t>2.1 产品基本情况</w:t>
      </w:r>
      <w:bookmarkEnd w:id="0"/>
    </w:p>
    <w:tbl>
      <w:tblPr>
        <w:tblStyle w:val="9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产品名称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幸福99零钱包开放式理财计划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产品代码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LQB2001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理财信息登记系统登记编码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Z7002220000004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产品成立日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2020年6月23日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产品到期日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产品募集方式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产品运作模式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产品投资性质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业绩比较基准（%）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/>
                <w:color w:val="0000FF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报告期末产品规模（元）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12,488,353,427.34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杠杆水平（%）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106.46%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风险等级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产品管理人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杭银理财有限责任公司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产品托管人</w:t>
            </w:r>
          </w:p>
        </w:tc>
        <w:tc>
          <w:tcPr>
            <w:tcW w:w="5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12"/>
                <w:rFonts w:ascii="仿宋" w:hAnsi="仿宋" w:eastAsia="仿宋" w:cstheme="minorEastAsia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</w:rPr>
              <w:t>杭州银行股份有限公司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*杠杆水平=总资产/理财产品净资产，理财产品净资产=总资产-总负债</w:t>
      </w:r>
    </w:p>
    <w:p>
      <w:pPr>
        <w:adjustRightInd w:val="0"/>
        <w:snapToGrid w:val="0"/>
        <w:spacing w:line="360" w:lineRule="exact"/>
        <w:rPr>
          <w:rFonts w:ascii="仿宋" w:hAnsi="仿宋" w:eastAsia="仿宋"/>
          <w:color w:val="000000"/>
          <w:sz w:val="24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§3  主要财务指标和产品净值表现</w:t>
      </w:r>
    </w:p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3.1 主要财务指标和产品净值表现</w:t>
      </w:r>
    </w:p>
    <w:p>
      <w:pPr>
        <w:adjustRightInd w:val="0"/>
        <w:snapToGrid w:val="0"/>
        <w:spacing w:line="440" w:lineRule="exact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单位：元、份、元/份</w:t>
      </w:r>
    </w:p>
    <w:tbl>
      <w:tblPr>
        <w:tblStyle w:val="9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932"/>
        <w:gridCol w:w="122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主要财务指标</w:t>
            </w:r>
          </w:p>
        </w:tc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报告期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2023年1月1日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-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2023年3月31日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1.期末产品资产净值</w:t>
            </w:r>
          </w:p>
        </w:tc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12,488,353,427.34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2.期末产品总份额</w:t>
            </w:r>
          </w:p>
        </w:tc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12,488,353,427.34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3.期末产品份额单位净值</w:t>
            </w:r>
          </w:p>
        </w:tc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  <w:sz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子产品名称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子产品代码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份额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净值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幸福99零钱包开放式理财计划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LQB2001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1.0000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1,360,193,635.34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零钱包开放式B款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LQB2001B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1.0000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1,429,730,899.69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零钱包开放式C款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LQB2001C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1.0000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5,881,586.64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零钱包开放式D款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LQB2001D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1.0000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743,853,710.92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零钱包开放式E款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LQB2001E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1.0000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3,046,070,932.09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零钱包开放式F款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LQB2001F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1.0000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506,258,399.04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零钱包G款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LQB2001G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1.0000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20,285,772.05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零钱包H款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LQB2001H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1.0000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5,310,758,314.63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零钱包I款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LQB2001I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1.0000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65,320,176.94</w:t>
            </w:r>
          </w:p>
        </w:tc>
      </w:tr>
    </w:tbl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</w:t>
      </w: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 xml:space="preserve"> 产品收益表现</w:t>
      </w:r>
    </w:p>
    <w:tbl>
      <w:tblPr>
        <w:tblStyle w:val="9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近七日年化收益率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幸福99零钱包开放式理财计划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零钱包开放式B款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零钱包开放式C款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零钱包开放式D款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零钱包开放式E款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零钱包开放式F款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零钱包G款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零钱包H款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Style w:val="12"/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4"/>
              </w:rPr>
              <w:t>零钱包I款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2.56%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  <w:color w:val="404040"/>
          <w:kern w:val="0"/>
          <w:sz w:val="24"/>
        </w:rPr>
      </w:pPr>
    </w:p>
    <w:p>
      <w:pPr>
        <w:adjustRightInd w:val="0"/>
        <w:snapToGrid w:val="0"/>
        <w:rPr>
          <w:rFonts w:ascii="仿宋" w:hAnsi="仿宋" w:eastAsia="仿宋"/>
          <w:color w:val="404040"/>
          <w:kern w:val="0"/>
          <w:sz w:val="24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§4  投资组合报告</w:t>
      </w:r>
    </w:p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4.1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报告期内产品投资策略回顾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季度收益率表现不同品种差异较大，信用债整体表现好于利率债和同业存单，受到去年四季度的冲击行情后，信用债在一季度还是利差修复为主的行情，在去年12月份下旬高等级信用债信用利差快速修复后，一季度中低评级信用债的信用利差也开始修复，整体呈现收益率下行为主的行情。而利率债和同业存单，受到一季度贷款高预期、经济基本面预期反复的影响，整体呈现震荡行情。</w:t>
      </w:r>
      <w:r>
        <w:rPr>
          <w:rFonts w:hint="eastAsia" w:ascii="仿宋" w:hAnsi="仿宋" w:eastAsia="仿宋"/>
          <w:sz w:val="24"/>
        </w:rPr>
        <w:cr/>
      </w:r>
      <w:r>
        <w:rPr>
          <w:rFonts w:hint="eastAsia" w:ascii="仿宋" w:hAnsi="仿宋" w:eastAsia="仿宋"/>
          <w:sz w:val="24"/>
        </w:rPr>
        <w:t>债券市场方面；10年国债收益率最高触及2.92%，1年期国股同业存单最高升至2.75%，分别与去年12月份高点持平；二永债和私募信用债也因为市场流动性改善，呈现整体的下行趋势。</w:t>
      </w:r>
      <w:r>
        <w:rPr>
          <w:rFonts w:hint="eastAsia" w:ascii="仿宋" w:hAnsi="仿宋" w:eastAsia="仿宋"/>
          <w:sz w:val="24"/>
        </w:rPr>
        <w:cr/>
      </w:r>
      <w:r>
        <w:rPr>
          <w:rFonts w:hint="eastAsia" w:ascii="仿宋" w:hAnsi="仿宋" w:eastAsia="仿宋"/>
          <w:sz w:val="24"/>
        </w:rPr>
        <w:t xml:space="preserve">    资金方面：一季度央行公开市场微量净投放820亿元，降准释放了接近6000-7000亿的资金，整体较去年四季度变化不大。银行间资金价格较去年四季度相比整体上行，R007均值2.35%，较上年四季度季度均值上行31bp。</w:t>
      </w:r>
    </w:p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4.2产品未来展望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展望2023年2季度，基本面来看，社融数据出现季节性回升，贷款数据远超预期，高频数据看，地产下游销售数据也出现季节性回暖，但持续性依然有待观察。海外经济存在不确定性，欧美数据虽然在高位，但已出现逐步回落趋势；资金面来看，流动性合理充裕的基调仍将持续，在一季度降准后，短期内降准预期会减弱，但预期市场利率依然会围绕政策利率波动，波动幅度会在税期、季末等时点有所扩大。</w:t>
      </w:r>
      <w:r>
        <w:rPr>
          <w:rFonts w:hint="eastAsia" w:ascii="仿宋" w:hAnsi="仿宋" w:eastAsia="仿宋"/>
          <w:sz w:val="24"/>
        </w:rPr>
        <w:cr/>
      </w:r>
      <w:r>
        <w:rPr>
          <w:rFonts w:hint="eastAsia" w:ascii="仿宋" w:hAnsi="仿宋" w:eastAsia="仿宋"/>
          <w:sz w:val="24"/>
        </w:rPr>
        <w:t>本产品以主要投资于债券等固定收益类资产。信用债投资方面，在严格把控信用风险的前提下，挖掘个券的超额收益机会；利率债和同业存单投资方面，继续保持灵活适度操作，择机参与波段机会。</w:t>
      </w:r>
    </w:p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4.3投资组合的流动性风险分析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产品属于现金管理类产品，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4.4 报告期末穿透前投资组合分类</w:t>
      </w:r>
    </w:p>
    <w:tbl>
      <w:tblPr>
        <w:tblStyle w:val="9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5169"/>
        <w:gridCol w:w="31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期末占总资产比例（％）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现金及银行存款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同业存单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41.53%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拆放同业及债券买入返售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28.26%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债券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非标准化债权类资产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权益类投资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金融衍生品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代客境外理财投资QDII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商品类资产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另类资产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公募基金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私募基金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资产管理产品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5.61%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委外投资——协议方式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100.00%</w:t>
            </w:r>
          </w:p>
        </w:tc>
      </w:tr>
    </w:tbl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4.5 报告期末穿透后投资组合分类</w:t>
      </w:r>
    </w:p>
    <w:tbl>
      <w:tblPr>
        <w:tblStyle w:val="9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5186"/>
        <w:gridCol w:w="31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期末占总资产比例（％）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现金及银行存款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2.84%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同业存单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43.69%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拆放同业及债券买入返售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28.58%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债券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24.81%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非标准化债权类资产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权益类投资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金融衍生品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代客境外理财投资QDII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商品类资产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另类资产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公募基金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私募基金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资产管理产品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委外投资——协议方式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5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100.00%</w:t>
            </w:r>
          </w:p>
        </w:tc>
      </w:tr>
    </w:tbl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4.6报告期末投资前十名资产明细</w:t>
      </w:r>
    </w:p>
    <w:p>
      <w:pPr>
        <w:adjustRightInd w:val="0"/>
        <w:snapToGrid w:val="0"/>
        <w:spacing w:line="440" w:lineRule="exact"/>
        <w:ind w:firstLine="6240" w:firstLineChars="26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单位：人民币元</w:t>
      </w:r>
    </w:p>
    <w:tbl>
      <w:tblPr>
        <w:tblStyle w:val="9"/>
        <w:tblW w:w="89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3740"/>
        <w:gridCol w:w="2325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资产名称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金额（元）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占资产净值比例（％）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太平洋稳健宝货币市场产品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401,673,963.55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22中国银行CD036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346,292,973.13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22国开11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333,383,911.62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22国开06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304,650,237.21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23浦发银行CD041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298,936,880.67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23台州银行CD007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298,559,025.14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23重庆农村商行CD010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296,537,820.89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23浦发银行CD060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292,382,277.78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22上海银行CD155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247,863,631.37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平安资管如意37号（货币市场类）</w:t>
            </w:r>
          </w:p>
        </w:tc>
        <w:tc>
          <w:tcPr>
            <w:tcW w:w="23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200,848,255.84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1.61%</w:t>
            </w:r>
          </w:p>
        </w:tc>
      </w:tr>
    </w:tbl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4.7 报告期融资情况</w:t>
      </w:r>
    </w:p>
    <w:p>
      <w:pPr>
        <w:adjustRightInd w:val="0"/>
        <w:snapToGrid w:val="0"/>
        <w:spacing w:line="440" w:lineRule="exact"/>
        <w:ind w:firstLine="6240" w:firstLineChars="26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单位：人民币元</w:t>
      </w:r>
    </w:p>
    <w:tbl>
      <w:tblPr>
        <w:tblStyle w:val="9"/>
        <w:tblW w:w="8931" w:type="dxa"/>
        <w:tblInd w:w="-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2977"/>
        <w:gridCol w:w="2268"/>
        <w:gridCol w:w="3119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金额（元）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占资产净值比例（％）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报告期末质押式回购余额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800,061,369.86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6.41%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报告期末同业拆入余额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0.00%</w:t>
            </w:r>
          </w:p>
        </w:tc>
      </w:tr>
    </w:tbl>
    <w:p>
      <w:pPr>
        <w:adjustRightInd w:val="0"/>
        <w:snapToGrid w:val="0"/>
        <w:spacing w:line="380" w:lineRule="exact"/>
        <w:rPr>
          <w:rFonts w:ascii="仿宋" w:hAnsi="仿宋" w:eastAsia="仿宋" w:cs="Times New Roman"/>
          <w:color w:val="0000FF"/>
          <w:kern w:val="0"/>
          <w:sz w:val="24"/>
          <w:highlight w:val="yellow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§5  产品份额变动</w:t>
      </w:r>
    </w:p>
    <w:p>
      <w:pPr>
        <w:adjustRightInd w:val="0"/>
        <w:snapToGrid w:val="0"/>
        <w:spacing w:line="440" w:lineRule="exact"/>
        <w:ind w:firstLine="6240" w:firstLineChars="260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单位：份</w:t>
      </w:r>
    </w:p>
    <w:tbl>
      <w:tblPr>
        <w:tblStyle w:val="9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3"/>
        <w:gridCol w:w="4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报告期期初产品份额总额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4,991,474,405.11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报告期期末产品份额总额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12,488,353,427.34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§6 前10名投资者信息</w:t>
      </w:r>
    </w:p>
    <w:tbl>
      <w:tblPr>
        <w:tblStyle w:val="9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96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机构类型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持有份额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份额占比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机构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35,064,302.20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10,009,719.34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9,031,819.59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7,191,874.92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6,149,605.70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6,014,539.01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5,979,700.35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5,399,590.47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5,207,819.71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5,034,935.81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0.04%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仿宋" w:hAnsi="仿宋" w:eastAsia="仿宋" w:cs="Times New Roman"/>
          <w:color w:val="404040"/>
          <w:kern w:val="0"/>
          <w:sz w:val="24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§7 托管人报告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仿宋" w:hAnsi="仿宋" w:eastAsia="仿宋" w:cs="仿宋_GB2312"/>
          <w:bCs/>
          <w:sz w:val="24"/>
        </w:rPr>
      </w:pPr>
      <w:r>
        <w:rPr>
          <w:rFonts w:hint="eastAsia" w:ascii="仿宋" w:hAnsi="仿宋" w:eastAsia="仿宋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>
      <w:pPr>
        <w:widowControl/>
        <w:adjustRightInd w:val="0"/>
        <w:snapToGrid w:val="0"/>
        <w:jc w:val="left"/>
        <w:rPr>
          <w:rFonts w:ascii="仿宋" w:hAnsi="仿宋" w:eastAsia="仿宋" w:cs="Times New Roman"/>
          <w:color w:val="404040"/>
          <w:kern w:val="0"/>
          <w:sz w:val="24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§8 报告期内关联交易情况</w:t>
      </w:r>
    </w:p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8.1 产品投资于关联方发行或承销的证券、资产管理产品，或其他关联交易</w:t>
      </w:r>
    </w:p>
    <w:p>
      <w:pPr>
        <w:adjustRightInd w:val="0"/>
        <w:snapToGrid w:val="0"/>
        <w:spacing w:line="440" w:lineRule="exact"/>
        <w:ind w:firstLine="6240" w:firstLineChars="2600"/>
        <w:jc w:val="righ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单位：元、份</w:t>
      </w:r>
    </w:p>
    <w:tbl>
      <w:tblPr>
        <w:tblStyle w:val="10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43"/>
        <w:gridCol w:w="1253"/>
        <w:gridCol w:w="873"/>
        <w:gridCol w:w="851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8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份额</w:t>
            </w:r>
          </w:p>
        </w:tc>
      </w:tr>
    </w:tbl>
    <w:p>
      <w:pPr>
        <w:adjustRightInd w:val="0"/>
        <w:snapToGrid w:val="0"/>
        <w:spacing w:line="440" w:lineRule="exact"/>
        <w:outlineLvl w:val="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8.2 产品向关联方支付的费用</w:t>
      </w:r>
    </w:p>
    <w:tbl>
      <w:tblPr>
        <w:tblStyle w:val="10"/>
        <w:tblW w:w="89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261"/>
        <w:gridCol w:w="1984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交易金额（元）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托管费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540,388.69</w:t>
            </w:r>
          </w:p>
        </w:tc>
      </w:tr>
    </w:tbl>
    <w:p>
      <w:pPr>
        <w:widowControl/>
        <w:adjustRightInd w:val="0"/>
        <w:snapToGrid w:val="0"/>
        <w:ind w:firstLine="480" w:firstLineChars="200"/>
        <w:jc w:val="left"/>
        <w:rPr>
          <w:rFonts w:ascii="仿宋" w:hAnsi="仿宋" w:eastAsia="仿宋" w:cs="Times New Roman"/>
          <w:color w:val="404040"/>
          <w:kern w:val="0"/>
          <w:sz w:val="24"/>
        </w:rPr>
      </w:pPr>
    </w:p>
    <w:p>
      <w:pPr>
        <w:widowControl/>
        <w:adjustRightInd w:val="0"/>
        <w:snapToGrid w:val="0"/>
        <w:ind w:firstLine="480" w:firstLineChars="200"/>
        <w:jc w:val="left"/>
        <w:rPr>
          <w:rFonts w:ascii="仿宋" w:hAnsi="仿宋" w:eastAsia="仿宋"/>
          <w:color w:val="404040"/>
          <w:kern w:val="0"/>
          <w:sz w:val="24"/>
        </w:rPr>
      </w:pPr>
    </w:p>
    <w:p>
      <w:pPr>
        <w:ind w:left="360"/>
        <w:jc w:val="right"/>
        <w:rPr>
          <w:rFonts w:ascii="仿宋" w:hAnsi="仿宋" w:eastAsia="仿宋"/>
          <w:sz w:val="24"/>
        </w:rPr>
      </w:pPr>
    </w:p>
    <w:p>
      <w:pPr>
        <w:ind w:left="36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杭银理财有限责任公司</w:t>
      </w:r>
    </w:p>
    <w:p>
      <w:pPr>
        <w:jc w:val="righ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2023年4月19日</w:t>
      </w:r>
    </w:p>
    <w:p>
      <w:pPr>
        <w:rPr>
          <w:rFonts w:ascii="仿宋" w:hAnsi="仿宋" w:eastAsia="仿宋"/>
          <w:sz w:val="24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A846B5"/>
    <w:rsid w:val="6F7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0"/>
    <w:pPr>
      <w:spacing w:after="120"/>
    </w:pPr>
    <w:rPr>
      <w:rFonts w:ascii="Times New Roman" w:hAnsi="Times New Roman" w:eastAsia="方正仿宋简体" w:cs="Times New Roman"/>
      <w:sz w:val="32"/>
      <w:szCs w:val="20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Times New Roman"/>
      <w:kern w:val="0"/>
      <w:sz w:val="24"/>
      <w:szCs w:val="20"/>
    </w:rPr>
  </w:style>
  <w:style w:type="table" w:styleId="10">
    <w:name w:val="Table Grid"/>
    <w:basedOn w:val="9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1">
    <w:name w:val="标题 2 字符"/>
    <w:basedOn w:val="8"/>
    <w:link w:val="2"/>
    <w:uiPriority w:val="0"/>
    <w:rPr>
      <w:rFonts w:ascii="Arial" w:hAnsi="Arial" w:eastAsia="宋体"/>
      <w:b/>
    </w:rPr>
  </w:style>
  <w:style w:type="character" w:customStyle="1" w:styleId="12">
    <w:name w:val="正文文本 字符"/>
    <w:basedOn w:val="8"/>
    <w:link w:val="3"/>
    <w:qFormat/>
    <w:uiPriority w:val="0"/>
    <w:rPr>
      <w:rFonts w:ascii="Times New Roman" w:hAnsi="Times New Roman" w:eastAsia="方正仿宋简体" w:cs="Times New Roman"/>
      <w:sz w:val="32"/>
      <w:szCs w:val="20"/>
    </w:rPr>
  </w:style>
  <w:style w:type="character" w:customStyle="1" w:styleId="13">
    <w:name w:val="页眉 字符"/>
    <w:basedOn w:val="8"/>
    <w:link w:val="6"/>
    <w:uiPriority w:val="0"/>
    <w:rPr>
      <w:sz w:val="18"/>
    </w:rPr>
  </w:style>
  <w:style w:type="character" w:customStyle="1" w:styleId="14">
    <w:name w:val="页脚 字符"/>
    <w:basedOn w:val="8"/>
    <w:link w:val="5"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</Words>
  <Characters>2003</Characters>
  <Lines>16</Lines>
  <Paragraphs>4</Paragraphs>
  <TotalTime>320</TotalTime>
  <ScaleCrop>false</ScaleCrop>
  <LinksUpToDate>false</LinksUpToDate>
  <CharactersWithSpaces>2350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2023-04-13T06:20:00Z</dcterms:created>
  <dc:creator>s c</dc:creator>
  <cp:lastModifiedBy>未定义</cp:lastModifiedBy>
  <dcterms:modified xsi:type="dcterms:W3CDTF">2023-04-19T03:31:12Z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C1B0491A69F9683744CD34647570BA27_42</vt:lpwstr>
  </property>
  <property fmtid="{D5CDD505-2E9C-101B-9397-08002B2CF9AE}" pid="3" name="KSOProductBuildVer">
    <vt:lpwstr>2052-11.8.2.8053</vt:lpwstr>
  </property>
</Properties>
</file>