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757A88">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A64C74">
        <w:rPr>
          <w:rFonts w:ascii="宋体" w:hAnsi="宋体" w:cs="宋体" w:hint="eastAsia"/>
          <w:b/>
          <w:bCs/>
          <w:sz w:val="32"/>
          <w:szCs w:val="32"/>
        </w:rPr>
        <w:t>”丰收信福1号”</w:t>
      </w:r>
      <w:r w:rsidR="006236E8">
        <w:rPr>
          <w:rFonts w:ascii="宋体" w:hAnsi="宋体" w:cs="宋体" w:hint="eastAsia"/>
          <w:b/>
          <w:bCs/>
          <w:sz w:val="32"/>
          <w:szCs w:val="32"/>
        </w:rPr>
        <w:t>2023年第</w:t>
      </w:r>
      <w:r w:rsidR="00EB77DC">
        <w:rPr>
          <w:rFonts w:ascii="宋体" w:hAnsi="宋体" w:cs="宋体" w:hint="eastAsia"/>
          <w:b/>
          <w:bCs/>
          <w:sz w:val="32"/>
          <w:szCs w:val="32"/>
        </w:rPr>
        <w:t>7</w:t>
      </w:r>
      <w:r w:rsidR="006236E8">
        <w:rPr>
          <w:rFonts w:ascii="宋体" w:hAnsi="宋体" w:cs="宋体" w:hint="eastAsia"/>
          <w:b/>
          <w:bCs/>
          <w:sz w:val="32"/>
          <w:szCs w:val="32"/>
        </w:rPr>
        <w:t>期</w:t>
      </w:r>
      <w:r w:rsidRPr="00AB67C0">
        <w:rPr>
          <w:rFonts w:ascii="宋体" w:hAnsi="宋体" w:cs="宋体" w:hint="eastAsia"/>
          <w:b/>
          <w:bCs/>
          <w:sz w:val="32"/>
          <w:szCs w:val="32"/>
        </w:rPr>
        <w:t>人民币理财产品说明书</w:t>
      </w:r>
    </w:p>
    <w:p w:rsidR="0040135F" w:rsidRPr="00AB67C0" w:rsidRDefault="0040135F" w:rsidP="00757A88">
      <w:pPr>
        <w:spacing w:line="360" w:lineRule="exact"/>
        <w:jc w:val="center"/>
        <w:rPr>
          <w:rFonts w:ascii="宋体" w:hAnsi="宋体"/>
          <w:b/>
          <w:bCs/>
          <w:sz w:val="32"/>
          <w:szCs w:val="32"/>
        </w:rPr>
      </w:pP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sidR="00A64C74">
        <w:rPr>
          <w:rFonts w:ascii="宋体" w:hAnsi="宋体" w:hint="eastAsia"/>
          <w:b/>
          <w:bCs/>
          <w:color w:val="auto"/>
          <w:sz w:val="21"/>
          <w:szCs w:val="21"/>
        </w:rPr>
        <w:t>”丰收信福1号”</w:t>
      </w:r>
      <w:r w:rsidR="006236E8">
        <w:rPr>
          <w:rFonts w:ascii="宋体" w:hAnsi="宋体" w:hint="eastAsia"/>
          <w:b/>
          <w:bCs/>
          <w:color w:val="auto"/>
          <w:sz w:val="21"/>
          <w:szCs w:val="21"/>
        </w:rPr>
        <w:t>2023年第</w:t>
      </w:r>
      <w:r w:rsidR="00EB77DC">
        <w:rPr>
          <w:rFonts w:ascii="宋体" w:hAnsi="宋体" w:hint="eastAsia"/>
          <w:b/>
          <w:bCs/>
          <w:color w:val="auto"/>
          <w:sz w:val="21"/>
          <w:szCs w:val="21"/>
        </w:rPr>
        <w:t>7</w:t>
      </w:r>
      <w:r w:rsidR="006236E8">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本说明书中，除非另有明确说明，否则下列词语或简称具有如下含义：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产品/理财计划：指新昌农商银行“丰收信福1号”人民币理财产品。</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发行银行：指浙江新昌农村商业银行股份有限公司。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销售银行：指浙江新昌农村商业银行股份有限公司。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产品管理人：指浙江新昌农村商业银行股份有限公司。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产品托管人：指招商银行股份有限公司杭州分行。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估值外包机构：指招商银行股份有限公司。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托管机构主要职责：为每只理财产品开设独立的托管账户，不同托管账户中的资产应当</w:t>
      </w:r>
      <w:r w:rsidRPr="00E76F64">
        <w:rPr>
          <w:rFonts w:ascii="宋体" w:hAnsi="宋体" w:cs="宋体" w:hint="eastAsia"/>
          <w:sz w:val="21"/>
          <w:szCs w:val="21"/>
        </w:rPr>
        <w:lastRenderedPageBreak/>
        <w:t>相互独立；根据合同及法律法规规定对投资运作进行监督等职责。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理财合作机构：中信证券股份有限公司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理财产品投资由中信证券股份有限公司（以下简称“中信证券”）管理的集合资产管理计划。中信证券是一家综合性、全牌照大型券商，净资本859亿元，其股东为中国中信有限公司。截至2021年，其资产管理业务规模1.7万亿元。中信证券依法承担资产管理计划的销售、登记、备案、信披、管理、运作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理财产品认购期：是指银行接受客户认购本理财产品的起止期限。</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工作日：除双休日和国家法定假日外的法定工作日。</w:t>
      </w:r>
    </w:p>
    <w:p w:rsidR="00C03E6A" w:rsidRPr="00AB67C0" w:rsidRDefault="00E76F64" w:rsidP="00757A88">
      <w:pPr>
        <w:pStyle w:val="Default"/>
        <w:adjustRightInd/>
        <w:spacing w:line="360" w:lineRule="exact"/>
        <w:ind w:firstLineChars="200" w:firstLine="420"/>
        <w:rPr>
          <w:rFonts w:ascii="宋体" w:hAnsi="宋体" w:cs="Times New Roman"/>
          <w:sz w:val="21"/>
          <w:szCs w:val="21"/>
        </w:rPr>
      </w:pPr>
      <w:r w:rsidRPr="00E76F64">
        <w:rPr>
          <w:rFonts w:ascii="宋体" w:hAnsi="宋体" w:cs="宋体" w:hint="eastAsia"/>
          <w:sz w:val="21"/>
          <w:szCs w:val="21"/>
        </w:rPr>
        <w:t>投资周期：本理财产品投资周期是指产品成立日（含）至产品到期日（不含）之间的时间。</w:t>
      </w:r>
    </w:p>
    <w:p w:rsidR="00C03E6A" w:rsidRPr="00AB67C0" w:rsidRDefault="00C03E6A" w:rsidP="00757A88">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E76F64" w:rsidRPr="00E76F64" w:rsidRDefault="00E76F64" w:rsidP="00757A88">
      <w:pPr>
        <w:pStyle w:val="a5"/>
        <w:spacing w:line="360" w:lineRule="exact"/>
        <w:ind w:firstLineChars="0" w:firstLine="0"/>
        <w:rPr>
          <w:rFonts w:ascii="宋体" w:hAnsi="宋体" w:cs="宋体"/>
          <w:color w:val="000000"/>
          <w:kern w:val="0"/>
          <w:szCs w:val="21"/>
        </w:rPr>
      </w:pPr>
      <w:r w:rsidRPr="00E76F64">
        <w:rPr>
          <w:rFonts w:ascii="宋体" w:hAnsi="宋体" w:cs="宋体" w:hint="eastAsia"/>
          <w:color w:val="000000"/>
          <w:kern w:val="0"/>
          <w:szCs w:val="21"/>
        </w:rPr>
        <w:t>浙江新昌农村商业银行股份有限公司理财产品风险评级说明：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风险等级</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评级说明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适合投资者</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PR1级（低风险）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保守型、谨慎型、稳健型、进取型、激进型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PR2级（中低风险）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PR3级（中等风险）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PR4级（中高风险）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PR5级（高风险）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激进型</w:t>
            </w: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6B12A4">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757A88">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757A88">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164"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8"/>
        <w:gridCol w:w="7186"/>
      </w:tblGrid>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产品名称</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新昌农商银行丰收信福1号</w:t>
            </w:r>
            <w:r w:rsidR="006236E8">
              <w:rPr>
                <w:rFonts w:ascii="宋体" w:hAnsi="宋体" w:cs="宋体" w:hint="eastAsia"/>
                <w:color w:val="000000"/>
                <w:kern w:val="0"/>
                <w:sz w:val="18"/>
                <w:szCs w:val="18"/>
              </w:rPr>
              <w:t>2023年第</w:t>
            </w:r>
            <w:r w:rsidR="00EB77DC">
              <w:rPr>
                <w:rFonts w:ascii="宋体" w:hAnsi="宋体" w:cs="宋体" w:hint="eastAsia"/>
                <w:color w:val="000000"/>
                <w:kern w:val="0"/>
                <w:sz w:val="18"/>
                <w:szCs w:val="18"/>
              </w:rPr>
              <w:t>7</w:t>
            </w:r>
            <w:r w:rsidR="006236E8">
              <w:rPr>
                <w:rFonts w:ascii="宋体" w:hAnsi="宋体" w:cs="宋体" w:hint="eastAsia"/>
                <w:color w:val="000000"/>
                <w:kern w:val="0"/>
                <w:sz w:val="18"/>
                <w:szCs w:val="18"/>
              </w:rPr>
              <w:t>期</w:t>
            </w:r>
            <w:r w:rsidRPr="00E76F64">
              <w:rPr>
                <w:rFonts w:ascii="宋体" w:hAnsi="宋体" w:cs="宋体" w:hint="eastAsia"/>
                <w:color w:val="000000"/>
                <w:kern w:val="0"/>
                <w:sz w:val="18"/>
                <w:szCs w:val="18"/>
              </w:rPr>
              <w:t>人民币理财产品</w:t>
            </w:r>
          </w:p>
        </w:tc>
      </w:tr>
      <w:tr w:rsidR="00E76F64" w:rsidRPr="00E76F64" w:rsidTr="00E93933">
        <w:trPr>
          <w:trHeight w:val="227"/>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产品编号</w:t>
            </w:r>
          </w:p>
        </w:tc>
        <w:tc>
          <w:tcPr>
            <w:tcW w:w="7186" w:type="dxa"/>
            <w:tcMar>
              <w:top w:w="15" w:type="dxa"/>
              <w:left w:w="15" w:type="dxa"/>
              <w:bottom w:w="0" w:type="dxa"/>
              <w:right w:w="15" w:type="dxa"/>
            </w:tcMar>
            <w:vAlign w:val="center"/>
          </w:tcPr>
          <w:p w:rsidR="00E76F64" w:rsidRPr="00E76F64" w:rsidRDefault="00E76F64" w:rsidP="007D63B9">
            <w:pPr>
              <w:spacing w:line="320" w:lineRule="exact"/>
              <w:rPr>
                <w:rFonts w:ascii="宋体" w:hAnsi="宋体"/>
                <w:color w:val="000000"/>
                <w:kern w:val="0"/>
                <w:sz w:val="18"/>
                <w:szCs w:val="18"/>
              </w:rPr>
            </w:pPr>
            <w:r w:rsidRPr="00E76F64">
              <w:rPr>
                <w:rFonts w:ascii="宋体" w:hAnsi="宋体"/>
                <w:color w:val="000000"/>
                <w:kern w:val="0"/>
                <w:sz w:val="18"/>
                <w:szCs w:val="18"/>
              </w:rPr>
              <w:t>SXXC</w:t>
            </w:r>
            <w:r w:rsidRPr="00E76F64">
              <w:rPr>
                <w:rFonts w:ascii="宋体" w:hAnsi="宋体" w:hint="eastAsia"/>
                <w:color w:val="000000"/>
                <w:kern w:val="0"/>
                <w:sz w:val="18"/>
                <w:szCs w:val="18"/>
              </w:rPr>
              <w:t>FSXF01</w:t>
            </w:r>
            <w:r w:rsidRPr="00E76F64">
              <w:rPr>
                <w:rFonts w:ascii="宋体" w:hAnsi="宋体"/>
                <w:color w:val="000000"/>
                <w:kern w:val="0"/>
                <w:sz w:val="18"/>
                <w:szCs w:val="18"/>
              </w:rPr>
              <w:t>202</w:t>
            </w:r>
            <w:r w:rsidR="00EB77DC">
              <w:rPr>
                <w:rFonts w:ascii="宋体" w:hAnsi="宋体" w:hint="eastAsia"/>
                <w:color w:val="000000"/>
                <w:kern w:val="0"/>
                <w:sz w:val="18"/>
                <w:szCs w:val="18"/>
              </w:rPr>
              <w:t>307</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产品登记编码</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该产品在全国银行业理财信息登记系统的登记编码是</w:t>
            </w:r>
            <w:r w:rsidRPr="00E76F64">
              <w:rPr>
                <w:rFonts w:ascii="宋体" w:hAnsi="宋体" w:cs="宋体"/>
                <w:color w:val="000000"/>
                <w:kern w:val="0"/>
                <w:sz w:val="18"/>
                <w:szCs w:val="18"/>
              </w:rPr>
              <w:t>C112512</w:t>
            </w:r>
            <w:r w:rsidR="007D63B9">
              <w:rPr>
                <w:rFonts w:ascii="宋体" w:hAnsi="宋体" w:cs="宋体" w:hint="eastAsia"/>
                <w:color w:val="000000"/>
                <w:kern w:val="0"/>
                <w:sz w:val="18"/>
                <w:szCs w:val="18"/>
              </w:rPr>
              <w:t>3</w:t>
            </w:r>
            <w:r w:rsidR="00F61211">
              <w:rPr>
                <w:rFonts w:ascii="宋体" w:hAnsi="宋体" w:cs="宋体"/>
                <w:color w:val="000000"/>
                <w:kern w:val="0"/>
                <w:sz w:val="18"/>
                <w:szCs w:val="18"/>
              </w:rPr>
              <w:t>000</w:t>
            </w:r>
            <w:r w:rsidR="007D63B9">
              <w:rPr>
                <w:rFonts w:ascii="宋体" w:hAnsi="宋体" w:cs="宋体" w:hint="eastAsia"/>
                <w:color w:val="000000"/>
                <w:kern w:val="0"/>
                <w:sz w:val="18"/>
                <w:szCs w:val="18"/>
              </w:rPr>
              <w:t>0</w:t>
            </w:r>
            <w:r w:rsidR="0009538C">
              <w:rPr>
                <w:rFonts w:ascii="宋体" w:hAnsi="宋体" w:cs="宋体" w:hint="eastAsia"/>
                <w:color w:val="000000"/>
                <w:kern w:val="0"/>
                <w:sz w:val="18"/>
                <w:szCs w:val="18"/>
              </w:rPr>
              <w:t>34</w:t>
            </w:r>
            <w:r w:rsidRPr="00E76F64">
              <w:rPr>
                <w:rFonts w:ascii="宋体" w:hAnsi="宋体" w:cs="宋体" w:hint="eastAsia"/>
                <w:color w:val="000000"/>
                <w:kern w:val="0"/>
                <w:sz w:val="18"/>
                <w:szCs w:val="18"/>
              </w:rPr>
              <w:t>,客户可依据该编码在“中国理财网（</w:t>
            </w:r>
            <w:r w:rsidRPr="00E76F64">
              <w:rPr>
                <w:rFonts w:ascii="宋体" w:hAnsi="宋体" w:cs="宋体"/>
                <w:color w:val="000000"/>
                <w:kern w:val="0"/>
                <w:sz w:val="18"/>
                <w:szCs w:val="18"/>
              </w:rPr>
              <w:t>www.chinawealth.com.cn</w:t>
            </w:r>
            <w:r w:rsidRPr="00E76F64">
              <w:rPr>
                <w:rFonts w:ascii="宋体" w:hAnsi="宋体" w:cs="宋体" w:hint="eastAsia"/>
                <w:color w:val="000000"/>
                <w:kern w:val="0"/>
                <w:sz w:val="18"/>
                <w:szCs w:val="18"/>
              </w:rPr>
              <w:t>）”查询该产品信息。</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适用客户</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jc w:val="left"/>
              <w:rPr>
                <w:rFonts w:ascii="宋体" w:hAnsi="宋体" w:cs="宋体"/>
                <w:b/>
                <w:kern w:val="0"/>
                <w:sz w:val="18"/>
                <w:szCs w:val="18"/>
              </w:rPr>
            </w:pPr>
            <w:r w:rsidRPr="00E76F64">
              <w:rPr>
                <w:rFonts w:ascii="宋体" w:hAnsi="宋体" w:cs="宋体" w:hint="eastAsia"/>
                <w:color w:val="000000"/>
                <w:kern w:val="0"/>
                <w:sz w:val="18"/>
                <w:szCs w:val="18"/>
              </w:rPr>
              <w:t>本理财产品适合机构投资者及谨慎型</w:t>
            </w:r>
            <w:r w:rsidRPr="00E76F64">
              <w:rPr>
                <w:rFonts w:ascii="宋体" w:hAnsi="宋体" w:cs="宋体" w:hint="eastAsia"/>
                <w:b/>
                <w:kern w:val="0"/>
                <w:sz w:val="18"/>
                <w:szCs w:val="18"/>
              </w:rPr>
              <w:t>、</w:t>
            </w:r>
            <w:r w:rsidRPr="00E76F64">
              <w:rPr>
                <w:rFonts w:ascii="宋体" w:hAnsi="宋体" w:cs="宋体" w:hint="eastAsia"/>
                <w:color w:val="000000"/>
                <w:kern w:val="0"/>
                <w:sz w:val="18"/>
                <w:szCs w:val="18"/>
              </w:rPr>
              <w:t>稳健型、进取型、激进型的个人投资者。</w:t>
            </w:r>
          </w:p>
        </w:tc>
      </w:tr>
      <w:tr w:rsidR="00E76F64" w:rsidRPr="00E76F64" w:rsidTr="00E93933">
        <w:trPr>
          <w:trHeight w:val="210"/>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销售渠道</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个人客户可通过新昌农商银行的营业网点、手机银行等渠道购买。</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机构客户可通过新昌农商银行的营业网点渠道购买。</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交易币种</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人民币</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起点认购金额</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认购起点金额</w:t>
            </w:r>
            <w:r w:rsidRPr="00E76F64">
              <w:rPr>
                <w:rFonts w:ascii="宋体" w:hAnsi="宋体" w:cs="宋体"/>
                <w:color w:val="000000"/>
                <w:kern w:val="0"/>
                <w:sz w:val="18"/>
                <w:szCs w:val="18"/>
              </w:rPr>
              <w:t>1万元</w:t>
            </w:r>
            <w:r w:rsidRPr="00E76F64">
              <w:rPr>
                <w:rFonts w:ascii="宋体" w:hAnsi="宋体" w:cs="宋体" w:hint="eastAsia"/>
                <w:color w:val="000000"/>
                <w:kern w:val="0"/>
                <w:sz w:val="18"/>
                <w:szCs w:val="18"/>
              </w:rPr>
              <w:t>整，超过起点部分，应为</w:t>
            </w:r>
            <w:r w:rsidRPr="00E76F64">
              <w:rPr>
                <w:rFonts w:ascii="宋体" w:hAnsi="宋体" w:cs="宋体"/>
                <w:color w:val="000000"/>
                <w:kern w:val="0"/>
                <w:sz w:val="18"/>
                <w:szCs w:val="18"/>
              </w:rPr>
              <w:t>1000</w:t>
            </w:r>
            <w:r w:rsidRPr="00E76F64">
              <w:rPr>
                <w:rFonts w:ascii="宋体" w:hAnsi="宋体" w:cs="宋体" w:hint="eastAsia"/>
                <w:color w:val="000000"/>
                <w:kern w:val="0"/>
                <w:sz w:val="18"/>
                <w:szCs w:val="18"/>
              </w:rPr>
              <w:t>元的整数倍。</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产品类型</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公募类封闭式净值型理财产品</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投资性质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固定收益类</w:t>
            </w:r>
          </w:p>
        </w:tc>
      </w:tr>
      <w:tr w:rsidR="00E76F64" w:rsidRPr="00E76F64" w:rsidTr="00E93933">
        <w:trPr>
          <w:cantSplit/>
          <w:trHeight w:val="466"/>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产品规模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规模下限为</w:t>
            </w:r>
            <w:r w:rsidRPr="00E76F64">
              <w:rPr>
                <w:rFonts w:ascii="宋体" w:hAnsi="宋体" w:cs="宋体"/>
                <w:color w:val="000000"/>
                <w:kern w:val="0"/>
                <w:sz w:val="18"/>
                <w:szCs w:val="18"/>
              </w:rPr>
              <w:t>30</w:t>
            </w:r>
            <w:r w:rsidRPr="00E76F64">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E76F64" w:rsidRPr="00E76F64" w:rsidTr="00E93933">
        <w:trPr>
          <w:cantSplit/>
          <w:trHeight w:val="25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产品认购期</w:t>
            </w:r>
          </w:p>
        </w:tc>
        <w:tc>
          <w:tcPr>
            <w:tcW w:w="7186" w:type="dxa"/>
            <w:tcMar>
              <w:top w:w="15" w:type="dxa"/>
              <w:left w:w="15" w:type="dxa"/>
              <w:bottom w:w="0" w:type="dxa"/>
              <w:right w:w="15" w:type="dxa"/>
            </w:tcMar>
            <w:vAlign w:val="center"/>
          </w:tcPr>
          <w:p w:rsidR="00E76F64" w:rsidRPr="00E76F64" w:rsidRDefault="006F7291" w:rsidP="006236E8">
            <w:pPr>
              <w:spacing w:line="320" w:lineRule="exact"/>
              <w:rPr>
                <w:rFonts w:ascii="宋体" w:hAnsi="宋体"/>
                <w:color w:val="000000"/>
                <w:kern w:val="0"/>
                <w:sz w:val="30"/>
                <w:szCs w:val="20"/>
              </w:rPr>
            </w:pPr>
            <w:r>
              <w:rPr>
                <w:rFonts w:ascii="宋体" w:hAnsi="宋体" w:cs="宋体" w:hint="eastAsia"/>
                <w:color w:val="000000"/>
                <w:kern w:val="0"/>
                <w:sz w:val="18"/>
                <w:szCs w:val="18"/>
              </w:rPr>
              <w:t>2023年</w:t>
            </w:r>
            <w:r w:rsidR="00EB77DC">
              <w:rPr>
                <w:rFonts w:ascii="宋体" w:hAnsi="宋体" w:cs="宋体" w:hint="eastAsia"/>
                <w:color w:val="000000"/>
                <w:kern w:val="0"/>
                <w:sz w:val="18"/>
                <w:szCs w:val="18"/>
              </w:rPr>
              <w:t>4</w:t>
            </w:r>
            <w:r>
              <w:rPr>
                <w:rFonts w:ascii="宋体" w:hAnsi="宋体" w:cs="宋体" w:hint="eastAsia"/>
                <w:color w:val="000000"/>
                <w:kern w:val="0"/>
                <w:sz w:val="18"/>
                <w:szCs w:val="18"/>
              </w:rPr>
              <w:t>月</w:t>
            </w:r>
            <w:r w:rsidR="00EB77DC">
              <w:rPr>
                <w:rFonts w:ascii="宋体" w:hAnsi="宋体" w:cs="宋体" w:hint="eastAsia"/>
                <w:color w:val="000000"/>
                <w:kern w:val="0"/>
                <w:sz w:val="18"/>
                <w:szCs w:val="18"/>
              </w:rPr>
              <w:t>13</w:t>
            </w:r>
            <w:r>
              <w:rPr>
                <w:rFonts w:ascii="宋体" w:hAnsi="宋体" w:cs="宋体" w:hint="eastAsia"/>
                <w:color w:val="000000"/>
                <w:kern w:val="0"/>
                <w:sz w:val="18"/>
                <w:szCs w:val="18"/>
              </w:rPr>
              <w:t>日至2023年</w:t>
            </w:r>
            <w:r w:rsidR="00EB77DC">
              <w:rPr>
                <w:rFonts w:ascii="宋体" w:hAnsi="宋体" w:cs="宋体" w:hint="eastAsia"/>
                <w:color w:val="000000"/>
                <w:kern w:val="0"/>
                <w:sz w:val="18"/>
                <w:szCs w:val="18"/>
              </w:rPr>
              <w:t>4</w:t>
            </w:r>
            <w:r>
              <w:rPr>
                <w:rFonts w:ascii="宋体" w:hAnsi="宋体" w:cs="宋体" w:hint="eastAsia"/>
                <w:color w:val="000000"/>
                <w:kern w:val="0"/>
                <w:sz w:val="18"/>
                <w:szCs w:val="18"/>
              </w:rPr>
              <w:t>月</w:t>
            </w:r>
            <w:r w:rsidR="00EB77DC">
              <w:rPr>
                <w:rFonts w:ascii="宋体" w:hAnsi="宋体" w:cs="宋体" w:hint="eastAsia"/>
                <w:color w:val="000000"/>
                <w:kern w:val="0"/>
                <w:sz w:val="18"/>
                <w:szCs w:val="18"/>
              </w:rPr>
              <w:t>19</w:t>
            </w:r>
            <w:r>
              <w:rPr>
                <w:rFonts w:ascii="宋体" w:hAnsi="宋体" w:cs="宋体" w:hint="eastAsia"/>
                <w:color w:val="000000"/>
                <w:kern w:val="0"/>
                <w:sz w:val="18"/>
                <w:szCs w:val="18"/>
              </w:rPr>
              <w:t>日</w:t>
            </w:r>
            <w:r w:rsidR="00E76F64" w:rsidRPr="00E76F64">
              <w:rPr>
                <w:rFonts w:ascii="宋体" w:hAnsi="宋体" w:cs="宋体" w:hint="eastAsia"/>
                <w:color w:val="000000"/>
                <w:kern w:val="0"/>
                <w:sz w:val="18"/>
                <w:szCs w:val="18"/>
              </w:rPr>
              <w:t>。</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产品成立日</w:t>
            </w:r>
          </w:p>
        </w:tc>
        <w:tc>
          <w:tcPr>
            <w:tcW w:w="7186" w:type="dxa"/>
            <w:tcMar>
              <w:top w:w="15" w:type="dxa"/>
              <w:left w:w="15" w:type="dxa"/>
              <w:bottom w:w="0" w:type="dxa"/>
              <w:right w:w="15" w:type="dxa"/>
            </w:tcMar>
            <w:vAlign w:val="center"/>
          </w:tcPr>
          <w:p w:rsidR="00360A19" w:rsidRDefault="00360A19" w:rsidP="006236E8">
            <w:pPr>
              <w:spacing w:line="320" w:lineRule="exact"/>
              <w:rPr>
                <w:rFonts w:ascii="宋体" w:hAnsi="宋体"/>
                <w:color w:val="000000"/>
                <w:kern w:val="0"/>
              </w:rPr>
            </w:pPr>
            <w:r>
              <w:rPr>
                <w:rFonts w:ascii="宋体" w:hAnsi="宋体" w:cs="宋体"/>
                <w:color w:val="000000"/>
                <w:kern w:val="0"/>
                <w:sz w:val="18"/>
                <w:szCs w:val="18"/>
              </w:rPr>
              <w:t>20</w:t>
            </w:r>
            <w:r w:rsidR="007D63B9">
              <w:rPr>
                <w:rFonts w:ascii="宋体" w:hAnsi="宋体" w:cs="宋体" w:hint="eastAsia"/>
                <w:color w:val="000000"/>
                <w:kern w:val="0"/>
                <w:sz w:val="18"/>
                <w:szCs w:val="18"/>
              </w:rPr>
              <w:t>23</w:t>
            </w:r>
            <w:r>
              <w:rPr>
                <w:rFonts w:ascii="宋体" w:hAnsi="宋体" w:cs="宋体" w:hint="eastAsia"/>
                <w:color w:val="000000"/>
                <w:kern w:val="0"/>
                <w:sz w:val="18"/>
                <w:szCs w:val="18"/>
              </w:rPr>
              <w:t>年</w:t>
            </w:r>
            <w:r w:rsidR="00EB77DC">
              <w:rPr>
                <w:rFonts w:ascii="宋体" w:hAnsi="宋体" w:cs="宋体" w:hint="eastAsia"/>
                <w:color w:val="000000"/>
                <w:kern w:val="0"/>
                <w:sz w:val="18"/>
                <w:szCs w:val="18"/>
              </w:rPr>
              <w:t>4</w:t>
            </w:r>
            <w:r>
              <w:rPr>
                <w:rFonts w:ascii="宋体" w:hAnsi="宋体" w:cs="宋体" w:hint="eastAsia"/>
                <w:color w:val="000000"/>
                <w:kern w:val="0"/>
                <w:sz w:val="18"/>
                <w:szCs w:val="18"/>
              </w:rPr>
              <w:t>月</w:t>
            </w:r>
            <w:r w:rsidR="00EB77DC">
              <w:rPr>
                <w:rFonts w:ascii="宋体" w:hAnsi="宋体" w:cs="宋体" w:hint="eastAsia"/>
                <w:color w:val="000000"/>
                <w:kern w:val="0"/>
                <w:sz w:val="18"/>
                <w:szCs w:val="18"/>
              </w:rPr>
              <w:t>20</w:t>
            </w:r>
            <w:r>
              <w:rPr>
                <w:rFonts w:ascii="宋体" w:hAnsi="宋体" w:cs="宋体" w:hint="eastAsia"/>
                <w:color w:val="000000"/>
                <w:kern w:val="0"/>
                <w:sz w:val="18"/>
                <w:szCs w:val="18"/>
              </w:rPr>
              <w:t>日。</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产品到期日</w:t>
            </w:r>
          </w:p>
        </w:tc>
        <w:tc>
          <w:tcPr>
            <w:tcW w:w="7186" w:type="dxa"/>
            <w:tcMar>
              <w:top w:w="15" w:type="dxa"/>
              <w:left w:w="15" w:type="dxa"/>
              <w:bottom w:w="0" w:type="dxa"/>
              <w:right w:w="15" w:type="dxa"/>
            </w:tcMar>
            <w:vAlign w:val="center"/>
          </w:tcPr>
          <w:p w:rsidR="00360A19" w:rsidRDefault="00360A19" w:rsidP="006236E8">
            <w:pPr>
              <w:spacing w:line="320" w:lineRule="exact"/>
              <w:rPr>
                <w:rFonts w:ascii="宋体" w:hAnsi="宋体" w:cs="宋体"/>
                <w:color w:val="000000"/>
                <w:kern w:val="0"/>
                <w:sz w:val="18"/>
                <w:szCs w:val="18"/>
              </w:rPr>
            </w:pPr>
            <w:r>
              <w:rPr>
                <w:rFonts w:ascii="宋体" w:hAnsi="宋体" w:cs="宋体"/>
                <w:color w:val="000000"/>
                <w:kern w:val="0"/>
                <w:sz w:val="18"/>
                <w:szCs w:val="18"/>
              </w:rPr>
              <w:t>20</w:t>
            </w:r>
            <w:r w:rsidR="00EB77DC">
              <w:rPr>
                <w:rFonts w:ascii="宋体" w:hAnsi="宋体" w:cs="宋体" w:hint="eastAsia"/>
                <w:color w:val="000000"/>
                <w:kern w:val="0"/>
                <w:sz w:val="18"/>
                <w:szCs w:val="18"/>
              </w:rPr>
              <w:t>24</w:t>
            </w:r>
            <w:r>
              <w:rPr>
                <w:rFonts w:ascii="宋体" w:hAnsi="宋体" w:cs="宋体" w:hint="eastAsia"/>
                <w:color w:val="000000"/>
                <w:kern w:val="0"/>
                <w:sz w:val="18"/>
                <w:szCs w:val="18"/>
              </w:rPr>
              <w:t>年</w:t>
            </w:r>
            <w:r w:rsidR="00EB77DC">
              <w:rPr>
                <w:rFonts w:ascii="宋体" w:hAnsi="宋体" w:cs="宋体" w:hint="eastAsia"/>
                <w:color w:val="000000"/>
                <w:kern w:val="0"/>
                <w:sz w:val="18"/>
                <w:szCs w:val="18"/>
              </w:rPr>
              <w:t>4</w:t>
            </w:r>
            <w:r>
              <w:rPr>
                <w:rFonts w:ascii="宋体" w:hAnsi="宋体" w:cs="宋体" w:hint="eastAsia"/>
                <w:color w:val="000000"/>
                <w:kern w:val="0"/>
                <w:sz w:val="18"/>
                <w:szCs w:val="18"/>
              </w:rPr>
              <w:t>月</w:t>
            </w:r>
            <w:r w:rsidR="00EB77DC">
              <w:rPr>
                <w:rFonts w:ascii="宋体" w:hAnsi="宋体" w:cs="宋体" w:hint="eastAsia"/>
                <w:color w:val="000000"/>
                <w:kern w:val="0"/>
                <w:sz w:val="18"/>
                <w:szCs w:val="18"/>
              </w:rPr>
              <w:t>26</w:t>
            </w:r>
            <w:r>
              <w:rPr>
                <w:rFonts w:ascii="宋体" w:hAnsi="宋体" w:cs="宋体" w:hint="eastAsia"/>
                <w:color w:val="000000"/>
                <w:kern w:val="0"/>
                <w:sz w:val="18"/>
                <w:szCs w:val="18"/>
              </w:rPr>
              <w:t>日。</w:t>
            </w:r>
          </w:p>
        </w:tc>
      </w:tr>
      <w:tr w:rsidR="00E76F64" w:rsidRPr="00E76F64" w:rsidTr="00E93933">
        <w:trPr>
          <w:cantSplit/>
          <w:trHeight w:val="27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理财期限</w:t>
            </w:r>
          </w:p>
        </w:tc>
        <w:tc>
          <w:tcPr>
            <w:tcW w:w="7186" w:type="dxa"/>
            <w:tcMar>
              <w:top w:w="15" w:type="dxa"/>
              <w:left w:w="15" w:type="dxa"/>
              <w:bottom w:w="0" w:type="dxa"/>
              <w:right w:w="15" w:type="dxa"/>
            </w:tcMar>
            <w:vAlign w:val="center"/>
          </w:tcPr>
          <w:p w:rsidR="00E76F64" w:rsidRPr="00E76F64" w:rsidRDefault="00A64C74" w:rsidP="008B5F6E">
            <w:pPr>
              <w:spacing w:line="320" w:lineRule="exact"/>
              <w:rPr>
                <w:rFonts w:ascii="宋体" w:hAnsi="宋体" w:cs="宋体"/>
                <w:color w:val="000000"/>
                <w:kern w:val="0"/>
                <w:sz w:val="18"/>
                <w:szCs w:val="18"/>
              </w:rPr>
            </w:pPr>
            <w:r>
              <w:rPr>
                <w:rFonts w:ascii="宋体" w:hAnsi="宋体" w:cs="宋体" w:hint="eastAsia"/>
                <w:color w:val="000000"/>
                <w:kern w:val="0"/>
                <w:sz w:val="18"/>
                <w:szCs w:val="18"/>
              </w:rPr>
              <w:t>274</w:t>
            </w:r>
            <w:r w:rsidR="006F7291">
              <w:rPr>
                <w:rFonts w:ascii="宋体" w:hAnsi="宋体" w:cs="宋体" w:hint="eastAsia"/>
                <w:color w:val="000000"/>
                <w:kern w:val="0"/>
                <w:sz w:val="18"/>
                <w:szCs w:val="18"/>
              </w:rPr>
              <w:t>天</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资金到账</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单位净值</w:t>
            </w:r>
          </w:p>
        </w:tc>
        <w:tc>
          <w:tcPr>
            <w:tcW w:w="7186" w:type="dxa"/>
            <w:tcMar>
              <w:top w:w="15" w:type="dxa"/>
              <w:left w:w="15" w:type="dxa"/>
              <w:bottom w:w="0" w:type="dxa"/>
              <w:right w:w="15" w:type="dxa"/>
            </w:tcMar>
            <w:vAlign w:val="center"/>
          </w:tcPr>
          <w:p w:rsidR="00E76F64" w:rsidRPr="00E76F64" w:rsidRDefault="00E76F64" w:rsidP="00C23E63">
            <w:pPr>
              <w:spacing w:line="320" w:lineRule="exact"/>
              <w:rPr>
                <w:rFonts w:ascii="宋体" w:hAnsi="宋体" w:cs="宋体"/>
                <w:color w:val="FF0000"/>
                <w:kern w:val="0"/>
                <w:sz w:val="18"/>
                <w:szCs w:val="18"/>
              </w:rPr>
            </w:pPr>
            <w:r w:rsidRPr="00E76F64">
              <w:rPr>
                <w:rFonts w:ascii="宋体" w:hAnsi="宋体" w:cs="宋体" w:hint="eastAsia"/>
                <w:color w:val="000000"/>
                <w:kern w:val="0"/>
                <w:sz w:val="18"/>
                <w:szCs w:val="18"/>
              </w:rPr>
              <w:t>单位净值为提取相关税费后，单位理财计划份额的净值。</w:t>
            </w:r>
            <w:r w:rsidRPr="00E76F64">
              <w:rPr>
                <w:rFonts w:ascii="宋体" w:hAnsi="宋体" w:cs="宋体" w:hint="eastAsia"/>
                <w:kern w:val="0"/>
                <w:sz w:val="18"/>
                <w:szCs w:val="18"/>
              </w:rPr>
              <w:t>理财计划单位净值保留至小数点后第</w:t>
            </w:r>
            <w:r w:rsidR="00C23E63">
              <w:rPr>
                <w:rFonts w:ascii="宋体" w:hAnsi="宋体" w:cs="宋体" w:hint="eastAsia"/>
                <w:kern w:val="0"/>
                <w:sz w:val="18"/>
                <w:szCs w:val="18"/>
              </w:rPr>
              <w:t>8</w:t>
            </w:r>
            <w:r w:rsidRPr="00E76F64">
              <w:rPr>
                <w:rFonts w:ascii="宋体" w:hAnsi="宋体" w:cs="宋体" w:hint="eastAsia"/>
                <w:kern w:val="0"/>
                <w:sz w:val="18"/>
                <w:szCs w:val="18"/>
              </w:rPr>
              <w:t>位，小数点</w:t>
            </w:r>
            <w:r w:rsidR="00C23E63">
              <w:rPr>
                <w:rFonts w:ascii="宋体" w:hAnsi="宋体" w:cs="宋体" w:hint="eastAsia"/>
                <w:kern w:val="0"/>
                <w:sz w:val="18"/>
                <w:szCs w:val="18"/>
              </w:rPr>
              <w:t>8</w:t>
            </w:r>
            <w:r w:rsidRPr="00E76F64">
              <w:rPr>
                <w:rFonts w:ascii="宋体" w:hAnsi="宋体" w:cs="宋体" w:hint="eastAsia"/>
                <w:kern w:val="0"/>
                <w:sz w:val="18"/>
                <w:szCs w:val="18"/>
              </w:rPr>
              <w:t>位以后</w:t>
            </w:r>
            <w:r w:rsidR="00C23E63">
              <w:rPr>
                <w:rFonts w:ascii="宋体" w:hAnsi="宋体" w:cs="宋体" w:hint="eastAsia"/>
                <w:kern w:val="0"/>
                <w:sz w:val="18"/>
                <w:szCs w:val="18"/>
              </w:rPr>
              <w:t>去尾</w:t>
            </w:r>
            <w:r w:rsidRPr="00E76F64">
              <w:rPr>
                <w:rFonts w:ascii="宋体" w:hAnsi="宋体" w:cs="宋体" w:hint="eastAsia"/>
                <w:kern w:val="0"/>
                <w:sz w:val="18"/>
                <w:szCs w:val="18"/>
              </w:rPr>
              <w:t>。</w:t>
            </w:r>
          </w:p>
        </w:tc>
      </w:tr>
      <w:tr w:rsidR="00DD41D7" w:rsidRPr="00E76F64" w:rsidTr="00E93933">
        <w:trPr>
          <w:trHeight w:val="315"/>
          <w:jc w:val="center"/>
        </w:trPr>
        <w:tc>
          <w:tcPr>
            <w:tcW w:w="1978" w:type="dxa"/>
            <w:tcMar>
              <w:top w:w="15" w:type="dxa"/>
              <w:left w:w="15" w:type="dxa"/>
              <w:bottom w:w="0" w:type="dxa"/>
              <w:right w:w="15" w:type="dxa"/>
            </w:tcMar>
            <w:vAlign w:val="center"/>
          </w:tcPr>
          <w:p w:rsidR="00DD41D7" w:rsidRDefault="00DD41D7" w:rsidP="00CF0393">
            <w:pPr>
              <w:widowControl/>
              <w:rPr>
                <w:rFonts w:ascii="宋体" w:hAnsi="宋体"/>
                <w:color w:val="000000"/>
              </w:rPr>
            </w:pPr>
            <w:r>
              <w:rPr>
                <w:rFonts w:ascii="宋体" w:hAnsi="宋体" w:cs="宋体" w:hint="eastAsia"/>
                <w:color w:val="000000"/>
                <w:kern w:val="0"/>
                <w:sz w:val="18"/>
                <w:szCs w:val="18"/>
              </w:rPr>
              <w:t>业绩比较基准区间</w:t>
            </w:r>
          </w:p>
        </w:tc>
        <w:tc>
          <w:tcPr>
            <w:tcW w:w="7186" w:type="dxa"/>
            <w:tcMar>
              <w:top w:w="15" w:type="dxa"/>
              <w:left w:w="15" w:type="dxa"/>
              <w:bottom w:w="0" w:type="dxa"/>
              <w:right w:w="15" w:type="dxa"/>
            </w:tcMar>
            <w:vAlign w:val="center"/>
          </w:tcPr>
          <w:p w:rsidR="00DD41D7" w:rsidRDefault="00DD41D7" w:rsidP="006236E8">
            <w:pPr>
              <w:widowControl/>
              <w:rPr>
                <w:rFonts w:ascii="宋体" w:hAnsi="宋体"/>
                <w:color w:val="000000"/>
              </w:rPr>
            </w:pPr>
            <w:r>
              <w:rPr>
                <w:rFonts w:ascii="宋体" w:hAnsi="宋体" w:cs="宋体" w:hint="eastAsia"/>
                <w:color w:val="000000"/>
                <w:kern w:val="0"/>
                <w:sz w:val="18"/>
                <w:szCs w:val="18"/>
              </w:rPr>
              <w:t>本理财产品业绩比较基准区间为年化</w:t>
            </w:r>
            <w:r w:rsidR="00A64C74">
              <w:rPr>
                <w:rFonts w:ascii="宋体" w:hAnsi="宋体" w:cs="宋体" w:hint="eastAsia"/>
                <w:color w:val="000000"/>
                <w:kern w:val="0"/>
                <w:sz w:val="18"/>
                <w:szCs w:val="18"/>
              </w:rPr>
              <w:t>3.0</w:t>
            </w:r>
            <w:r w:rsidR="006F7291">
              <w:rPr>
                <w:rFonts w:ascii="宋体" w:hAnsi="宋体" w:cs="宋体" w:hint="eastAsia"/>
                <w:color w:val="000000"/>
                <w:kern w:val="0"/>
                <w:sz w:val="18"/>
                <w:szCs w:val="18"/>
              </w:rPr>
              <w:t>%-</w:t>
            </w:r>
            <w:r w:rsidR="0009538C">
              <w:rPr>
                <w:rFonts w:ascii="宋体" w:hAnsi="宋体" w:cs="宋体" w:hint="eastAsia"/>
                <w:color w:val="000000"/>
                <w:kern w:val="0"/>
                <w:sz w:val="18"/>
                <w:szCs w:val="18"/>
              </w:rPr>
              <w:t>3.8</w:t>
            </w:r>
            <w:bookmarkStart w:id="0" w:name="_GoBack"/>
            <w:bookmarkEnd w:id="0"/>
            <w:r w:rsidR="006F7291">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4C22CD">
              <w:rPr>
                <w:rFonts w:ascii="宋体" w:hAnsi="宋体" w:cs="宋体" w:hint="eastAsia"/>
                <w:color w:val="000000"/>
                <w:kern w:val="0"/>
                <w:sz w:val="18"/>
                <w:szCs w:val="18"/>
              </w:rPr>
              <w:t>上述区间</w:t>
            </w:r>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w:t>
            </w:r>
            <w:r>
              <w:rPr>
                <w:rFonts w:ascii="宋体" w:hAnsi="宋体" w:cs="宋体" w:hint="eastAsia"/>
                <w:color w:val="000000"/>
                <w:kern w:val="0"/>
                <w:sz w:val="18"/>
                <w:szCs w:val="18"/>
              </w:rPr>
              <w:lastRenderedPageBreak/>
              <w:t>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lastRenderedPageBreak/>
              <w:t>本金和理财收益</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本理财产品不保障本金和收益。</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投资者理财收益＝理财产品投资份额×产品期末单位净值</w:t>
            </w:r>
            <w:r w:rsidRPr="00E76F64">
              <w:rPr>
                <w:rFonts w:ascii="宋体" w:hAnsi="宋体" w:cs="宋体"/>
                <w:color w:val="000000"/>
                <w:kern w:val="0"/>
                <w:sz w:val="18"/>
                <w:szCs w:val="18"/>
              </w:rPr>
              <w:t>-</w:t>
            </w:r>
            <w:r w:rsidRPr="00E76F64">
              <w:rPr>
                <w:rFonts w:ascii="宋体" w:hAnsi="宋体" w:cs="宋体" w:hint="eastAsia"/>
                <w:color w:val="000000"/>
                <w:kern w:val="0"/>
                <w:sz w:val="18"/>
                <w:szCs w:val="18"/>
              </w:rPr>
              <w:t>客户投资本金。</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相关费用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1．本产品不收取认购费。</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2．本产品管理人按照产品资产净值收取年化0.2%的固定管理费。每日计提，于产品到期支付。</w:t>
            </w:r>
          </w:p>
          <w:p w:rsidR="00E76F64" w:rsidRPr="006A36BB" w:rsidRDefault="00E76F64" w:rsidP="006A36BB">
            <w:pPr>
              <w:rPr>
                <w:rFonts w:ascii="宋体" w:hAnsi="宋体"/>
                <w:color w:val="000000"/>
                <w:kern w:val="0"/>
                <w:sz w:val="18"/>
                <w:szCs w:val="18"/>
              </w:rPr>
            </w:pPr>
            <w:r w:rsidRPr="00E76F64">
              <w:rPr>
                <w:rFonts w:ascii="宋体" w:hAnsi="宋体" w:cs="宋体" w:hint="eastAsia"/>
                <w:color w:val="000000"/>
                <w:kern w:val="0"/>
                <w:sz w:val="18"/>
                <w:szCs w:val="18"/>
              </w:rPr>
              <w:t>3．</w:t>
            </w:r>
            <w:r w:rsidR="006A36BB" w:rsidRPr="00AB67C0">
              <w:rPr>
                <w:rFonts w:ascii="宋体" w:hAnsi="宋体" w:cs="宋体" w:hint="eastAsia"/>
                <w:color w:val="000000"/>
                <w:kern w:val="0"/>
                <w:sz w:val="18"/>
                <w:szCs w:val="18"/>
              </w:rPr>
              <w:t>本产品托管人按照产品</w:t>
            </w:r>
            <w:r w:rsidR="006A36BB">
              <w:rPr>
                <w:rFonts w:ascii="宋体" w:hAnsi="宋体" w:cs="宋体" w:hint="eastAsia"/>
                <w:color w:val="000000"/>
                <w:kern w:val="0"/>
                <w:sz w:val="18"/>
                <w:szCs w:val="18"/>
              </w:rPr>
              <w:t>资产净值</w:t>
            </w:r>
            <w:r w:rsidR="006A36BB" w:rsidRPr="00AB67C0">
              <w:rPr>
                <w:rFonts w:ascii="宋体" w:hAnsi="宋体" w:cs="宋体" w:hint="eastAsia"/>
                <w:color w:val="000000"/>
                <w:kern w:val="0"/>
                <w:sz w:val="18"/>
                <w:szCs w:val="18"/>
              </w:rPr>
              <w:t>收取年化</w:t>
            </w:r>
            <w:r w:rsidR="006A36BB" w:rsidRPr="00AB67C0">
              <w:rPr>
                <w:rFonts w:ascii="宋体" w:hAnsi="宋体" w:cs="宋体"/>
                <w:color w:val="000000"/>
                <w:kern w:val="0"/>
                <w:sz w:val="18"/>
                <w:szCs w:val="18"/>
              </w:rPr>
              <w:t>0.015%</w:t>
            </w:r>
            <w:r w:rsidR="006A36BB" w:rsidRPr="00AB67C0">
              <w:rPr>
                <w:rFonts w:ascii="宋体" w:hAnsi="宋体" w:cs="宋体" w:hint="eastAsia"/>
                <w:color w:val="000000"/>
                <w:kern w:val="0"/>
                <w:sz w:val="18"/>
                <w:szCs w:val="18"/>
              </w:rPr>
              <w:t>的托管费。每日计提，于产品到期支付。</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80%作为浮动管理费，由此造成到期日产品份额净值调整的，以调整后的产品份额净值为准进行收益分配和资金兑付。</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提前终止权</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理财计划存续期内，客户无提前终止权；新昌农商银行有权宣布终止本理财计划。</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融资服务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本理财产品可以办理质押业务，不可以办理转让业务。</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税费规定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支付给客户的理财收益的应纳税款由客户自行申报及缴纳。</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其他规定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color w:val="000000"/>
                <w:kern w:val="0"/>
                <w:sz w:val="18"/>
                <w:szCs w:val="18"/>
              </w:rPr>
              <w:t>1.</w:t>
            </w:r>
            <w:r w:rsidRPr="00E76F64">
              <w:rPr>
                <w:rFonts w:ascii="宋体" w:hAnsi="宋体" w:cs="宋体" w:hint="eastAsia"/>
                <w:color w:val="000000"/>
                <w:kern w:val="0"/>
                <w:sz w:val="18"/>
                <w:szCs w:val="18"/>
              </w:rPr>
              <w:t>认购期内，客户认购资金按当时实行的活期利率计息，募集期内的利息所得不计入认购金额。</w:t>
            </w:r>
          </w:p>
          <w:p w:rsidR="00E76F64" w:rsidRPr="00E76F64" w:rsidRDefault="00E76F64" w:rsidP="00757A88">
            <w:pPr>
              <w:autoSpaceDE w:val="0"/>
              <w:autoSpaceDN w:val="0"/>
              <w:adjustRightInd w:val="0"/>
              <w:spacing w:line="320" w:lineRule="exact"/>
              <w:rPr>
                <w:rFonts w:ascii="宋体" w:hAnsi="宋体"/>
                <w:color w:val="000000"/>
                <w:kern w:val="0"/>
                <w:sz w:val="18"/>
                <w:szCs w:val="18"/>
              </w:rPr>
            </w:pPr>
            <w:r w:rsidRPr="00E76F64">
              <w:rPr>
                <w:rFonts w:ascii="宋体" w:hAnsi="宋体" w:cs="宋体"/>
                <w:color w:val="000000"/>
                <w:kern w:val="0"/>
                <w:sz w:val="18"/>
                <w:szCs w:val="18"/>
              </w:rPr>
              <w:t>2.</w:t>
            </w:r>
            <w:r w:rsidRPr="00E76F64">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76F64" w:rsidRPr="00E76F64" w:rsidRDefault="00E76F64" w:rsidP="00757A88">
            <w:pPr>
              <w:autoSpaceDE w:val="0"/>
              <w:autoSpaceDN w:val="0"/>
              <w:adjustRightInd w:val="0"/>
              <w:spacing w:line="320" w:lineRule="exact"/>
              <w:rPr>
                <w:rFonts w:ascii="宋体" w:hAnsi="宋体" w:cs="宋体"/>
                <w:color w:val="000000"/>
                <w:kern w:val="0"/>
                <w:sz w:val="18"/>
                <w:szCs w:val="18"/>
              </w:rPr>
            </w:pPr>
            <w:r w:rsidRPr="00E76F64">
              <w:rPr>
                <w:rFonts w:ascii="宋体" w:hAnsi="宋体" w:cs="宋体"/>
                <w:color w:val="000000"/>
                <w:kern w:val="0"/>
                <w:sz w:val="18"/>
                <w:szCs w:val="18"/>
              </w:rPr>
              <w:t>3.</w:t>
            </w:r>
            <w:r w:rsidRPr="00E76F64">
              <w:rPr>
                <w:rFonts w:ascii="宋体" w:hAnsi="宋体" w:cs="宋体" w:hint="eastAsia"/>
                <w:color w:val="000000"/>
                <w:kern w:val="0"/>
                <w:sz w:val="18"/>
                <w:szCs w:val="18"/>
              </w:rPr>
              <w:t>新昌农商银行有权根据市场情况和本产品运作情况，对本理财计划的收费项目、条件、标准和方式进行调整。</w:t>
            </w:r>
          </w:p>
          <w:p w:rsidR="00E76F64" w:rsidRPr="00E76F64" w:rsidRDefault="00E76F64" w:rsidP="00757A88">
            <w:pPr>
              <w:autoSpaceDE w:val="0"/>
              <w:autoSpaceDN w:val="0"/>
              <w:adjustRightInd w:val="0"/>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E76F64" w:rsidRPr="00E76F64" w:rsidRDefault="00E76F64" w:rsidP="00757A88">
      <w:pPr>
        <w:spacing w:line="360" w:lineRule="exact"/>
        <w:rPr>
          <w:rFonts w:ascii="宋体" w:hAnsi="宋体" w:cs="宋体"/>
          <w:b/>
          <w:bCs/>
        </w:rPr>
      </w:pPr>
    </w:p>
    <w:p w:rsidR="00C03E6A" w:rsidRPr="00AB67C0" w:rsidRDefault="00C03E6A" w:rsidP="00757A88">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757A88">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757A88">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lastRenderedPageBreak/>
        <w:t>估值方式</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757A88">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（二）本理财计划的各相关费用</w:t>
      </w:r>
    </w:p>
    <w:p w:rsidR="00136C22" w:rsidRPr="00125421"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36C22" w:rsidRPr="00176387"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本理财计划按照年化0.2%的固定费率收取固定管理费。本产品每日计提的固定管理费为：前一日资产净值×0.2%／365。固定管理费按日计提，于产品结束后收取。</w:t>
      </w:r>
    </w:p>
    <w:p w:rsidR="00BF4DC9" w:rsidRPr="00AB67C0" w:rsidRDefault="00136C22" w:rsidP="00757A88">
      <w:pPr>
        <w:pStyle w:val="ListParagraph1"/>
        <w:spacing w:line="360" w:lineRule="exact"/>
        <w:ind w:firstLineChars="0"/>
        <w:rPr>
          <w:rFonts w:ascii="宋体" w:hAnsi="宋体" w:cs="Times New Roman"/>
          <w:kern w:val="0"/>
        </w:rPr>
      </w:pPr>
      <w:r>
        <w:rPr>
          <w:rFonts w:ascii="宋体" w:hAnsi="宋体" w:cs="宋体" w:hint="eastAsia"/>
          <w:kern w:val="0"/>
        </w:rPr>
        <w:t>2</w:t>
      </w:r>
      <w:r w:rsidR="00BF4DC9" w:rsidRPr="00AB67C0">
        <w:rPr>
          <w:rFonts w:ascii="宋体" w:hAnsi="宋体" w:cs="宋体"/>
          <w:kern w:val="0"/>
        </w:rPr>
        <w:t>.</w:t>
      </w:r>
      <w:r w:rsidR="00BF4DC9" w:rsidRPr="00AB67C0">
        <w:rPr>
          <w:rFonts w:ascii="宋体" w:hAnsi="宋体" w:cs="宋体" w:hint="eastAsia"/>
          <w:kern w:val="0"/>
        </w:rPr>
        <w:t>理财托管人的托管费</w:t>
      </w:r>
    </w:p>
    <w:p w:rsidR="00BF4DC9" w:rsidRPr="00AB67C0" w:rsidRDefault="00BF4DC9" w:rsidP="00757A88">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757A88">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176387" w:rsidP="00757A88">
      <w:pPr>
        <w:spacing w:line="360" w:lineRule="exact"/>
        <w:ind w:firstLineChars="200" w:firstLine="420"/>
        <w:rPr>
          <w:rFonts w:ascii="宋体" w:hAnsi="宋体" w:cs="宋体"/>
          <w:kern w:val="0"/>
        </w:rPr>
      </w:pPr>
      <w:r>
        <w:rPr>
          <w:rFonts w:ascii="宋体" w:hAnsi="宋体" w:cs="宋体" w:hint="eastAsia"/>
          <w:kern w:val="0"/>
        </w:rPr>
        <w:t>3</w:t>
      </w:r>
      <w:r w:rsidR="00BF4DC9" w:rsidRPr="00AB67C0">
        <w:rPr>
          <w:rFonts w:ascii="宋体" w:hAnsi="宋体" w:cs="宋体" w:hint="eastAsia"/>
          <w:kern w:val="0"/>
        </w:rPr>
        <w:t>.本产品不收取估值外包服务费。</w:t>
      </w:r>
    </w:p>
    <w:p w:rsidR="00BF4DC9" w:rsidRPr="00AB67C0" w:rsidRDefault="00176387" w:rsidP="00757A88">
      <w:pPr>
        <w:pStyle w:val="ListParagraph1"/>
        <w:widowControl/>
        <w:spacing w:line="360" w:lineRule="exact"/>
        <w:ind w:firstLineChars="0"/>
        <w:contextualSpacing/>
        <w:rPr>
          <w:rFonts w:ascii="宋体" w:hAnsi="宋体" w:cs="宋体"/>
          <w:kern w:val="0"/>
        </w:rPr>
      </w:pPr>
      <w:r>
        <w:rPr>
          <w:rFonts w:ascii="宋体" w:hAnsi="宋体" w:cs="宋体" w:hint="eastAsia"/>
          <w:kern w:val="0"/>
        </w:rPr>
        <w:t>4</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757A88">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w:t>
      </w:r>
      <w:r w:rsidR="00136C22">
        <w:rPr>
          <w:rFonts w:ascii="宋体" w:hAnsi="宋体" w:hint="eastAsia"/>
        </w:rPr>
        <w:t>提取80%</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w:t>
      </w:r>
      <w:r w:rsidRPr="00AB67C0">
        <w:rPr>
          <w:rFonts w:ascii="宋体" w:hAnsi="宋体" w:cs="宋体" w:hint="eastAsia"/>
        </w:rPr>
        <w:lastRenderedPageBreak/>
        <w:t>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2F4F5A" w:rsidRPr="00AB67C0" w:rsidRDefault="002F4F5A" w:rsidP="00757A88">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Pr>
          <w:rFonts w:ascii="宋体" w:hAnsi="宋体" w:hint="eastAsia"/>
        </w:rPr>
        <w:t>80%</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2F4F5A" w:rsidRPr="00AB67C0" w:rsidRDefault="002F4F5A" w:rsidP="00757A88">
      <w:pPr>
        <w:widowControl/>
        <w:spacing w:line="360" w:lineRule="exact"/>
        <w:ind w:firstLineChars="200" w:firstLine="420"/>
        <w:contextualSpacing/>
        <w:rPr>
          <w:rFonts w:ascii="宋体" w:hAnsi="宋体"/>
        </w:rPr>
      </w:pPr>
      <w:r w:rsidRPr="00AB67C0">
        <w:rPr>
          <w:rFonts w:ascii="宋体" w:hAnsi="宋体" w:hint="eastAsia"/>
        </w:rPr>
        <w:t>100,000.00×1.00×(6.20%-5.60%)×80%×362÷365=</w:t>
      </w:r>
      <w:r>
        <w:rPr>
          <w:rFonts w:ascii="宋体" w:hAnsi="宋体" w:hint="eastAsia"/>
        </w:rPr>
        <w:t>476.05</w:t>
      </w:r>
      <w:r w:rsidRPr="00AB67C0">
        <w:rPr>
          <w:rFonts w:ascii="宋体" w:hAnsi="宋体" w:hint="eastAsia"/>
        </w:rPr>
        <w:t>（元）</w:t>
      </w:r>
    </w:p>
    <w:p w:rsidR="002F4F5A" w:rsidRPr="00AB67C0" w:rsidRDefault="002F4F5A" w:rsidP="00757A88">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2F4F5A" w:rsidRPr="00AB67C0" w:rsidRDefault="002F4F5A" w:rsidP="00757A88">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476.05</w:t>
      </w:r>
      <w:r w:rsidRPr="00AB67C0">
        <w:rPr>
          <w:rFonts w:ascii="宋体" w:hAnsi="宋体" w:hint="eastAsia"/>
        </w:rPr>
        <w:t>=</w:t>
      </w:r>
      <w:r>
        <w:rPr>
          <w:rFonts w:ascii="宋体" w:hAnsi="宋体" w:hint="eastAsia"/>
        </w:rPr>
        <w:t>5673.95</w:t>
      </w:r>
      <w:r w:rsidRPr="00AB67C0">
        <w:rPr>
          <w:rFonts w:ascii="宋体" w:hAnsi="宋体" w:hint="eastAsia"/>
        </w:rPr>
        <w:t>（元），产品到期时，客户获得的实际收益相当于达到年化收益率水平为：</w:t>
      </w:r>
      <w:r>
        <w:rPr>
          <w:rFonts w:ascii="宋体" w:hAnsi="宋体" w:hint="eastAsia"/>
        </w:rPr>
        <w:t>5673.95</w:t>
      </w:r>
      <w:r w:rsidRPr="00AB67C0">
        <w:rPr>
          <w:rFonts w:ascii="宋体" w:hAnsi="宋体" w:hint="eastAsia"/>
        </w:rPr>
        <w:t>/100,000.00×365/362=</w:t>
      </w:r>
      <w:r>
        <w:rPr>
          <w:rFonts w:ascii="宋体" w:hAnsi="宋体" w:hint="eastAsia"/>
        </w:rPr>
        <w:t>5.72</w:t>
      </w:r>
      <w:r w:rsidRPr="00AB67C0">
        <w:rPr>
          <w:rFonts w:ascii="宋体" w:hAnsi="宋体" w:hint="eastAsia"/>
        </w:rPr>
        <w:t>%。</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757A88">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757A88">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lastRenderedPageBreak/>
        <w:t>终止事项</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757A88">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757A88">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757A88">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w:t>
      </w:r>
      <w:r w:rsidRPr="00AB67C0">
        <w:rPr>
          <w:rFonts w:ascii="宋体" w:hAnsi="宋体" w:cs="宋体" w:hint="eastAsia"/>
          <w:color w:val="000000"/>
          <w:kern w:val="0"/>
        </w:rPr>
        <w:lastRenderedPageBreak/>
        <w:t>任何责任。 本理财产品说明书在法律许可的范围内由银行负责解释。若客户对本理财说明书的内容有任何疑问或异议，请致电客户服务热线0575-86266991咨询、投诉。</w:t>
      </w:r>
    </w:p>
    <w:p w:rsidR="00F7775A" w:rsidRPr="00C03E6A" w:rsidRDefault="00F7775A" w:rsidP="00757A88">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AA1" w:rsidRDefault="00760AA1" w:rsidP="00C03E6A">
      <w:r>
        <w:separator/>
      </w:r>
    </w:p>
  </w:endnote>
  <w:endnote w:type="continuationSeparator" w:id="0">
    <w:p w:rsidR="00760AA1" w:rsidRDefault="00760AA1"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AA1" w:rsidRDefault="00760AA1" w:rsidP="00C03E6A">
      <w:r>
        <w:separator/>
      </w:r>
    </w:p>
  </w:footnote>
  <w:footnote w:type="continuationSeparator" w:id="0">
    <w:p w:rsidR="00760AA1" w:rsidRDefault="00760AA1"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83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4312"/>
    <w:rsid w:val="00046437"/>
    <w:rsid w:val="00077634"/>
    <w:rsid w:val="000831AE"/>
    <w:rsid w:val="0009538C"/>
    <w:rsid w:val="00096E65"/>
    <w:rsid w:val="000A6AEC"/>
    <w:rsid w:val="000F0C2A"/>
    <w:rsid w:val="000F1D0D"/>
    <w:rsid w:val="000F7EAF"/>
    <w:rsid w:val="00136C22"/>
    <w:rsid w:val="001644FD"/>
    <w:rsid w:val="00176387"/>
    <w:rsid w:val="00176761"/>
    <w:rsid w:val="001864A1"/>
    <w:rsid w:val="001A30AF"/>
    <w:rsid w:val="001D0CAB"/>
    <w:rsid w:val="001D203D"/>
    <w:rsid w:val="001F6119"/>
    <w:rsid w:val="001F72A7"/>
    <w:rsid w:val="00235CCD"/>
    <w:rsid w:val="002A44D6"/>
    <w:rsid w:val="002B42AB"/>
    <w:rsid w:val="002C022A"/>
    <w:rsid w:val="002C2409"/>
    <w:rsid w:val="002F4F5A"/>
    <w:rsid w:val="00315985"/>
    <w:rsid w:val="003521A8"/>
    <w:rsid w:val="003607F3"/>
    <w:rsid w:val="00360A19"/>
    <w:rsid w:val="00361D6F"/>
    <w:rsid w:val="003A50DC"/>
    <w:rsid w:val="003B5F67"/>
    <w:rsid w:val="003C5054"/>
    <w:rsid w:val="003F2EF7"/>
    <w:rsid w:val="0040135F"/>
    <w:rsid w:val="00401BB5"/>
    <w:rsid w:val="00437780"/>
    <w:rsid w:val="00456C39"/>
    <w:rsid w:val="00476BA6"/>
    <w:rsid w:val="00490804"/>
    <w:rsid w:val="004B305C"/>
    <w:rsid w:val="004C22CD"/>
    <w:rsid w:val="004C69B7"/>
    <w:rsid w:val="00503074"/>
    <w:rsid w:val="00587F86"/>
    <w:rsid w:val="005A43C8"/>
    <w:rsid w:val="005A61B6"/>
    <w:rsid w:val="005B10E1"/>
    <w:rsid w:val="005F0467"/>
    <w:rsid w:val="00611A64"/>
    <w:rsid w:val="00612C28"/>
    <w:rsid w:val="006236E8"/>
    <w:rsid w:val="00640D35"/>
    <w:rsid w:val="00660DC3"/>
    <w:rsid w:val="006623B8"/>
    <w:rsid w:val="0067679D"/>
    <w:rsid w:val="00684E08"/>
    <w:rsid w:val="006A36BB"/>
    <w:rsid w:val="006A5040"/>
    <w:rsid w:val="006A659C"/>
    <w:rsid w:val="006B12A4"/>
    <w:rsid w:val="006E36EA"/>
    <w:rsid w:val="006E423A"/>
    <w:rsid w:val="006F7291"/>
    <w:rsid w:val="0071071E"/>
    <w:rsid w:val="00711A19"/>
    <w:rsid w:val="0072033D"/>
    <w:rsid w:val="00757A88"/>
    <w:rsid w:val="00760AA1"/>
    <w:rsid w:val="00780177"/>
    <w:rsid w:val="007817B9"/>
    <w:rsid w:val="00786167"/>
    <w:rsid w:val="007B45D7"/>
    <w:rsid w:val="007C1F51"/>
    <w:rsid w:val="007D63B9"/>
    <w:rsid w:val="00803B7C"/>
    <w:rsid w:val="00821245"/>
    <w:rsid w:val="00822D2C"/>
    <w:rsid w:val="00843D57"/>
    <w:rsid w:val="008558EF"/>
    <w:rsid w:val="00865AA0"/>
    <w:rsid w:val="00866C9F"/>
    <w:rsid w:val="00896BAE"/>
    <w:rsid w:val="008A2918"/>
    <w:rsid w:val="008B5F6E"/>
    <w:rsid w:val="00931432"/>
    <w:rsid w:val="009421B9"/>
    <w:rsid w:val="00942DBF"/>
    <w:rsid w:val="00975ED0"/>
    <w:rsid w:val="00991D0C"/>
    <w:rsid w:val="009B48A1"/>
    <w:rsid w:val="009D7F3C"/>
    <w:rsid w:val="00A0472D"/>
    <w:rsid w:val="00A55CDF"/>
    <w:rsid w:val="00A64C74"/>
    <w:rsid w:val="00A759AA"/>
    <w:rsid w:val="00A81EF4"/>
    <w:rsid w:val="00AA0CBB"/>
    <w:rsid w:val="00AA2DA2"/>
    <w:rsid w:val="00AE685A"/>
    <w:rsid w:val="00B068F3"/>
    <w:rsid w:val="00B22461"/>
    <w:rsid w:val="00B260FA"/>
    <w:rsid w:val="00B31A11"/>
    <w:rsid w:val="00B508A8"/>
    <w:rsid w:val="00B56320"/>
    <w:rsid w:val="00B8090E"/>
    <w:rsid w:val="00BC0C27"/>
    <w:rsid w:val="00BF4DC9"/>
    <w:rsid w:val="00C03E6A"/>
    <w:rsid w:val="00C234CF"/>
    <w:rsid w:val="00C23E63"/>
    <w:rsid w:val="00C80559"/>
    <w:rsid w:val="00C85400"/>
    <w:rsid w:val="00C90B2A"/>
    <w:rsid w:val="00CE5334"/>
    <w:rsid w:val="00CF0393"/>
    <w:rsid w:val="00D04B0E"/>
    <w:rsid w:val="00D46489"/>
    <w:rsid w:val="00D62BCC"/>
    <w:rsid w:val="00D830D4"/>
    <w:rsid w:val="00DA3708"/>
    <w:rsid w:val="00DB21E8"/>
    <w:rsid w:val="00DC1EA2"/>
    <w:rsid w:val="00DC3E03"/>
    <w:rsid w:val="00DD41D7"/>
    <w:rsid w:val="00DD738C"/>
    <w:rsid w:val="00E2665B"/>
    <w:rsid w:val="00E3072D"/>
    <w:rsid w:val="00E33434"/>
    <w:rsid w:val="00E37B0A"/>
    <w:rsid w:val="00E4485B"/>
    <w:rsid w:val="00E51A88"/>
    <w:rsid w:val="00E6239E"/>
    <w:rsid w:val="00E76F64"/>
    <w:rsid w:val="00E93933"/>
    <w:rsid w:val="00E96A0E"/>
    <w:rsid w:val="00EB77DC"/>
    <w:rsid w:val="00EB7CAF"/>
    <w:rsid w:val="00F00B67"/>
    <w:rsid w:val="00F0690A"/>
    <w:rsid w:val="00F07E38"/>
    <w:rsid w:val="00F60CEB"/>
    <w:rsid w:val="00F61211"/>
    <w:rsid w:val="00F67FB9"/>
    <w:rsid w:val="00F7775A"/>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8</Pages>
  <Words>2116</Words>
  <Characters>12064</Characters>
  <Application>Microsoft Office Word</Application>
  <DocSecurity>0</DocSecurity>
  <Lines>100</Lines>
  <Paragraphs>28</Paragraphs>
  <ScaleCrop>false</ScaleCrop>
  <Company/>
  <LinksUpToDate>false</LinksUpToDate>
  <CharactersWithSpaces>14152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141</cp:revision>
  <dcterms:created xsi:type="dcterms:W3CDTF">2020-04-28T03:10:00Z</dcterms:created>
  <dcterms:modified xsi:type="dcterms:W3CDTF">2023-04-07T11:53:00Z</dcterms:modified>
</cp:coreProperties>
</file>