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bookmarkStart w:id="1" w:name="_GoBack"/>
      <w:bookmarkEnd w:id="1"/>
      <w:r>
        <w:rPr>
          <w:rFonts w:hint="eastAsia" w:ascii="黑体" w:eastAsia="黑体" w:cs="黑体"/>
          <w:b/>
          <w:bCs/>
        </w:rPr>
        <w:t>理财产品登记编码:</w:t>
      </w:r>
      <w:r>
        <w:t xml:space="preserve"> </w:t>
      </w:r>
      <w:r>
        <w:rPr>
          <w:rFonts w:hint="eastAsia"/>
        </w:rPr>
        <w:t>【</w:t>
      </w:r>
      <w:r>
        <w:t>Z7002623000005】</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【信银理财安盈象固收稳健三个月封闭式21号理财产品】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：【AF231555】</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5.</w:t>
      </w:r>
      <w:r>
        <w:rPr>
          <w:rFonts w:hint="eastAsia" w:ascii="黑体" w:hAnsi="Times New Roman" w:eastAsia="黑体" w:cs="黑体"/>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11"/>
        <w:tblW w:w="7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1180" w:type="dxa"/>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4206"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11"/>
        <w:tblW w:w="6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5"/>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16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【0%-49%</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hint="eastAsia" w:ascii="Times New Roman" w:hAnsi="Times New Roman" w:eastAsia="楷体_GB2312" w:cs="楷体_GB2312"/>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7.本产品可投资于非标准化债权类资产，信银理财将按照监管规定，向投资者披露产品投资每笔非标准化债权类资产的融资客户、项目名称、剩余融资期限、到期收益分配、交易结构、风险状况等资产信息。</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7008" w:type="dxa"/>
            <w:vAlign w:val="center"/>
          </w:tcPr>
          <w:p>
            <w:pPr>
              <w:spacing w:line="300" w:lineRule="exact"/>
              <w:ind w:left="-2" w:leftChars="-1" w:right="36" w:rightChars="15"/>
            </w:pPr>
            <w:r>
              <w:rPr>
                <w:rFonts w:hint="eastAsia" w:ascii="楷体_GB2312" w:eastAsia="楷体_GB2312" w:cs="楷体_GB2312"/>
                <w:sz w:val="20"/>
                <w:szCs w:val="20"/>
              </w:rPr>
              <w:t>【信银理财安盈象固收稳健三个月封闭式21号理财产品】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AF231555】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代码【AF231555B】</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G类份额：</w:t>
            </w:r>
            <w:r>
              <w:rPr>
                <w:rFonts w:hint="eastAsia" w:ascii="楷体_GB2312" w:eastAsia="楷体_GB2312" w:cs="楷体_GB2312"/>
                <w:sz w:val="20"/>
                <w:szCs w:val="20"/>
              </w:rPr>
              <w:t>份额</w:t>
            </w:r>
            <w:r>
              <w:rPr>
                <w:rFonts w:ascii="楷体_GB2312" w:eastAsia="楷体_GB2312" w:cs="楷体_GB2312"/>
                <w:sz w:val="20"/>
                <w:szCs w:val="20"/>
              </w:rPr>
              <w:t>代码【AF231555G】</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H类份额：</w:t>
            </w:r>
            <w:r>
              <w:rPr>
                <w:rFonts w:hint="eastAsia" w:ascii="楷体_GB2312" w:eastAsia="楷体_GB2312" w:cs="楷体_GB2312"/>
                <w:sz w:val="20"/>
                <w:szCs w:val="20"/>
              </w:rPr>
              <w:t>份额</w:t>
            </w:r>
            <w:r>
              <w:rPr>
                <w:rFonts w:ascii="楷体_GB2312" w:eastAsia="楷体_GB2312" w:cs="楷体_GB2312"/>
                <w:sz w:val="20"/>
                <w:szCs w:val="20"/>
              </w:rPr>
              <w:t>代码【AF231555</w:t>
            </w:r>
            <w:r>
              <w:rPr>
                <w:rFonts w:hint="eastAsia" w:ascii="楷体_GB2312" w:eastAsia="楷体_GB2312" w:cs="楷体_GB2312"/>
                <w:sz w:val="20"/>
                <w:szCs w:val="20"/>
              </w:rPr>
              <w:t>H</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M</w:t>
            </w:r>
            <w:r>
              <w:rPr>
                <w:rFonts w:ascii="楷体_GB2312" w:eastAsia="楷体_GB2312" w:cs="楷体_GB2312"/>
                <w:sz w:val="20"/>
                <w:szCs w:val="20"/>
              </w:rPr>
              <w:t>类份额：</w:t>
            </w:r>
            <w:r>
              <w:rPr>
                <w:rFonts w:hint="eastAsia" w:ascii="楷体_GB2312" w:eastAsia="楷体_GB2312" w:cs="楷体_GB2312"/>
                <w:sz w:val="20"/>
                <w:szCs w:val="20"/>
              </w:rPr>
              <w:t>份额</w:t>
            </w:r>
            <w:r>
              <w:rPr>
                <w:rFonts w:ascii="楷体_GB2312" w:eastAsia="楷体_GB2312" w:cs="楷体_GB2312"/>
                <w:sz w:val="20"/>
                <w:szCs w:val="20"/>
              </w:rPr>
              <w:t>代码【AF231555M】</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7008" w:type="dxa"/>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15</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7008" w:type="dxa"/>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【3】</w:t>
            </w:r>
            <w:r>
              <w:rPr>
                <w:rFonts w:hint="eastAsia" w:ascii="楷体_GB2312" w:eastAsia="楷体_GB2312" w:cs="楷体_GB2312"/>
                <w:sz w:val="20"/>
                <w:szCs w:val="20"/>
              </w:rPr>
              <w:t>月</w:t>
            </w:r>
            <w:r>
              <w:rPr>
                <w:rFonts w:ascii="楷体_GB2312" w:eastAsia="楷体_GB2312" w:cs="楷体_GB2312"/>
                <w:sz w:val="20"/>
                <w:szCs w:val="20"/>
              </w:rPr>
              <w:t>【16】</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【4】</w:t>
            </w:r>
            <w:r>
              <w:rPr>
                <w:rFonts w:hint="eastAsia" w:ascii="楷体_GB2312" w:eastAsia="楷体_GB2312" w:cs="楷体_GB2312"/>
                <w:sz w:val="20"/>
                <w:szCs w:val="20"/>
              </w:rPr>
              <w:t>月</w:t>
            </w:r>
            <w:r>
              <w:rPr>
                <w:rFonts w:ascii="楷体_GB2312" w:eastAsia="楷体_GB2312" w:cs="楷体_GB2312"/>
                <w:sz w:val="20"/>
                <w:szCs w:val="20"/>
              </w:rPr>
              <w:t>【15】</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7008" w:type="dxa"/>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B类份额：【2.70%-2.80%】</w:t>
            </w:r>
          </w:p>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G类份额：【2.80%-2.90%】</w:t>
            </w:r>
          </w:p>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H类份额：【2.75%-2.85%】</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M</w:t>
            </w:r>
            <w:r>
              <w:rPr>
                <w:rFonts w:ascii="楷体_GB2312" w:eastAsia="楷体_GB2312" w:cs="楷体_GB2312"/>
                <w:sz w:val="20"/>
                <w:szCs w:val="20"/>
              </w:rPr>
              <w:t>类份额：【2.80%-2.90%】</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该产品为固收类产品，产品主要投向为固收类资产，根据当前市场利率水平、组合目标久期、可投资债券的静态收益率等因素作为测算依据。业绩比较基准不等于理财产品未来实际收益，不作为未来产品的业绩保证。</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本产品认购交易时间为【8：30-15：30】（信银理财有权变更交易时间，且无需另行通知；如果投资者通过信银</w:t>
            </w:r>
            <w:r>
              <w:rPr>
                <w:rFonts w:ascii="楷体_GB2312" w:eastAsia="楷体_GB2312" w:cs="楷体_GB2312"/>
                <w:sz w:val="20"/>
                <w:szCs w:val="20"/>
              </w:rPr>
              <w:t>理财营业场所</w:t>
            </w:r>
            <w:r>
              <w:rPr>
                <w:rFonts w:hint="eastAsia" w:ascii="楷体_GB2312" w:eastAsia="楷体_GB2312" w:cs="楷体_GB2312"/>
                <w:sz w:val="20"/>
                <w:szCs w:val="20"/>
              </w:rPr>
              <w:t>购买，则交易时间以营业</w:t>
            </w:r>
            <w:r>
              <w:rPr>
                <w:rFonts w:ascii="楷体_GB2312" w:eastAsia="楷体_GB2312" w:cs="楷体_GB2312"/>
                <w:sz w:val="20"/>
                <w:szCs w:val="20"/>
              </w:rPr>
              <w:t>场所</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为准，且必须在【8：30-15：30】内）；募集期内，信银理财在交易时间内受理投资者的认购申请。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w:t>
            </w:r>
            <w:r>
              <w:rPr>
                <w:rFonts w:ascii="楷体_GB2312" w:eastAsia="楷体_GB2312" w:cs="楷体_GB2312"/>
                <w:sz w:val="20"/>
                <w:szCs w:val="20"/>
              </w:rPr>
              <w:t>交易时间</w:t>
            </w:r>
            <w:r>
              <w:rPr>
                <w:rFonts w:hint="eastAsia" w:ascii="楷体_GB2312" w:eastAsia="楷体_GB2312" w:cs="楷体_GB2312"/>
                <w:sz w:val="20"/>
                <w:szCs w:val="20"/>
              </w:rPr>
              <w:t>必须</w:t>
            </w:r>
            <w:r>
              <w:rPr>
                <w:rFonts w:ascii="楷体_GB2312" w:eastAsia="楷体_GB2312" w:cs="楷体_GB2312"/>
                <w:sz w:val="20"/>
                <w:szCs w:val="20"/>
              </w:rPr>
              <w:t>在</w:t>
            </w:r>
            <w:r>
              <w:rPr>
                <w:rFonts w:hint="eastAsia" w:ascii="楷体_GB2312" w:eastAsia="楷体_GB2312" w:cs="楷体_GB2312"/>
                <w:sz w:val="20"/>
                <w:szCs w:val="20"/>
              </w:rPr>
              <w:t>【8：30-15：30】内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【1000</w:t>
            </w:r>
            <w:r>
              <w:rPr>
                <w:rFonts w:hint="eastAsia" w:ascii="楷体_GB2312" w:eastAsia="楷体_GB2312" w:cs="楷体_GB2312"/>
                <w:sz w:val="20"/>
                <w:szCs w:val="20"/>
              </w:rPr>
              <w:t>】元。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7008" w:type="dxa"/>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G类份额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H类份额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M</w:t>
            </w:r>
            <w:r>
              <w:rPr>
                <w:rFonts w:ascii="楷体_GB2312" w:eastAsia="楷体_GB2312" w:cs="楷体_GB2312"/>
                <w:sz w:val="20"/>
                <w:szCs w:val="20"/>
              </w:rPr>
              <w:t>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7008" w:type="dxa"/>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7008" w:type="dxa"/>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w:t>
            </w:r>
            <w:r>
              <w:rPr>
                <w:rFonts w:hint="eastAsia" w:ascii="楷体_GB2312" w:eastAsia="楷体_GB2312" w:cs="楷体_GB2312"/>
                <w:b/>
                <w:sz w:val="20"/>
                <w:szCs w:val="20"/>
              </w:rPr>
              <w:t>不收取认购费；</w:t>
            </w:r>
            <w:r>
              <w:rPr>
                <w:rFonts w:ascii="楷体_GB2312" w:eastAsia="楷体_GB2312"/>
                <w:b/>
                <w:sz w:val="20"/>
                <w:szCs w:val="20"/>
              </w:rPr>
              <w:t>G类份额</w:t>
            </w:r>
            <w:r>
              <w:rPr>
                <w:rFonts w:hint="eastAsia" w:ascii="楷体_GB2312" w:eastAsia="楷体_GB2312" w:cs="楷体_GB2312"/>
                <w:b/>
                <w:sz w:val="20"/>
                <w:szCs w:val="20"/>
              </w:rPr>
              <w:t>不收取认购费；</w:t>
            </w:r>
            <w:r>
              <w:rPr>
                <w:rFonts w:hint="eastAsia" w:ascii="楷体_GB2312" w:eastAsia="楷体_GB2312"/>
                <w:b/>
                <w:sz w:val="20"/>
                <w:szCs w:val="20"/>
              </w:rPr>
              <w:t>H</w:t>
            </w:r>
            <w:r>
              <w:rPr>
                <w:rFonts w:ascii="楷体_GB2312" w:eastAsia="楷体_GB2312"/>
                <w:b/>
                <w:sz w:val="20"/>
                <w:szCs w:val="20"/>
              </w:rPr>
              <w:t>类份额</w:t>
            </w:r>
            <w:r>
              <w:rPr>
                <w:rFonts w:hint="eastAsia" w:ascii="楷体_GB2312" w:eastAsia="楷体_GB2312" w:cs="楷体_GB2312"/>
                <w:b/>
                <w:sz w:val="20"/>
                <w:szCs w:val="20"/>
              </w:rPr>
              <w:t>不收取认购费；</w:t>
            </w:r>
            <w:r>
              <w:rPr>
                <w:rFonts w:ascii="楷体_GB2312" w:eastAsia="楷体_GB2312"/>
                <w:b/>
                <w:sz w:val="20"/>
                <w:szCs w:val="20"/>
              </w:rPr>
              <w:t>M类份额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w:t>
            </w:r>
            <w:r>
              <w:rPr>
                <w:rFonts w:hint="eastAsia" w:ascii="楷体_GB2312" w:eastAsia="楷体_GB2312" w:cs="楷体_GB2312"/>
                <w:b/>
                <w:sz w:val="20"/>
                <w:szCs w:val="20"/>
              </w:rPr>
              <w:t>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G类份额</w:t>
            </w:r>
            <w:r>
              <w:rPr>
                <w:rFonts w:hint="eastAsia" w:ascii="楷体_GB2312" w:eastAsia="楷体_GB2312" w:cs="楷体_GB2312"/>
                <w:b/>
                <w:sz w:val="20"/>
                <w:szCs w:val="20"/>
              </w:rPr>
              <w:t>费率【</w:t>
            </w:r>
            <w:r>
              <w:rPr>
                <w:rFonts w:ascii="楷体_GB2312" w:eastAsia="楷体_GB2312" w:cs="楷体_GB2312"/>
                <w:b/>
                <w:sz w:val="20"/>
                <w:szCs w:val="20"/>
              </w:rPr>
              <w:t>0.05%】/年</w:t>
            </w:r>
            <w:r>
              <w:rPr>
                <w:rFonts w:hint="eastAsia" w:ascii="楷体_GB2312" w:eastAsia="楷体_GB2312" w:cs="楷体_GB2312"/>
                <w:b/>
                <w:sz w:val="20"/>
                <w:szCs w:val="20"/>
              </w:rPr>
              <w:t>；</w:t>
            </w:r>
            <w:r>
              <w:rPr>
                <w:rFonts w:ascii="楷体_GB2312" w:eastAsia="楷体_GB2312" w:cs="楷体_GB2312"/>
                <w:b/>
                <w:sz w:val="20"/>
                <w:szCs w:val="20"/>
              </w:rPr>
              <w:t>H类份额</w:t>
            </w:r>
            <w:r>
              <w:rPr>
                <w:rFonts w:hint="eastAsia" w:ascii="楷体_GB2312" w:eastAsia="楷体_GB2312" w:cs="楷体_GB2312"/>
                <w:b/>
                <w:sz w:val="20"/>
                <w:szCs w:val="20"/>
              </w:rPr>
              <w:t>费率【</w:t>
            </w:r>
            <w:r>
              <w:rPr>
                <w:rFonts w:ascii="楷体_GB2312" w:eastAsia="楷体_GB2312" w:cs="楷体_GB2312"/>
                <w:b/>
                <w:sz w:val="20"/>
                <w:szCs w:val="20"/>
              </w:rPr>
              <w:t>0.10%】/年；</w:t>
            </w:r>
            <w:r>
              <w:rPr>
                <w:rFonts w:hint="eastAsia" w:ascii="楷体_GB2312" w:eastAsia="楷体_GB2312" w:cs="楷体_GB2312"/>
                <w:b/>
                <w:sz w:val="20"/>
                <w:szCs w:val="20"/>
              </w:rPr>
              <w:t>M</w:t>
            </w:r>
            <w:r>
              <w:rPr>
                <w:rFonts w:ascii="楷体_GB2312" w:eastAsia="楷体_GB2312" w:cs="楷体_GB2312"/>
                <w:b/>
                <w:sz w:val="20"/>
                <w:szCs w:val="20"/>
              </w:rPr>
              <w:t>类份额</w:t>
            </w:r>
            <w:r>
              <w:rPr>
                <w:rFonts w:hint="eastAsia" w:ascii="楷体_GB2312" w:eastAsia="楷体_GB2312" w:cs="楷体_GB2312"/>
                <w:b/>
                <w:sz w:val="20"/>
                <w:szCs w:val="20"/>
              </w:rPr>
              <w:t>费率【0.05%】/年</w:t>
            </w:r>
            <w:r>
              <w:rPr>
                <w:rFonts w:ascii="楷体_GB2312" w:eastAsia="楷体_GB2312" w:cs="楷体_GB2312"/>
                <w:b/>
                <w:sz w:val="20"/>
                <w:szCs w:val="20"/>
              </w:rPr>
              <w:t>。</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0.08%】/年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设立业绩比较基准，在产品到期日或提前终止日时，如计提浮动管理费前年化收益率超过</w:t>
            </w:r>
            <w:r>
              <w:rPr>
                <w:rFonts w:ascii="楷体_GB2312" w:eastAsia="楷体_GB2312" w:cs="楷体_GB2312"/>
                <w:b/>
                <w:color w:val="000000" w:themeColor="text1"/>
                <w:sz w:val="20"/>
                <w:szCs w:val="20"/>
                <w14:textFill>
                  <w14:solidFill>
                    <w14:schemeClr w14:val="tx1"/>
                  </w14:solidFill>
                </w14:textFill>
              </w:rPr>
              <w:t>2.75%</w:t>
            </w:r>
            <w:r>
              <w:rPr>
                <w:rFonts w:hint="eastAsia" w:ascii="楷体_GB2312" w:eastAsia="楷体_GB2312" w:cs="楷体_GB2312"/>
                <w:b/>
                <w:color w:val="000000" w:themeColor="text1"/>
                <w:sz w:val="20"/>
                <w:szCs w:val="20"/>
                <w14:textFill>
                  <w14:solidFill>
                    <w14:schemeClr w14:val="tx1"/>
                  </w14:solidFill>
                </w14:textFill>
              </w:rPr>
              <w:t>的，管理人将收取超额部分的</w:t>
            </w:r>
            <w:r>
              <w:rPr>
                <w:rFonts w:ascii="楷体_GB2312" w:eastAsia="楷体_GB2312" w:cs="楷体_GB2312"/>
                <w:b/>
                <w:color w:val="000000" w:themeColor="text1"/>
                <w:sz w:val="20"/>
                <w:szCs w:val="20"/>
                <w14:textFill>
                  <w14:solidFill>
                    <w14:schemeClr w14:val="tx1"/>
                  </w14:solidFill>
                </w14:textFill>
              </w:rPr>
              <w:t>30%作为浮动管理费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G类份额</w:t>
            </w:r>
            <w:r>
              <w:rPr>
                <w:rFonts w:hint="eastAsia" w:ascii="楷体_GB2312" w:eastAsia="楷体_GB2312" w:cs="楷体_GB2312"/>
                <w:b/>
                <w:color w:val="000000" w:themeColor="text1"/>
                <w:sz w:val="20"/>
                <w:szCs w:val="20"/>
                <w14:textFill>
                  <w14:solidFill>
                    <w14:schemeClr w14:val="tx1"/>
                  </w14:solidFill>
                </w14:textFill>
              </w:rPr>
              <w:t>设立业绩比较基准，在产品到期日或提前终止日时，如计提浮动管理费前年化收益率超过</w:t>
            </w:r>
            <w:r>
              <w:rPr>
                <w:rFonts w:ascii="楷体_GB2312" w:eastAsia="楷体_GB2312" w:cs="楷体_GB2312"/>
                <w:b/>
                <w:color w:val="000000" w:themeColor="text1"/>
                <w:sz w:val="20"/>
                <w:szCs w:val="20"/>
                <w14:textFill>
                  <w14:solidFill>
                    <w14:schemeClr w14:val="tx1"/>
                  </w14:solidFill>
                </w14:textFill>
              </w:rPr>
              <w:t>2.85%</w:t>
            </w:r>
            <w:r>
              <w:rPr>
                <w:rFonts w:hint="eastAsia" w:ascii="楷体_GB2312" w:eastAsia="楷体_GB2312" w:cs="楷体_GB2312"/>
                <w:b/>
                <w:color w:val="000000" w:themeColor="text1"/>
                <w:sz w:val="20"/>
                <w:szCs w:val="20"/>
                <w14:textFill>
                  <w14:solidFill>
                    <w14:schemeClr w14:val="tx1"/>
                  </w14:solidFill>
                </w14:textFill>
              </w:rPr>
              <w:t>的，管理人将收取超额部分的</w:t>
            </w:r>
            <w:r>
              <w:rPr>
                <w:rFonts w:ascii="楷体_GB2312" w:eastAsia="楷体_GB2312" w:cs="楷体_GB2312"/>
                <w:b/>
                <w:color w:val="000000" w:themeColor="text1"/>
                <w:sz w:val="20"/>
                <w:szCs w:val="20"/>
                <w14:textFill>
                  <w14:solidFill>
                    <w14:schemeClr w14:val="tx1"/>
                  </w14:solidFill>
                </w14:textFill>
              </w:rPr>
              <w:t>30%作为浮动管理费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H类份额</w:t>
            </w:r>
            <w:r>
              <w:rPr>
                <w:rFonts w:hint="eastAsia" w:ascii="楷体_GB2312" w:eastAsia="楷体_GB2312" w:cs="楷体_GB2312"/>
                <w:b/>
                <w:color w:val="000000" w:themeColor="text1"/>
                <w:sz w:val="20"/>
                <w:szCs w:val="20"/>
                <w14:textFill>
                  <w14:solidFill>
                    <w14:schemeClr w14:val="tx1"/>
                  </w14:solidFill>
                </w14:textFill>
              </w:rPr>
              <w:t>设立业绩比较基准，在产品到期日或提前终止日时，如计提浮动管理费前年化收益率超过</w:t>
            </w:r>
            <w:r>
              <w:rPr>
                <w:rFonts w:ascii="楷体_GB2312" w:eastAsia="楷体_GB2312" w:cs="楷体_GB2312"/>
                <w:b/>
                <w:color w:val="000000" w:themeColor="text1"/>
                <w:sz w:val="20"/>
                <w:szCs w:val="20"/>
                <w14:textFill>
                  <w14:solidFill>
                    <w14:schemeClr w14:val="tx1"/>
                  </w14:solidFill>
                </w14:textFill>
              </w:rPr>
              <w:t>2.80%</w:t>
            </w:r>
            <w:r>
              <w:rPr>
                <w:rFonts w:hint="eastAsia" w:ascii="楷体_GB2312" w:eastAsia="楷体_GB2312" w:cs="楷体_GB2312"/>
                <w:b/>
                <w:color w:val="000000" w:themeColor="text1"/>
                <w:sz w:val="20"/>
                <w:szCs w:val="20"/>
                <w14:textFill>
                  <w14:solidFill>
                    <w14:schemeClr w14:val="tx1"/>
                  </w14:solidFill>
                </w14:textFill>
              </w:rPr>
              <w:t>的，管理人将收取超额部分的</w:t>
            </w:r>
            <w:r>
              <w:rPr>
                <w:rFonts w:ascii="楷体_GB2312" w:eastAsia="楷体_GB2312" w:cs="楷体_GB2312"/>
                <w:b/>
                <w:color w:val="000000" w:themeColor="text1"/>
                <w:sz w:val="20"/>
                <w:szCs w:val="20"/>
                <w14:textFill>
                  <w14:solidFill>
                    <w14:schemeClr w14:val="tx1"/>
                  </w14:solidFill>
                </w14:textFill>
              </w:rPr>
              <w:t>30%作为浮动管理费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M类份额</w:t>
            </w:r>
            <w:r>
              <w:rPr>
                <w:rFonts w:hint="eastAsia" w:ascii="楷体_GB2312" w:eastAsia="楷体_GB2312" w:cs="楷体_GB2312"/>
                <w:b/>
                <w:color w:val="000000" w:themeColor="text1"/>
                <w:sz w:val="20"/>
                <w:szCs w:val="20"/>
                <w14:textFill>
                  <w14:solidFill>
                    <w14:schemeClr w14:val="tx1"/>
                  </w14:solidFill>
                </w14:textFill>
              </w:rPr>
              <w:t>设立业绩比较基准，在产品到期日或提前终止日时，如计提浮动管理费前年化收益率超过</w:t>
            </w:r>
            <w:r>
              <w:rPr>
                <w:rFonts w:ascii="楷体_GB2312" w:eastAsia="楷体_GB2312" w:cs="楷体_GB2312"/>
                <w:b/>
                <w:color w:val="000000" w:themeColor="text1"/>
                <w:sz w:val="20"/>
                <w:szCs w:val="20"/>
                <w14:textFill>
                  <w14:solidFill>
                    <w14:schemeClr w14:val="tx1"/>
                  </w14:solidFill>
                </w14:textFill>
              </w:rPr>
              <w:t>2.85%</w:t>
            </w:r>
            <w:r>
              <w:rPr>
                <w:rFonts w:hint="eastAsia" w:ascii="楷体_GB2312" w:eastAsia="楷体_GB2312" w:cs="楷体_GB2312"/>
                <w:b/>
                <w:color w:val="000000" w:themeColor="text1"/>
                <w:sz w:val="20"/>
                <w:szCs w:val="20"/>
                <w14:textFill>
                  <w14:solidFill>
                    <w14:schemeClr w14:val="tx1"/>
                  </w14:solidFill>
                </w14:textFill>
              </w:rPr>
              <w:t>的，管理人将收取超额部分的</w:t>
            </w:r>
            <w:r>
              <w:rPr>
                <w:rFonts w:ascii="楷体_GB2312" w:eastAsia="楷体_GB2312" w:cs="楷体_GB2312"/>
                <w:b/>
                <w:color w:val="000000" w:themeColor="text1"/>
                <w:sz w:val="20"/>
                <w:szCs w:val="20"/>
                <w14:textFill>
                  <w14:solidFill>
                    <w14:schemeClr w14:val="tx1"/>
                  </w14:solidFill>
                </w14:textFill>
              </w:rPr>
              <w:t>30%作为浮动管理费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b/>
                <w:sz w:val="20"/>
                <w:szCs w:val="20"/>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7008" w:type="dxa"/>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B类份额（份额代码【AF231555B】）</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1.企业名称：【招商银行股份有限公司】（销售代码：</w:t>
            </w:r>
            <w:r>
              <w:rPr>
                <w:rFonts w:ascii="楷体_GB2312" w:eastAsia="楷体_GB2312" w:cs="楷体_GB2312"/>
                <w:sz w:val="20"/>
                <w:szCs w:val="20"/>
              </w:rPr>
              <w:t>ZX010217，</w:t>
            </w:r>
            <w:r>
              <w:rPr>
                <w:rFonts w:hint="eastAsia" w:ascii="楷体_GB2312" w:eastAsia="楷体_GB2312" w:cs="楷体_GB2312"/>
                <w:sz w:val="20"/>
                <w:szCs w:val="20"/>
              </w:rPr>
              <w:t>销售名称：安盈象固收稳健三个月封闭式</w:t>
            </w:r>
            <w:r>
              <w:rPr>
                <w:rFonts w:ascii="楷体_GB2312" w:eastAsia="楷体_GB2312" w:cs="楷体_GB2312"/>
                <w:sz w:val="20"/>
                <w:szCs w:val="20"/>
              </w:rPr>
              <w:t>21号B（安鼎）</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9144030010001686XA】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住所：【广东省深圳市福田区深南大道</w:t>
            </w:r>
            <w:r>
              <w:rPr>
                <w:rFonts w:ascii="楷体_GB2312" w:eastAsia="楷体_GB2312" w:cs="楷体_GB2312"/>
                <w:sz w:val="20"/>
                <w:szCs w:val="20"/>
              </w:rPr>
              <w:t>7088号】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95555】</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 xml:space="preserve"> 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exact"/>
              <w:ind w:left="-2" w:leftChars="-1" w:right="36" w:rightChars="15"/>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G类份额（份额代码【AF231555G】）</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 企业名称：【深圳前海微众银行股份有限公司】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9144030031977063XH】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住所：【广东省深圳市南山区沙河西路</w:t>
            </w:r>
            <w:r>
              <w:rPr>
                <w:rFonts w:ascii="楷体_GB2312" w:eastAsia="楷体_GB2312" w:cs="楷体_GB2312"/>
                <w:sz w:val="20"/>
                <w:szCs w:val="20"/>
              </w:rPr>
              <w:t>1819号深圳湾科技生态园7栋A座】</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95384】</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 xml:space="preserve"> 企业名称：【中信百信银行股份有限公司】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91110105MA017C8U57】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住所：【北京市朝阳区安定路</w:t>
            </w:r>
            <w:r>
              <w:rPr>
                <w:rFonts w:ascii="楷体_GB2312" w:eastAsia="楷体_GB2312" w:cs="楷体_GB2312"/>
                <w:sz w:val="20"/>
                <w:szCs w:val="20"/>
              </w:rPr>
              <w:t>5号院3号楼8层】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400-818-0100】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 xml:space="preserve"> 企业名称：【中邮邮惠万家银行有限责任公司】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91310000MA7G6N2375】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住所：【上海市虹口区东大名路</w:t>
            </w:r>
            <w:r>
              <w:rPr>
                <w:rFonts w:ascii="楷体_GB2312" w:eastAsia="楷体_GB2312" w:cs="楷体_GB2312"/>
                <w:sz w:val="20"/>
                <w:szCs w:val="20"/>
              </w:rPr>
              <w:t>1080号25层、26层】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400-118-8888】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H类份额（份额代码【AF231555H】）</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1.企业名称：【平安银行股份有限公司】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91440300192185379H】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住所：【深圳市罗湖区深南东路</w:t>
            </w:r>
            <w:r>
              <w:rPr>
                <w:rFonts w:ascii="楷体_GB2312" w:eastAsia="楷体_GB2312" w:cs="楷体_GB2312"/>
                <w:sz w:val="20"/>
                <w:szCs w:val="20"/>
              </w:rPr>
              <w:t>5047号】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95511】</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M</w:t>
            </w:r>
            <w:r>
              <w:rPr>
                <w:rFonts w:ascii="楷体_GB2312" w:eastAsia="楷体_GB2312" w:cs="楷体_GB2312"/>
                <w:sz w:val="20"/>
                <w:szCs w:val="20"/>
              </w:rPr>
              <w:t>类份额（份额代码【AF231555M】）</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1.企业名称：【齐鲁银行股份有限公司】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91370000264352296L】</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住所：【山东省济南市历下区经十路</w:t>
            </w:r>
            <w:r>
              <w:rPr>
                <w:rFonts w:ascii="楷体_GB2312" w:eastAsia="楷体_GB2312" w:cs="楷体_GB2312"/>
                <w:sz w:val="20"/>
                <w:szCs w:val="20"/>
              </w:rPr>
              <w:t>10817号】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400-609-6588】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2.企业名称：【浙江舟山定海海洋农村商业银行股份有限公司】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3. 企业名称：【浙江嘉善农村商业银行股份有限公司】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4. 企业名称：【浙江温岭农村商业银行股份有限公司】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5. 企业名称：【浙江永嘉农村商业银行股份有限公司】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6. 企业名称：【宁波甬城农村商业银行股份有限公司】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7. 企业名称：【浙江新昌农村商业银行股份有限公司】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8. 企业名称：【浙江德清农村商业银行股份有限公司】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9. 企业名称：【浙江永康农村商业银行股份有限公司】</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 xml:space="preserve"> 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7008" w:type="dxa"/>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企业</w:t>
            </w:r>
            <w:r>
              <w:rPr>
                <w:rFonts w:ascii="楷体_GB2312" w:eastAsia="楷体_GB2312" w:cs="楷体_GB2312"/>
                <w:color w:val="000000" w:themeColor="text1"/>
                <w:sz w:val="20"/>
                <w:szCs w:val="20"/>
                <w14:textFill>
                  <w14:solidFill>
                    <w14:schemeClr w14:val="tx1"/>
                  </w14:solidFill>
                </w14:textFill>
              </w:rPr>
              <w:t>名称：</w:t>
            </w:r>
            <w:r>
              <w:rPr>
                <w:rFonts w:hint="eastAsia" w:ascii="楷体_GB2312" w:eastAsia="楷体_GB2312" w:cs="楷体_GB2312"/>
                <w:color w:val="000000" w:themeColor="text1"/>
                <w:sz w:val="20"/>
                <w:szCs w:val="20"/>
                <w14:textFill>
                  <w14:solidFill>
                    <w14:schemeClr w14:val="tx1"/>
                  </w14:solidFill>
                </w14:textFill>
              </w:rPr>
              <w:t>【中信银行股份有限公司】</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w:t>
            </w:r>
            <w:r>
              <w:rPr>
                <w:rFonts w:ascii="楷体_GB2312" w:eastAsia="楷体_GB2312" w:cs="楷体_GB2312"/>
                <w:color w:val="000000" w:themeColor="text1"/>
                <w:sz w:val="20"/>
                <w:szCs w:val="20"/>
                <w14:textFill>
                  <w14:solidFill>
                    <w14:schemeClr w14:val="tx1"/>
                  </w14:solidFill>
                </w14:textFill>
              </w:rPr>
              <w:t>社会信用代码：【91110000101690725E】</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纳税人识别号</w:t>
            </w:r>
            <w:r>
              <w:rPr>
                <w:rFonts w:ascii="楷体_GB2312" w:eastAsia="楷体_GB2312" w:cs="楷体_GB2312"/>
                <w:color w:val="000000" w:themeColor="text1"/>
                <w:sz w:val="20"/>
                <w:szCs w:val="20"/>
                <w14:textFill>
                  <w14:solidFill>
                    <w14:schemeClr w14:val="tx1"/>
                  </w14:solidFill>
                </w14:textFill>
              </w:rPr>
              <w:t>：【91110000101690725E】</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法定</w:t>
            </w:r>
            <w:r>
              <w:rPr>
                <w:rFonts w:ascii="楷体_GB2312" w:eastAsia="楷体_GB2312" w:cs="楷体_GB2312"/>
                <w:color w:val="000000" w:themeColor="text1"/>
                <w:sz w:val="20"/>
                <w:szCs w:val="20"/>
                <w14:textFill>
                  <w14:solidFill>
                    <w14:schemeClr w14:val="tx1"/>
                  </w14:solidFill>
                </w14:textFill>
              </w:rPr>
              <w:t>代表人：</w:t>
            </w:r>
            <w:r>
              <w:rPr>
                <w:rFonts w:hint="eastAsia" w:ascii="楷体_GB2312" w:eastAsia="楷体_GB2312" w:cs="楷体_GB2312"/>
                <w:color w:val="000000" w:themeColor="text1"/>
                <w:sz w:val="20"/>
                <w:szCs w:val="20"/>
                <w14:textFill>
                  <w14:solidFill>
                    <w14:schemeClr w14:val="tx1"/>
                  </w14:solidFill>
                </w14:textFill>
              </w:rPr>
              <w:t>【朱鹤新</w:t>
            </w:r>
            <w:r>
              <w:rPr>
                <w:rFonts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住所</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【北京市朝阳区光华路</w:t>
            </w:r>
            <w:r>
              <w:rPr>
                <w:rFonts w:ascii="楷体_GB2312" w:eastAsia="楷体_GB2312" w:cs="楷体_GB2312"/>
                <w:color w:val="000000" w:themeColor="text1"/>
                <w:sz w:val="20"/>
                <w:szCs w:val="20"/>
                <w14:textFill>
                  <w14:solidFill>
                    <w14:schemeClr w14:val="tx1"/>
                  </w14:solidFill>
                </w14:textFill>
              </w:rPr>
              <w:t>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7008" w:type="dxa"/>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三、理财</w:t>
      </w:r>
      <w:r>
        <w:rPr>
          <w:rFonts w:ascii="黑体" w:hAnsi="Times New Roman" w:eastAsia="黑体" w:cs="黑体"/>
          <w:sz w:val="20"/>
          <w:szCs w:val="20"/>
        </w:rPr>
        <w:t>产品管理人</w:t>
      </w:r>
    </w:p>
    <w:p>
      <w:pPr>
        <w:spacing w:line="300" w:lineRule="exact"/>
        <w:ind w:left="-2" w:leftChars="-1"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sz w:val="20"/>
          <w:szCs w:val="20"/>
        </w:rPr>
        <w:t>在此授权并同意信银理财享有以下权利：</w:t>
      </w:r>
    </w:p>
    <w:p>
      <w:pPr>
        <w:spacing w:line="300" w:lineRule="exact"/>
        <w:ind w:firstLine="400" w:firstLineChars="200"/>
        <w:jc w:val="both"/>
        <w:rPr>
          <w:rFonts w:ascii="Times New Roman" w:hAnsi="Times New Roman" w:eastAsia="楷体_GB2312" w:cs="楷体_GB2312"/>
          <w:sz w:val="20"/>
          <w:szCs w:val="20"/>
        </w:rPr>
      </w:pPr>
      <w:r>
        <w:rPr>
          <w:rFonts w:ascii="Times New Roman" w:hAnsi="Times New Roman" w:eastAsia="楷体_GB2312"/>
          <w:sz w:val="20"/>
          <w:szCs w:val="20"/>
        </w:rPr>
        <w:t>1.</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的约定，管理、运用和处分理财资金；</w:t>
      </w:r>
    </w:p>
    <w:p>
      <w:pPr>
        <w:spacing w:line="300" w:lineRule="exact"/>
        <w:ind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代表</w:t>
      </w:r>
      <w:r>
        <w:rPr>
          <w:rFonts w:ascii="Times New Roman" w:hAnsi="Times New Roman" w:eastAsia="楷体_GB2312" w:cs="楷体_GB2312"/>
          <w:sz w:val="20"/>
          <w:szCs w:val="20"/>
        </w:rPr>
        <w:t>理财产品</w:t>
      </w:r>
      <w:r>
        <w:rPr>
          <w:rFonts w:hint="eastAsia" w:ascii="Times New Roman" w:hAnsi="Times New Roman" w:eastAsia="楷体_GB2312" w:cs="楷体_GB2312"/>
          <w:sz w:val="20"/>
          <w:szCs w:val="20"/>
        </w:rPr>
        <w:t>签订投资和资产管理过程中涉及到的协议、合同等文本；</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sz w:val="20"/>
          <w:szCs w:val="20"/>
        </w:rPr>
        <w:t>/</w:t>
      </w:r>
      <w:r>
        <w:rPr>
          <w:rFonts w:hint="eastAsia" w:ascii="Times New Roman" w:hAnsi="Times New Roman" w:eastAsia="楷体_GB2312"/>
          <w:sz w:val="20"/>
          <w:szCs w:val="20"/>
        </w:rPr>
        <w:t>企业等各类投资对象行使出资人</w:t>
      </w:r>
      <w:r>
        <w:rPr>
          <w:rFonts w:ascii="Times New Roman" w:hAnsi="Times New Roman" w:eastAsia="楷体_GB2312"/>
          <w:sz w:val="20"/>
          <w:szCs w:val="20"/>
        </w:rPr>
        <w:t>/</w:t>
      </w:r>
      <w:r>
        <w:rPr>
          <w:rFonts w:hint="eastAsia" w:ascii="Times New Roman" w:hAnsi="Times New Roman" w:eastAsia="楷体_GB2312"/>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4.</w:t>
      </w:r>
      <w:r>
        <w:rPr>
          <w:rFonts w:hint="eastAsia" w:ascii="Times New Roman" w:hAnsi="Times New Roman" w:eastAsia="楷体_GB2312"/>
          <w:sz w:val="20"/>
          <w:szCs w:val="20"/>
        </w:rPr>
        <w:t>以理财产品</w:t>
      </w:r>
      <w:r>
        <w:rPr>
          <w:rFonts w:ascii="Times New Roman" w:hAnsi="Times New Roman" w:eastAsia="楷体_GB2312"/>
          <w:sz w:val="20"/>
          <w:szCs w:val="20"/>
        </w:rPr>
        <w:t>投资管理人的名义，依照法律法规相关规定以及代表理财</w:t>
      </w:r>
      <w:r>
        <w:rPr>
          <w:rFonts w:hint="eastAsia" w:ascii="Times New Roman" w:hAnsi="Times New Roman" w:eastAsia="楷体_GB2312"/>
          <w:sz w:val="20"/>
          <w:szCs w:val="20"/>
        </w:rPr>
        <w:t>产品投资者</w:t>
      </w:r>
      <w:r>
        <w:rPr>
          <w:rFonts w:ascii="Times New Roman" w:hAnsi="Times New Roman" w:eastAsia="楷体_GB2312"/>
          <w:sz w:val="20"/>
          <w:szCs w:val="20"/>
        </w:rPr>
        <w:t>的利益行使代为追索的权利</w:t>
      </w:r>
      <w:r>
        <w:rPr>
          <w:rFonts w:hint="eastAsia" w:ascii="Times New Roman" w:hAnsi="Times New Roman" w:eastAsia="楷体_GB2312"/>
          <w:sz w:val="20"/>
          <w:szCs w:val="20"/>
        </w:rPr>
        <w:t>（包括</w:t>
      </w:r>
      <w:r>
        <w:rPr>
          <w:rFonts w:ascii="Times New Roman" w:hAnsi="Times New Roman" w:eastAsia="楷体_GB2312"/>
          <w:sz w:val="20"/>
          <w:szCs w:val="20"/>
        </w:rPr>
        <w:t>但不限于提起诉讼</w:t>
      </w:r>
      <w:r>
        <w:rPr>
          <w:rFonts w:hint="eastAsia" w:ascii="Times New Roman" w:hAnsi="Times New Roman" w:eastAsia="楷体_GB2312"/>
          <w:sz w:val="20"/>
          <w:szCs w:val="20"/>
        </w:rPr>
        <w:t>/仲裁</w:t>
      </w:r>
      <w:r>
        <w:rPr>
          <w:rFonts w:ascii="Times New Roman" w:hAnsi="Times New Roman" w:eastAsia="楷体_GB2312"/>
          <w:sz w:val="20"/>
          <w:szCs w:val="20"/>
        </w:rPr>
        <w:t>、申请保全</w:t>
      </w:r>
      <w:r>
        <w:rPr>
          <w:rFonts w:hint="eastAsia" w:ascii="Times New Roman" w:hAnsi="Times New Roman" w:eastAsia="楷体_GB2312"/>
          <w:sz w:val="20"/>
          <w:szCs w:val="20"/>
        </w:rPr>
        <w:t>/执行</w:t>
      </w:r>
      <w:r>
        <w:rPr>
          <w:rFonts w:ascii="Times New Roman" w:hAnsi="Times New Roman" w:eastAsia="楷体_GB2312"/>
          <w:sz w:val="20"/>
          <w:szCs w:val="20"/>
        </w:rPr>
        <w:t>的权利）或者实施</w:t>
      </w:r>
      <w:r>
        <w:rPr>
          <w:rFonts w:hint="eastAsia" w:ascii="Times New Roman" w:hAnsi="Times New Roman" w:eastAsia="楷体_GB2312"/>
          <w:sz w:val="20"/>
          <w:szCs w:val="20"/>
        </w:rPr>
        <w:t>风险处置，行使、放弃、变更相关权利义务等其他</w:t>
      </w:r>
      <w:r>
        <w:rPr>
          <w:rFonts w:ascii="Times New Roman" w:hAnsi="Times New Roman" w:eastAsia="楷体_GB2312"/>
          <w:sz w:val="20"/>
          <w:szCs w:val="20"/>
        </w:rPr>
        <w:t>法律行为</w:t>
      </w:r>
      <w:r>
        <w:rPr>
          <w:rFonts w:hint="eastAsia" w:ascii="Times New Roman" w:hAnsi="Times New Roman" w:eastAsia="楷体_GB2312"/>
          <w:sz w:val="20"/>
          <w:szCs w:val="20"/>
        </w:rPr>
        <w:t>，</w:t>
      </w:r>
      <w:r>
        <w:rPr>
          <w:rFonts w:ascii="Times New Roman" w:hAnsi="Times New Roman" w:eastAsia="楷体_GB2312"/>
          <w:sz w:val="20"/>
          <w:szCs w:val="20"/>
        </w:rPr>
        <w:t>产生的合理费用由理财产品承担</w:t>
      </w:r>
      <w:r>
        <w:rPr>
          <w:rFonts w:hint="eastAsia" w:ascii="Times New Roman" w:hAnsi="Times New Roman" w:eastAsia="楷体_GB2312"/>
          <w:sz w:val="20"/>
          <w:szCs w:val="20"/>
        </w:rPr>
        <w:t>；</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5.</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的约定，及时、足额获得投资管理费和本产品说明书约定的其他费用（如有）；</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6.</w:t>
      </w:r>
      <w:r>
        <w:rPr>
          <w:rFonts w:hint="eastAsia" w:ascii="Times New Roman" w:hAnsi="Times New Roman" w:eastAsia="楷体_GB2312"/>
          <w:sz w:val="20"/>
          <w:szCs w:val="20"/>
        </w:rPr>
        <w:t>管理人以其固有财产先行垫付因处理本理财产品相关事务所支出的费用及税费的，对理财产品资金享有优先受偿的权利；</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7.</w:t>
      </w:r>
      <w:r>
        <w:rPr>
          <w:rFonts w:hint="eastAsia" w:ascii="Times New Roman" w:hAnsi="Times New Roman" w:eastAsia="楷体_GB2312"/>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日为认购份额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ascii="楷体_GB2312" w:eastAsia="楷体_GB2312"/>
          <w:b/>
          <w:sz w:val="20"/>
          <w:szCs w:val="20"/>
        </w:rPr>
        <w:t>B类份额</w:t>
      </w:r>
      <w:r>
        <w:rPr>
          <w:rFonts w:hint="eastAsia" w:ascii="楷体_GB2312" w:eastAsia="楷体_GB2312" w:cs="楷体_GB2312"/>
          <w:b/>
          <w:sz w:val="20"/>
          <w:szCs w:val="20"/>
        </w:rPr>
        <w:t>不收取认购费；</w:t>
      </w:r>
      <w:r>
        <w:rPr>
          <w:rFonts w:ascii="楷体_GB2312" w:eastAsia="楷体_GB2312"/>
          <w:b/>
          <w:sz w:val="20"/>
          <w:szCs w:val="20"/>
        </w:rPr>
        <w:t>G类份额</w:t>
      </w:r>
      <w:r>
        <w:rPr>
          <w:rFonts w:hint="eastAsia" w:ascii="楷体_GB2312" w:eastAsia="楷体_GB2312" w:cs="楷体_GB2312"/>
          <w:b/>
          <w:sz w:val="20"/>
          <w:szCs w:val="20"/>
        </w:rPr>
        <w:t>不收取认购费；</w:t>
      </w:r>
      <w:r>
        <w:rPr>
          <w:rFonts w:hint="eastAsia" w:ascii="楷体_GB2312" w:eastAsia="楷体_GB2312"/>
          <w:b/>
          <w:sz w:val="20"/>
          <w:szCs w:val="20"/>
        </w:rPr>
        <w:t>H</w:t>
      </w:r>
      <w:r>
        <w:rPr>
          <w:rFonts w:ascii="楷体_GB2312" w:eastAsia="楷体_GB2312"/>
          <w:b/>
          <w:sz w:val="20"/>
          <w:szCs w:val="20"/>
        </w:rPr>
        <w:t>类份额</w:t>
      </w:r>
      <w:r>
        <w:rPr>
          <w:rFonts w:hint="eastAsia" w:ascii="楷体_GB2312" w:eastAsia="楷体_GB2312" w:cs="楷体_GB2312"/>
          <w:b/>
          <w:sz w:val="20"/>
          <w:szCs w:val="20"/>
        </w:rPr>
        <w:t>不收取认购费；</w:t>
      </w:r>
      <w:r>
        <w:rPr>
          <w:rFonts w:ascii="楷体_GB2312" w:eastAsia="楷体_GB2312"/>
          <w:b/>
          <w:sz w:val="20"/>
          <w:szCs w:val="20"/>
        </w:rPr>
        <w:t>M类份额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ascii="楷体_GB2312" w:eastAsia="楷体_GB2312" w:cs="楷体_GB2312"/>
          <w:b/>
          <w:sz w:val="20"/>
          <w:szCs w:val="20"/>
        </w:rPr>
        <w:t>B类份额</w:t>
      </w:r>
      <w:r>
        <w:rPr>
          <w:rFonts w:hint="eastAsia" w:ascii="楷体_GB2312" w:eastAsia="楷体_GB2312" w:cs="楷体_GB2312"/>
          <w:b/>
          <w:sz w:val="20"/>
          <w:szCs w:val="20"/>
        </w:rPr>
        <w:t>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G类份额</w:t>
      </w:r>
      <w:r>
        <w:rPr>
          <w:rFonts w:hint="eastAsia" w:ascii="楷体_GB2312" w:eastAsia="楷体_GB2312" w:cs="楷体_GB2312"/>
          <w:b/>
          <w:sz w:val="20"/>
          <w:szCs w:val="20"/>
        </w:rPr>
        <w:t>费率【</w:t>
      </w:r>
      <w:r>
        <w:rPr>
          <w:rFonts w:ascii="楷体_GB2312" w:eastAsia="楷体_GB2312" w:cs="楷体_GB2312"/>
          <w:b/>
          <w:sz w:val="20"/>
          <w:szCs w:val="20"/>
        </w:rPr>
        <w:t>0.05%】/年</w:t>
      </w:r>
      <w:r>
        <w:rPr>
          <w:rFonts w:hint="eastAsia" w:ascii="楷体_GB2312" w:eastAsia="楷体_GB2312" w:cs="楷体_GB2312"/>
          <w:b/>
          <w:sz w:val="20"/>
          <w:szCs w:val="20"/>
        </w:rPr>
        <w:t>；</w:t>
      </w:r>
      <w:r>
        <w:rPr>
          <w:rFonts w:ascii="楷体_GB2312" w:eastAsia="楷体_GB2312" w:cs="楷体_GB2312"/>
          <w:b/>
          <w:sz w:val="20"/>
          <w:szCs w:val="20"/>
        </w:rPr>
        <w:t>H类份额</w:t>
      </w:r>
      <w:r>
        <w:rPr>
          <w:rFonts w:hint="eastAsia" w:ascii="楷体_GB2312" w:eastAsia="楷体_GB2312" w:cs="楷体_GB2312"/>
          <w:b/>
          <w:sz w:val="20"/>
          <w:szCs w:val="20"/>
        </w:rPr>
        <w:t>费率【</w:t>
      </w:r>
      <w:r>
        <w:rPr>
          <w:rFonts w:ascii="楷体_GB2312" w:eastAsia="楷体_GB2312" w:cs="楷体_GB2312"/>
          <w:b/>
          <w:sz w:val="20"/>
          <w:szCs w:val="20"/>
        </w:rPr>
        <w:t>0.10%】/年；</w:t>
      </w:r>
      <w:r>
        <w:rPr>
          <w:rFonts w:hint="eastAsia" w:ascii="楷体_GB2312" w:eastAsia="楷体_GB2312" w:cs="楷体_GB2312"/>
          <w:b/>
          <w:sz w:val="20"/>
          <w:szCs w:val="20"/>
        </w:rPr>
        <w:t>M</w:t>
      </w:r>
      <w:r>
        <w:rPr>
          <w:rFonts w:ascii="楷体_GB2312" w:eastAsia="楷体_GB2312" w:cs="楷体_GB2312"/>
          <w:b/>
          <w:sz w:val="20"/>
          <w:szCs w:val="20"/>
        </w:rPr>
        <w:t>类份额</w:t>
      </w:r>
      <w:r>
        <w:rPr>
          <w:rFonts w:hint="eastAsia" w:ascii="楷体_GB2312" w:eastAsia="楷体_GB2312" w:cs="楷体_GB2312"/>
          <w:b/>
          <w:sz w:val="20"/>
          <w:szCs w:val="20"/>
        </w:rPr>
        <w:t>费率【0.05%】/年，</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0.08%</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B类份额设立业绩比较基准，在产品到期日或提前终止日时，如计提浮动管理费前年化收益率超过2.75%的，管理人将收取超额部分的30%作为浮动管理费。</w:t>
      </w:r>
    </w:p>
    <w:p>
      <w:pPr>
        <w:snapToGrid w:val="0"/>
        <w:spacing w:line="300" w:lineRule="exact"/>
        <w:ind w:right="96" w:rightChars="40"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G类份额设立业绩比较基准，在产品到期日或提前终止日时，如计提浮动管理费前年化收益率超过2.85%的，管理人将收取超额部分的30%作为浮动管理费。</w:t>
      </w:r>
    </w:p>
    <w:p>
      <w:pPr>
        <w:snapToGrid w:val="0"/>
        <w:spacing w:line="300" w:lineRule="exact"/>
        <w:ind w:right="96" w:rightChars="40"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H类份额设立业绩比较基准，在产品到期日或提前终止日时，如计提浮动管理费前年化收益率超过2.80%的，管理人将收取超额部分的30%作为浮动管理费。</w:t>
      </w:r>
    </w:p>
    <w:p>
      <w:pPr>
        <w:snapToGrid w:val="0"/>
        <w:spacing w:line="300" w:lineRule="exact"/>
        <w:ind w:left="-2" w:leftChars="-1"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M类份额设立业绩比较基准，在产品到期日或提前终止日时，如计提浮动管理费前年化收益率超过2.85%的，管理人将收取超额部分的30%作为浮动管理费。</w:t>
      </w:r>
    </w:p>
    <w:p>
      <w:pPr>
        <w:snapToGrid w:val="0"/>
        <w:spacing w:line="300" w:lineRule="exact"/>
        <w:ind w:left="-2" w:leftChars="-1"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理财产品每日暂估的浮动管理费，仅用于理财产品会计核算和估值日估值，并将扣除“暂估浮动管理费”后的理财产品份额净值按照本说明书约定定期向投资者进行披露。理财产品实际的浮动管理费最终以每个开放日、到期日或提前终止日计提核算的数值为准。</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十四、保密</w:t>
      </w:r>
      <w:r>
        <w:rPr>
          <w:rFonts w:ascii="黑体" w:eastAsia="黑体" w:cs="黑体"/>
          <w:sz w:val="20"/>
          <w:szCs w:val="20"/>
        </w:rPr>
        <w:t>条款</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sz w:val="20"/>
          <w:szCs w:val="20"/>
        </w:rPr>
        <w:t>，或</w:t>
      </w:r>
      <w:r>
        <w:rPr>
          <w:rFonts w:hint="eastAsia" w:ascii="Times New Roman" w:hAnsi="Times New Roman" w:eastAsia="楷体_GB2312" w:cs="楷体_GB2312"/>
          <w:sz w:val="20"/>
          <w:szCs w:val="20"/>
        </w:rPr>
        <w:t>应监管机构及其他有权机关的要求，或与投资者另有约定外，不向第三方披露。</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）向与本次投资有关而需要获知以上信息并受保密协议约束的律师、会计师、顾问和咨询人员披露的；（</w:t>
      </w: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）根据适用的法律法规的要求，向有关政府部门、监管机构或者管理机构（包括证券交易所）披露的；（</w:t>
      </w:r>
      <w:r>
        <w:rPr>
          <w:rFonts w:ascii="Times New Roman" w:hAnsi="Times New Roman" w:eastAsia="楷体_GB2312" w:cs="楷体_GB2312"/>
          <w:sz w:val="20"/>
          <w:szCs w:val="20"/>
        </w:rPr>
        <w:t>3</w:t>
      </w:r>
      <w:r>
        <w:rPr>
          <w:rFonts w:hint="eastAsia" w:ascii="Times New Roman" w:hAnsi="Times New Roman" w:eastAsia="楷体_GB2312" w:cs="楷体_GB2312"/>
          <w:sz w:val="20"/>
          <w:szCs w:val="20"/>
        </w:rPr>
        <w:t>）本产品说明书另有约定的。前述保密义务不因本理财产品销售文件或相关协议的无效、被撤销、终止而受影响。</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为更好地服务理财投资者，信银理财将【租用</w:t>
      </w:r>
      <w:r>
        <w:rPr>
          <w:rFonts w:ascii="Times New Roman" w:hAnsi="Times New Roman" w:eastAsia="楷体_GB2312" w:cs="楷体_GB2312"/>
          <w:sz w:val="20"/>
          <w:szCs w:val="20"/>
        </w:rPr>
        <w:t>/购买】第三方供应商【上海鸿联九五信息技术有限公司】公司提供的【九五云客服系统】系统（联系方式：【021-65085089】），用于向理财投资者提供客服服务，提供客服服务的过程将被录音，录音将会被暂时存储在【九五云客服系统】系统中，因提供客服服务过程中可能不可避免的涉及到投资者的个人身份信息、持仓信息、交易信息等，上述信息可能包含于被储存的录音当中，录音仅用于【事后追溯客服过程，保护投资者权益】。信银理财不会将上述被记录和存储的信息用于任何其他目的，也不会向任何其他第</w:t>
      </w:r>
      <w:r>
        <w:rPr>
          <w:rFonts w:hint="eastAsia" w:ascii="Times New Roman" w:hAnsi="Times New Roman" w:eastAsia="楷体_GB2312" w:cs="楷体_GB2312"/>
          <w:sz w:val="20"/>
          <w:szCs w:val="20"/>
        </w:rPr>
        <w:t>三方提供，同时将要求供应商履行同样义务，并在与供应商结束合作后要求其删除上述信息数据。投资者知悉并同意上述情况。如消费者不同意信银理财通过上述系统向其提供客服服务，可通过信银理财客服邮箱（</w:t>
      </w:r>
      <w:r>
        <w:rPr>
          <w:rFonts w:ascii="Times New Roman" w:hAnsi="Times New Roman" w:eastAsia="楷体_GB2312" w:cs="楷体_GB2312"/>
          <w:sz w:val="20"/>
          <w:szCs w:val="20"/>
        </w:rPr>
        <w:t>customerservice@citic-wealth.com）联系信银理财。</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left="400" w:firstLine="400" w:firstLineChars="200"/>
        <w:jc w:val="both"/>
        <w:rPr>
          <w:rFonts w:ascii="楷体_GB2312" w:eastAsia="楷体_GB2312"/>
          <w:sz w:val="20"/>
          <w:szCs w:val="20"/>
        </w:rPr>
      </w:pPr>
      <w:r>
        <w:rPr>
          <w:rFonts w:hint="eastAsia" w:ascii="黑体" w:hAnsi="Times New Roman" w:eastAsia="黑体" w:cs="黑体"/>
          <w:sz w:val="20"/>
          <w:szCs w:val="20"/>
        </w:rPr>
        <w:t>十五、特别提示</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本产品面临的风险包括信用风险、市场风险、流动性风险、提前终止风险、政策风险、信息传递风险、管理风险、延期清算风险、产品</w:t>
      </w:r>
      <w:r>
        <w:rPr>
          <w:rFonts w:ascii="楷体_GB2312" w:eastAsia="楷体_GB2312" w:cs="楷体_GB2312"/>
          <w:sz w:val="20"/>
          <w:szCs w:val="20"/>
        </w:rPr>
        <w:t>不成立风险、</w:t>
      </w:r>
      <w:r>
        <w:rPr>
          <w:rFonts w:hint="eastAsia" w:ascii="楷体_GB2312" w:eastAsia="楷体_GB2312" w:cs="楷体_GB2312"/>
          <w:sz w:val="20"/>
          <w:szCs w:val="20"/>
        </w:rPr>
        <w:t>不可抗力及</w:t>
      </w:r>
      <w:r>
        <w:rPr>
          <w:rFonts w:ascii="楷体_GB2312" w:eastAsia="楷体_GB2312" w:cs="楷体_GB2312"/>
          <w:sz w:val="20"/>
          <w:szCs w:val="20"/>
        </w:rPr>
        <w:t>意外事件</w:t>
      </w:r>
      <w:r>
        <w:rPr>
          <w:rFonts w:hint="eastAsia" w:ascii="楷体_GB2312" w:eastAsia="楷体_GB2312" w:cs="楷体_GB2312"/>
          <w:sz w:val="20"/>
          <w:szCs w:val="20"/>
        </w:rPr>
        <w:t>风险、</w:t>
      </w:r>
      <w:r>
        <w:rPr>
          <w:rFonts w:ascii="楷体_GB2312" w:eastAsia="楷体_GB2312" w:cs="楷体_GB2312"/>
          <w:sz w:val="20"/>
          <w:szCs w:val="20"/>
        </w:rPr>
        <w:t>关联交易风险</w:t>
      </w:r>
      <w:r>
        <w:rPr>
          <w:rFonts w:hint="eastAsia" w:ascii="楷体_GB2312" w:eastAsia="楷体_GB2312" w:cs="楷体_GB2312"/>
          <w:sz w:val="20"/>
          <w:szCs w:val="20"/>
        </w:rPr>
        <w:t>、合作销售机构风险、</w:t>
      </w:r>
      <w:r>
        <w:rPr>
          <w:rFonts w:ascii="楷体_GB2312" w:eastAsia="楷体_GB2312" w:cs="楷体_GB2312"/>
          <w:sz w:val="20"/>
          <w:szCs w:val="20"/>
        </w:rPr>
        <w:t>操作风险</w:t>
      </w:r>
      <w:r>
        <w:rPr>
          <w:rFonts w:hint="eastAsia" w:ascii="楷体_GB2312" w:eastAsia="楷体_GB2312" w:cs="楷体_GB2312"/>
          <w:sz w:val="20"/>
          <w:szCs w:val="20"/>
        </w:rPr>
        <w:t>等风险，将可能导致投资者无法</w:t>
      </w:r>
      <w:r>
        <w:rPr>
          <w:rFonts w:ascii="楷体_GB2312" w:eastAsia="楷体_GB2312" w:cs="楷体_GB2312"/>
          <w:sz w:val="20"/>
          <w:szCs w:val="20"/>
        </w:rPr>
        <w:t>取得收益，甚至</w:t>
      </w:r>
      <w:r>
        <w:rPr>
          <w:rFonts w:hint="eastAsia" w:ascii="楷体_GB2312" w:eastAsia="楷体_GB2312" w:cs="楷体_GB2312"/>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sz w:val="20"/>
          <w:szCs w:val="20"/>
        </w:rPr>
        <w:t xml:space="preserve">  </w:t>
      </w:r>
    </w:p>
    <w:p>
      <w:pPr>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关于费用</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1）双方确认：本产品说明书约定的收费标准经双方协商确定，双方均认可该收费标准。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限制与例外条款：信银理财承诺不得单方面提高本产品说明书约定的收费标准，但根据相关法律法规、规范性文件的规定提高收费标准的除外。若因上述原因信银理财确需提高本产品说明书项下收费标准的，应以本产品说明书约定方式提前通知投资者。投资者不接受调整后的收费标准的，有权提前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p>
    <w:p>
      <w:pPr>
        <w:spacing w:line="300" w:lineRule="exact"/>
        <w:ind w:left="-2" w:firstLine="400" w:firstLineChars="200"/>
        <w:jc w:val="both"/>
        <w:rPr>
          <w:rFonts w:ascii="楷体_GB2312" w:eastAsia="楷体_GB2312"/>
          <w:sz w:val="20"/>
          <w:szCs w:val="20"/>
        </w:rPr>
      </w:pPr>
      <w:r>
        <w:rPr>
          <w:rFonts w:ascii="楷体_GB2312" w:eastAsia="楷体_GB2312"/>
          <w:sz w:val="20"/>
          <w:szCs w:val="20"/>
        </w:rPr>
        <w:t>4.</w:t>
      </w:r>
      <w:r>
        <w:rPr>
          <w:rFonts w:hint="eastAsia" w:ascii="楷体_GB2312" w:eastAsia="楷体_GB2312"/>
          <w:sz w:val="20"/>
          <w:szCs w:val="20"/>
        </w:rPr>
        <w:t>咨询与投诉</w:t>
      </w:r>
      <w:r>
        <w:rPr>
          <w:rFonts w:ascii="楷体_GB2312" w:eastAsia="楷体_GB2312"/>
          <w:sz w:val="20"/>
          <w:szCs w:val="20"/>
        </w:rPr>
        <w:t>：</w:t>
      </w:r>
      <w:r>
        <w:rPr>
          <w:rFonts w:hint="eastAsia" w:ascii="楷体_GB2312" w:eastAsia="楷体_GB2312"/>
          <w:sz w:val="20"/>
          <w:szCs w:val="20"/>
        </w:rPr>
        <w:t>投资者对</w:t>
      </w:r>
      <w:r>
        <w:rPr>
          <w:rFonts w:ascii="楷体_GB2312" w:eastAsia="楷体_GB2312"/>
          <w:sz w:val="20"/>
          <w:szCs w:val="20"/>
        </w:rPr>
        <w:t>本理财产品</w:t>
      </w:r>
      <w:r>
        <w:rPr>
          <w:rFonts w:hint="eastAsia" w:ascii="楷体_GB2312" w:eastAsia="楷体_GB2312"/>
          <w:sz w:val="20"/>
          <w:szCs w:val="20"/>
        </w:rPr>
        <w:t>有</w:t>
      </w:r>
      <w:r>
        <w:rPr>
          <w:rFonts w:ascii="楷体_GB2312" w:eastAsia="楷体_GB2312"/>
          <w:sz w:val="20"/>
          <w:szCs w:val="20"/>
        </w:rPr>
        <w:t>任何</w:t>
      </w:r>
      <w:r>
        <w:rPr>
          <w:rFonts w:hint="eastAsia" w:ascii="楷体_GB2312" w:eastAsia="楷体_GB2312"/>
          <w:sz w:val="20"/>
          <w:szCs w:val="20"/>
        </w:rPr>
        <w:t>建议</w:t>
      </w:r>
      <w:r>
        <w:rPr>
          <w:rFonts w:ascii="楷体_GB2312" w:eastAsia="楷体_GB2312"/>
          <w:sz w:val="20"/>
          <w:szCs w:val="20"/>
        </w:rPr>
        <w:t>、意见或投诉</w:t>
      </w:r>
      <w:r>
        <w:rPr>
          <w:rFonts w:hint="eastAsia" w:ascii="楷体_GB2312" w:eastAsia="楷体_GB2312"/>
          <w:sz w:val="20"/>
          <w:szCs w:val="20"/>
        </w:rPr>
        <w:t>，请</w:t>
      </w:r>
      <w:r>
        <w:rPr>
          <w:rFonts w:ascii="楷体_GB2312" w:eastAsia="楷体_GB2312"/>
          <w:sz w:val="20"/>
          <w:szCs w:val="20"/>
        </w:rPr>
        <w:t>联系信银理财理财经理</w:t>
      </w:r>
      <w:r>
        <w:rPr>
          <w:rFonts w:hint="eastAsia" w:ascii="楷体_GB2312" w:eastAsia="楷体_GB2312"/>
          <w:sz w:val="20"/>
          <w:szCs w:val="20"/>
        </w:rPr>
        <w:t>，或</w:t>
      </w:r>
      <w:r>
        <w:rPr>
          <w:rFonts w:ascii="楷体_GB2312" w:eastAsia="楷体_GB2312"/>
          <w:sz w:val="20"/>
          <w:szCs w:val="20"/>
        </w:rPr>
        <w:t>反馈至信银理财营业</w:t>
      </w:r>
      <w:r>
        <w:rPr>
          <w:rFonts w:hint="eastAsia" w:ascii="楷体_GB2312" w:eastAsia="楷体_GB2312"/>
          <w:sz w:val="20"/>
          <w:szCs w:val="20"/>
        </w:rPr>
        <w:t>场所，或拨打信银理财客户服务热线【</w:t>
      </w:r>
      <w:r>
        <w:rPr>
          <w:rFonts w:ascii="楷体_GB2312" w:eastAsia="楷体_GB2312"/>
          <w:sz w:val="20"/>
          <w:szCs w:val="20"/>
        </w:rPr>
        <w:t xml:space="preserve">950950，工作时间为工作日8：30-20：30】，登录信银理财网站【http://www.citic-wealth.com/】进行查询。 </w:t>
      </w:r>
      <w:r>
        <w:rPr>
          <w:rFonts w:hint="eastAsia" w:ascii="楷体_GB2312" w:eastAsia="楷体_GB2312"/>
          <w:sz w:val="20"/>
          <w:szCs w:val="20"/>
        </w:rPr>
        <w:t>信银理财将安排专人及时收集客户投诉，并在收到客户投诉的第一时间内与客户取得联系，及时处理并进行反馈。投资者</w:t>
      </w:r>
      <w:r>
        <w:rPr>
          <w:rFonts w:ascii="楷体_GB2312" w:eastAsia="楷体_GB2312"/>
          <w:sz w:val="20"/>
          <w:szCs w:val="20"/>
        </w:rPr>
        <w:t>通过代销机构购买理财产品的，可</w:t>
      </w:r>
      <w:r>
        <w:rPr>
          <w:rFonts w:hint="eastAsia" w:ascii="楷体_GB2312" w:eastAsia="楷体_GB2312"/>
          <w:sz w:val="20"/>
          <w:szCs w:val="20"/>
        </w:rPr>
        <w:t>按照</w:t>
      </w:r>
      <w:r>
        <w:rPr>
          <w:rFonts w:ascii="楷体_GB2312" w:eastAsia="楷体_GB2312"/>
          <w:sz w:val="20"/>
          <w:szCs w:val="20"/>
        </w:rPr>
        <w:t>代销机构提供的</w:t>
      </w:r>
      <w:r>
        <w:rPr>
          <w:rFonts w:hint="eastAsia" w:ascii="楷体_GB2312" w:eastAsia="楷体_GB2312"/>
          <w:sz w:val="20"/>
          <w:szCs w:val="20"/>
        </w:rPr>
        <w:t>联系</w:t>
      </w:r>
      <w:r>
        <w:rPr>
          <w:rFonts w:ascii="楷体_GB2312" w:eastAsia="楷体_GB2312"/>
          <w:sz w:val="20"/>
          <w:szCs w:val="20"/>
        </w:rPr>
        <w:t>方式</w:t>
      </w:r>
      <w:r>
        <w:rPr>
          <w:rFonts w:hint="eastAsia" w:ascii="楷体_GB2312" w:eastAsia="楷体_GB2312"/>
          <w:sz w:val="20"/>
          <w:szCs w:val="20"/>
        </w:rPr>
        <w:t>反馈</w:t>
      </w:r>
      <w:r>
        <w:rPr>
          <w:rFonts w:ascii="楷体_GB2312" w:eastAsia="楷体_GB2312"/>
          <w:sz w:val="20"/>
          <w:szCs w:val="20"/>
        </w:rPr>
        <w:t>信息、咨询和</w:t>
      </w:r>
      <w:r>
        <w:rPr>
          <w:rFonts w:hint="eastAsia" w:ascii="楷体_GB2312" w:eastAsia="楷体_GB2312"/>
          <w:sz w:val="20"/>
          <w:szCs w:val="20"/>
        </w:rPr>
        <w:t>投诉。</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5.本产品说明书中</w:t>
      </w:r>
      <w:r>
        <w:rPr>
          <w:rFonts w:hint="eastAsia" w:ascii="楷体_GB2312" w:eastAsia="楷体_GB2312"/>
          <w:sz w:val="20"/>
          <w:szCs w:val="20"/>
        </w:rPr>
        <w:t>关于</w:t>
      </w:r>
      <w:r>
        <w:rPr>
          <w:rFonts w:ascii="楷体_GB2312" w:eastAsia="楷体_GB2312"/>
          <w:sz w:val="20"/>
          <w:szCs w:val="20"/>
        </w:rPr>
        <w:t>时间</w:t>
      </w:r>
      <w:r>
        <w:rPr>
          <w:rFonts w:hint="eastAsia" w:ascii="楷体_GB2312" w:eastAsia="楷体_GB2312"/>
          <w:sz w:val="20"/>
          <w:szCs w:val="20"/>
        </w:rPr>
        <w:t>的</w:t>
      </w:r>
      <w:r>
        <w:rPr>
          <w:rFonts w:ascii="楷体_GB2312" w:eastAsia="楷体_GB2312"/>
          <w:sz w:val="20"/>
          <w:szCs w:val="20"/>
        </w:rPr>
        <w:t>标准</w:t>
      </w:r>
      <w:r>
        <w:rPr>
          <w:rFonts w:hint="eastAsia" w:ascii="楷体_GB2312" w:eastAsia="楷体_GB2312"/>
          <w:sz w:val="20"/>
          <w:szCs w:val="20"/>
        </w:rPr>
        <w:t>，</w:t>
      </w:r>
      <w:r>
        <w:rPr>
          <w:rFonts w:ascii="楷体_GB2312" w:eastAsia="楷体_GB2312"/>
          <w:sz w:val="20"/>
          <w:szCs w:val="20"/>
        </w:rPr>
        <w:t>以信银理财业务处理系统记录的北京时间为准。</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6.信银理财有权依法对本产品说明书进行</w:t>
      </w:r>
      <w:r>
        <w:rPr>
          <w:rFonts w:hint="eastAsia" w:ascii="楷体_GB2312" w:eastAsia="楷体_GB2312"/>
          <w:sz w:val="20"/>
          <w:szCs w:val="20"/>
        </w:rPr>
        <w:t>解释</w:t>
      </w:r>
      <w:r>
        <w:rPr>
          <w:rFonts w:ascii="楷体_GB2312" w:eastAsia="楷体_GB2312"/>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24</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revisionView w:markup="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15"/>
    <w:rsid w:val="000006C6"/>
    <w:rsid w:val="00000D44"/>
    <w:rsid w:val="00001C03"/>
    <w:rsid w:val="00001DC5"/>
    <w:rsid w:val="00003525"/>
    <w:rsid w:val="00004BEE"/>
    <w:rsid w:val="00006491"/>
    <w:rsid w:val="000112B7"/>
    <w:rsid w:val="000126B2"/>
    <w:rsid w:val="00014B73"/>
    <w:rsid w:val="000155CB"/>
    <w:rsid w:val="000160B3"/>
    <w:rsid w:val="00016C3A"/>
    <w:rsid w:val="0002679A"/>
    <w:rsid w:val="00027122"/>
    <w:rsid w:val="0003233C"/>
    <w:rsid w:val="00032F3B"/>
    <w:rsid w:val="00033CE5"/>
    <w:rsid w:val="00035980"/>
    <w:rsid w:val="00035D4E"/>
    <w:rsid w:val="000363A0"/>
    <w:rsid w:val="00036A9C"/>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28B5"/>
    <w:rsid w:val="00074951"/>
    <w:rsid w:val="00074C93"/>
    <w:rsid w:val="00077050"/>
    <w:rsid w:val="0008061A"/>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A044F"/>
    <w:rsid w:val="000A327A"/>
    <w:rsid w:val="000A3596"/>
    <w:rsid w:val="000A3794"/>
    <w:rsid w:val="000A5B13"/>
    <w:rsid w:val="000A7618"/>
    <w:rsid w:val="000A7C01"/>
    <w:rsid w:val="000C04B7"/>
    <w:rsid w:val="000C0E92"/>
    <w:rsid w:val="000C0EBF"/>
    <w:rsid w:val="000C19F3"/>
    <w:rsid w:val="000C2603"/>
    <w:rsid w:val="000C33FA"/>
    <w:rsid w:val="000C3AF8"/>
    <w:rsid w:val="000C4C04"/>
    <w:rsid w:val="000C57C0"/>
    <w:rsid w:val="000C6FFC"/>
    <w:rsid w:val="000C721C"/>
    <w:rsid w:val="000D0148"/>
    <w:rsid w:val="000D1511"/>
    <w:rsid w:val="000D2C6E"/>
    <w:rsid w:val="000D540C"/>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C68"/>
    <w:rsid w:val="00123C90"/>
    <w:rsid w:val="00125253"/>
    <w:rsid w:val="001260B9"/>
    <w:rsid w:val="001266EA"/>
    <w:rsid w:val="00126DB3"/>
    <w:rsid w:val="001275AC"/>
    <w:rsid w:val="00130901"/>
    <w:rsid w:val="00132E82"/>
    <w:rsid w:val="0013309B"/>
    <w:rsid w:val="001339CB"/>
    <w:rsid w:val="0013467D"/>
    <w:rsid w:val="001353DA"/>
    <w:rsid w:val="00136105"/>
    <w:rsid w:val="00136583"/>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2542"/>
    <w:rsid w:val="001B35C0"/>
    <w:rsid w:val="001B6029"/>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6640"/>
    <w:rsid w:val="001F6AE8"/>
    <w:rsid w:val="001F738E"/>
    <w:rsid w:val="001F7597"/>
    <w:rsid w:val="001F76C8"/>
    <w:rsid w:val="001F77A5"/>
    <w:rsid w:val="0020078B"/>
    <w:rsid w:val="0020185E"/>
    <w:rsid w:val="00202368"/>
    <w:rsid w:val="0020290B"/>
    <w:rsid w:val="00202E2D"/>
    <w:rsid w:val="00203EAD"/>
    <w:rsid w:val="0020493D"/>
    <w:rsid w:val="0020571D"/>
    <w:rsid w:val="00206FE3"/>
    <w:rsid w:val="00211658"/>
    <w:rsid w:val="002121B1"/>
    <w:rsid w:val="00212962"/>
    <w:rsid w:val="0021422C"/>
    <w:rsid w:val="00214442"/>
    <w:rsid w:val="002153F5"/>
    <w:rsid w:val="00217805"/>
    <w:rsid w:val="0022225E"/>
    <w:rsid w:val="002255EE"/>
    <w:rsid w:val="00226CD2"/>
    <w:rsid w:val="00226ED1"/>
    <w:rsid w:val="00227275"/>
    <w:rsid w:val="00227A37"/>
    <w:rsid w:val="00227E5E"/>
    <w:rsid w:val="00233296"/>
    <w:rsid w:val="0023369F"/>
    <w:rsid w:val="00233AC8"/>
    <w:rsid w:val="00236C74"/>
    <w:rsid w:val="002370EE"/>
    <w:rsid w:val="002465F7"/>
    <w:rsid w:val="0025002B"/>
    <w:rsid w:val="002502BE"/>
    <w:rsid w:val="00250C86"/>
    <w:rsid w:val="00253360"/>
    <w:rsid w:val="00253B10"/>
    <w:rsid w:val="00253FDB"/>
    <w:rsid w:val="00254944"/>
    <w:rsid w:val="00254AB2"/>
    <w:rsid w:val="00254D38"/>
    <w:rsid w:val="00255F6F"/>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348D"/>
    <w:rsid w:val="002C3870"/>
    <w:rsid w:val="002C5D61"/>
    <w:rsid w:val="002C6C6D"/>
    <w:rsid w:val="002C6E82"/>
    <w:rsid w:val="002D0DD6"/>
    <w:rsid w:val="002D223E"/>
    <w:rsid w:val="002D3636"/>
    <w:rsid w:val="002D38B7"/>
    <w:rsid w:val="002D46D0"/>
    <w:rsid w:val="002D5B11"/>
    <w:rsid w:val="002D67E8"/>
    <w:rsid w:val="002D6E0E"/>
    <w:rsid w:val="002D7249"/>
    <w:rsid w:val="002D78F9"/>
    <w:rsid w:val="002E4E91"/>
    <w:rsid w:val="002E5746"/>
    <w:rsid w:val="002F0F28"/>
    <w:rsid w:val="002F14A9"/>
    <w:rsid w:val="002F1A8B"/>
    <w:rsid w:val="002F265B"/>
    <w:rsid w:val="002F320A"/>
    <w:rsid w:val="002F6BBC"/>
    <w:rsid w:val="002F7FA0"/>
    <w:rsid w:val="00301333"/>
    <w:rsid w:val="00304587"/>
    <w:rsid w:val="0030521D"/>
    <w:rsid w:val="00305FAB"/>
    <w:rsid w:val="00306D2D"/>
    <w:rsid w:val="003075EA"/>
    <w:rsid w:val="00307DCB"/>
    <w:rsid w:val="00307EE8"/>
    <w:rsid w:val="00310EC2"/>
    <w:rsid w:val="00311784"/>
    <w:rsid w:val="00311FCF"/>
    <w:rsid w:val="0031212B"/>
    <w:rsid w:val="00312A2B"/>
    <w:rsid w:val="003133C9"/>
    <w:rsid w:val="0031533D"/>
    <w:rsid w:val="00316DEC"/>
    <w:rsid w:val="003175C8"/>
    <w:rsid w:val="00321CAD"/>
    <w:rsid w:val="00321ED4"/>
    <w:rsid w:val="0032287B"/>
    <w:rsid w:val="003242D1"/>
    <w:rsid w:val="003259DD"/>
    <w:rsid w:val="00326D9F"/>
    <w:rsid w:val="003313E2"/>
    <w:rsid w:val="00332EB9"/>
    <w:rsid w:val="00335B1F"/>
    <w:rsid w:val="003361BF"/>
    <w:rsid w:val="003413CC"/>
    <w:rsid w:val="00344E13"/>
    <w:rsid w:val="003452C4"/>
    <w:rsid w:val="00346433"/>
    <w:rsid w:val="00354663"/>
    <w:rsid w:val="00354FAB"/>
    <w:rsid w:val="00356364"/>
    <w:rsid w:val="003563BB"/>
    <w:rsid w:val="003576A4"/>
    <w:rsid w:val="003614D6"/>
    <w:rsid w:val="00362735"/>
    <w:rsid w:val="00363912"/>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A91"/>
    <w:rsid w:val="003A3EC5"/>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10DD"/>
    <w:rsid w:val="003F2084"/>
    <w:rsid w:val="003F3C37"/>
    <w:rsid w:val="003F5C60"/>
    <w:rsid w:val="003F5CC9"/>
    <w:rsid w:val="003F7F7C"/>
    <w:rsid w:val="004025B0"/>
    <w:rsid w:val="00403F2B"/>
    <w:rsid w:val="0040426A"/>
    <w:rsid w:val="004057B9"/>
    <w:rsid w:val="00405B1C"/>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7645"/>
    <w:rsid w:val="004C0143"/>
    <w:rsid w:val="004C0F2D"/>
    <w:rsid w:val="004C2BBE"/>
    <w:rsid w:val="004C3274"/>
    <w:rsid w:val="004C3474"/>
    <w:rsid w:val="004C46A4"/>
    <w:rsid w:val="004C49DC"/>
    <w:rsid w:val="004C52DB"/>
    <w:rsid w:val="004D157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9E8"/>
    <w:rsid w:val="00503B4E"/>
    <w:rsid w:val="00505348"/>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55E0"/>
    <w:rsid w:val="00575AA3"/>
    <w:rsid w:val="005769C1"/>
    <w:rsid w:val="00577699"/>
    <w:rsid w:val="00580CAC"/>
    <w:rsid w:val="00581BEA"/>
    <w:rsid w:val="005828C6"/>
    <w:rsid w:val="00582D53"/>
    <w:rsid w:val="005862B0"/>
    <w:rsid w:val="005865C3"/>
    <w:rsid w:val="00590E47"/>
    <w:rsid w:val="005921BC"/>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EF7"/>
    <w:rsid w:val="005C7D77"/>
    <w:rsid w:val="005D039E"/>
    <w:rsid w:val="005D2357"/>
    <w:rsid w:val="005D25FF"/>
    <w:rsid w:val="005D45A1"/>
    <w:rsid w:val="005D756C"/>
    <w:rsid w:val="005E0A11"/>
    <w:rsid w:val="005E4210"/>
    <w:rsid w:val="005E7116"/>
    <w:rsid w:val="005F076E"/>
    <w:rsid w:val="005F1399"/>
    <w:rsid w:val="005F16A2"/>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7B21"/>
    <w:rsid w:val="0069257C"/>
    <w:rsid w:val="00692C48"/>
    <w:rsid w:val="0069652B"/>
    <w:rsid w:val="006975BC"/>
    <w:rsid w:val="006976C9"/>
    <w:rsid w:val="006A1119"/>
    <w:rsid w:val="006A19F9"/>
    <w:rsid w:val="006A7AC1"/>
    <w:rsid w:val="006B0846"/>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6FC"/>
    <w:rsid w:val="006F4028"/>
    <w:rsid w:val="006F415D"/>
    <w:rsid w:val="006F692A"/>
    <w:rsid w:val="00701D14"/>
    <w:rsid w:val="00701D1A"/>
    <w:rsid w:val="0070335C"/>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41D7"/>
    <w:rsid w:val="0073572E"/>
    <w:rsid w:val="00736C6D"/>
    <w:rsid w:val="007370B0"/>
    <w:rsid w:val="00742D4B"/>
    <w:rsid w:val="00743465"/>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D9D"/>
    <w:rsid w:val="007C2C0B"/>
    <w:rsid w:val="007C2FC3"/>
    <w:rsid w:val="007C3128"/>
    <w:rsid w:val="007C3B98"/>
    <w:rsid w:val="007D0A11"/>
    <w:rsid w:val="007D1EC7"/>
    <w:rsid w:val="007D7593"/>
    <w:rsid w:val="007E04C1"/>
    <w:rsid w:val="007E1068"/>
    <w:rsid w:val="007E29BB"/>
    <w:rsid w:val="007E3841"/>
    <w:rsid w:val="007E4175"/>
    <w:rsid w:val="007E7634"/>
    <w:rsid w:val="007F094F"/>
    <w:rsid w:val="007F0B7D"/>
    <w:rsid w:val="007F287A"/>
    <w:rsid w:val="007F52AA"/>
    <w:rsid w:val="007F779B"/>
    <w:rsid w:val="0080146A"/>
    <w:rsid w:val="00801595"/>
    <w:rsid w:val="00803588"/>
    <w:rsid w:val="00803B53"/>
    <w:rsid w:val="00803C1D"/>
    <w:rsid w:val="008048AB"/>
    <w:rsid w:val="00805AE9"/>
    <w:rsid w:val="008069CD"/>
    <w:rsid w:val="0080753F"/>
    <w:rsid w:val="00807588"/>
    <w:rsid w:val="008077EC"/>
    <w:rsid w:val="00807CA4"/>
    <w:rsid w:val="00810BD4"/>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7F01"/>
    <w:rsid w:val="008A0CA2"/>
    <w:rsid w:val="008A2CDF"/>
    <w:rsid w:val="008A39D6"/>
    <w:rsid w:val="008A411C"/>
    <w:rsid w:val="008A6EBC"/>
    <w:rsid w:val="008A783D"/>
    <w:rsid w:val="008B06B0"/>
    <w:rsid w:val="008B1F4C"/>
    <w:rsid w:val="008B2747"/>
    <w:rsid w:val="008B4408"/>
    <w:rsid w:val="008B4CCC"/>
    <w:rsid w:val="008B52FB"/>
    <w:rsid w:val="008B5573"/>
    <w:rsid w:val="008B5BC5"/>
    <w:rsid w:val="008B7931"/>
    <w:rsid w:val="008C2067"/>
    <w:rsid w:val="008C390D"/>
    <w:rsid w:val="008C5AA5"/>
    <w:rsid w:val="008C5B3C"/>
    <w:rsid w:val="008C6EB3"/>
    <w:rsid w:val="008D437D"/>
    <w:rsid w:val="008D6F47"/>
    <w:rsid w:val="008D742F"/>
    <w:rsid w:val="008E2351"/>
    <w:rsid w:val="008E319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386"/>
    <w:rsid w:val="00934714"/>
    <w:rsid w:val="00935DD4"/>
    <w:rsid w:val="009375D9"/>
    <w:rsid w:val="00940B4D"/>
    <w:rsid w:val="009421CA"/>
    <w:rsid w:val="009437CB"/>
    <w:rsid w:val="00944077"/>
    <w:rsid w:val="00944564"/>
    <w:rsid w:val="0094593C"/>
    <w:rsid w:val="00951827"/>
    <w:rsid w:val="009525FD"/>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6C2C"/>
    <w:rsid w:val="009E74E9"/>
    <w:rsid w:val="009F2387"/>
    <w:rsid w:val="009F3A6B"/>
    <w:rsid w:val="009F4DDF"/>
    <w:rsid w:val="009F63BA"/>
    <w:rsid w:val="009F7298"/>
    <w:rsid w:val="009F7493"/>
    <w:rsid w:val="009F7E21"/>
    <w:rsid w:val="00A04383"/>
    <w:rsid w:val="00A05548"/>
    <w:rsid w:val="00A11C2A"/>
    <w:rsid w:val="00A123E3"/>
    <w:rsid w:val="00A13F92"/>
    <w:rsid w:val="00A1651C"/>
    <w:rsid w:val="00A167A3"/>
    <w:rsid w:val="00A16D0B"/>
    <w:rsid w:val="00A17DCA"/>
    <w:rsid w:val="00A21691"/>
    <w:rsid w:val="00A22514"/>
    <w:rsid w:val="00A2336E"/>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02F3"/>
    <w:rsid w:val="00A51891"/>
    <w:rsid w:val="00A52506"/>
    <w:rsid w:val="00A53B68"/>
    <w:rsid w:val="00A54BA1"/>
    <w:rsid w:val="00A55D36"/>
    <w:rsid w:val="00A56C74"/>
    <w:rsid w:val="00A61C27"/>
    <w:rsid w:val="00A632C2"/>
    <w:rsid w:val="00A6470A"/>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3BFD"/>
    <w:rsid w:val="00AA5CB2"/>
    <w:rsid w:val="00AA643C"/>
    <w:rsid w:val="00AB066F"/>
    <w:rsid w:val="00AB29D0"/>
    <w:rsid w:val="00AB35AC"/>
    <w:rsid w:val="00AB3B1E"/>
    <w:rsid w:val="00AB4C0B"/>
    <w:rsid w:val="00AB5DF7"/>
    <w:rsid w:val="00AC2BE4"/>
    <w:rsid w:val="00AC37F5"/>
    <w:rsid w:val="00AC4A02"/>
    <w:rsid w:val="00AC71C0"/>
    <w:rsid w:val="00AD0D6B"/>
    <w:rsid w:val="00AD1722"/>
    <w:rsid w:val="00AD1FE5"/>
    <w:rsid w:val="00AD206B"/>
    <w:rsid w:val="00AD2A6B"/>
    <w:rsid w:val="00AD3163"/>
    <w:rsid w:val="00AD5938"/>
    <w:rsid w:val="00AD5C44"/>
    <w:rsid w:val="00AD6B2C"/>
    <w:rsid w:val="00AE158D"/>
    <w:rsid w:val="00AE1A21"/>
    <w:rsid w:val="00AE22BA"/>
    <w:rsid w:val="00AE3747"/>
    <w:rsid w:val="00AE6247"/>
    <w:rsid w:val="00AE6718"/>
    <w:rsid w:val="00AE6808"/>
    <w:rsid w:val="00AE7012"/>
    <w:rsid w:val="00AF0C5C"/>
    <w:rsid w:val="00AF2C00"/>
    <w:rsid w:val="00AF2D3A"/>
    <w:rsid w:val="00AF3A2F"/>
    <w:rsid w:val="00AF3C89"/>
    <w:rsid w:val="00AF7872"/>
    <w:rsid w:val="00B00A25"/>
    <w:rsid w:val="00B03631"/>
    <w:rsid w:val="00B04414"/>
    <w:rsid w:val="00B04D83"/>
    <w:rsid w:val="00B07607"/>
    <w:rsid w:val="00B10EB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4F45"/>
    <w:rsid w:val="00BC641A"/>
    <w:rsid w:val="00BC7731"/>
    <w:rsid w:val="00BC7AB3"/>
    <w:rsid w:val="00BD1B90"/>
    <w:rsid w:val="00BD4F2A"/>
    <w:rsid w:val="00BD6055"/>
    <w:rsid w:val="00BD60FE"/>
    <w:rsid w:val="00BE0C23"/>
    <w:rsid w:val="00BE3245"/>
    <w:rsid w:val="00BE4A31"/>
    <w:rsid w:val="00BE5733"/>
    <w:rsid w:val="00BE6AF6"/>
    <w:rsid w:val="00BF06E1"/>
    <w:rsid w:val="00BF1BF1"/>
    <w:rsid w:val="00BF23C0"/>
    <w:rsid w:val="00BF272B"/>
    <w:rsid w:val="00BF2FC4"/>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349F"/>
    <w:rsid w:val="00C2365D"/>
    <w:rsid w:val="00C24BE4"/>
    <w:rsid w:val="00C24C09"/>
    <w:rsid w:val="00C24C46"/>
    <w:rsid w:val="00C24E0C"/>
    <w:rsid w:val="00C250C7"/>
    <w:rsid w:val="00C26961"/>
    <w:rsid w:val="00C26F36"/>
    <w:rsid w:val="00C27CD0"/>
    <w:rsid w:val="00C32F38"/>
    <w:rsid w:val="00C42069"/>
    <w:rsid w:val="00C43848"/>
    <w:rsid w:val="00C456AC"/>
    <w:rsid w:val="00C46031"/>
    <w:rsid w:val="00C476AD"/>
    <w:rsid w:val="00C47CDE"/>
    <w:rsid w:val="00C53A4A"/>
    <w:rsid w:val="00C54066"/>
    <w:rsid w:val="00C5434D"/>
    <w:rsid w:val="00C5458A"/>
    <w:rsid w:val="00C55661"/>
    <w:rsid w:val="00C61757"/>
    <w:rsid w:val="00C617F7"/>
    <w:rsid w:val="00C63943"/>
    <w:rsid w:val="00C642FE"/>
    <w:rsid w:val="00C6515B"/>
    <w:rsid w:val="00C65322"/>
    <w:rsid w:val="00C66210"/>
    <w:rsid w:val="00C66250"/>
    <w:rsid w:val="00C67C43"/>
    <w:rsid w:val="00C710C7"/>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505D6"/>
    <w:rsid w:val="00D50A1F"/>
    <w:rsid w:val="00D51402"/>
    <w:rsid w:val="00D51BAF"/>
    <w:rsid w:val="00D52357"/>
    <w:rsid w:val="00D52608"/>
    <w:rsid w:val="00D52CAF"/>
    <w:rsid w:val="00D5357C"/>
    <w:rsid w:val="00D540C5"/>
    <w:rsid w:val="00D549C8"/>
    <w:rsid w:val="00D55D57"/>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2749"/>
    <w:rsid w:val="00DB2C4A"/>
    <w:rsid w:val="00DB2F4A"/>
    <w:rsid w:val="00DB323D"/>
    <w:rsid w:val="00DB55DB"/>
    <w:rsid w:val="00DB5B91"/>
    <w:rsid w:val="00DB6144"/>
    <w:rsid w:val="00DB6288"/>
    <w:rsid w:val="00DB6709"/>
    <w:rsid w:val="00DC1C26"/>
    <w:rsid w:val="00DC2073"/>
    <w:rsid w:val="00DC417B"/>
    <w:rsid w:val="00DC61EB"/>
    <w:rsid w:val="00DC6788"/>
    <w:rsid w:val="00DD187E"/>
    <w:rsid w:val="00DD36EA"/>
    <w:rsid w:val="00DD3AE7"/>
    <w:rsid w:val="00DD3B32"/>
    <w:rsid w:val="00DD60EB"/>
    <w:rsid w:val="00DD6DE2"/>
    <w:rsid w:val="00DE0389"/>
    <w:rsid w:val="00DE16EF"/>
    <w:rsid w:val="00DE30E5"/>
    <w:rsid w:val="00DE327B"/>
    <w:rsid w:val="00DE371F"/>
    <w:rsid w:val="00DE6648"/>
    <w:rsid w:val="00DE70C7"/>
    <w:rsid w:val="00DE72AB"/>
    <w:rsid w:val="00DE72C5"/>
    <w:rsid w:val="00DF19DF"/>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3978"/>
    <w:rsid w:val="00E14F11"/>
    <w:rsid w:val="00E1536A"/>
    <w:rsid w:val="00E17CF3"/>
    <w:rsid w:val="00E21EC7"/>
    <w:rsid w:val="00E227B8"/>
    <w:rsid w:val="00E22D36"/>
    <w:rsid w:val="00E2490B"/>
    <w:rsid w:val="00E26776"/>
    <w:rsid w:val="00E27B4E"/>
    <w:rsid w:val="00E30887"/>
    <w:rsid w:val="00E31126"/>
    <w:rsid w:val="00E32280"/>
    <w:rsid w:val="00E3291D"/>
    <w:rsid w:val="00E33155"/>
    <w:rsid w:val="00E33422"/>
    <w:rsid w:val="00E3618F"/>
    <w:rsid w:val="00E37EC0"/>
    <w:rsid w:val="00E40FB2"/>
    <w:rsid w:val="00E44162"/>
    <w:rsid w:val="00E45F9C"/>
    <w:rsid w:val="00E46DCE"/>
    <w:rsid w:val="00E50892"/>
    <w:rsid w:val="00E5289E"/>
    <w:rsid w:val="00E54C68"/>
    <w:rsid w:val="00E555BF"/>
    <w:rsid w:val="00E56AA1"/>
    <w:rsid w:val="00E56DD2"/>
    <w:rsid w:val="00E61209"/>
    <w:rsid w:val="00E62BDD"/>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A0924"/>
    <w:rsid w:val="00EA1519"/>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56B8"/>
    <w:rsid w:val="00F17338"/>
    <w:rsid w:val="00F17B5C"/>
    <w:rsid w:val="00F21039"/>
    <w:rsid w:val="00F21885"/>
    <w:rsid w:val="00F2719B"/>
    <w:rsid w:val="00F27373"/>
    <w:rsid w:val="00F31BB4"/>
    <w:rsid w:val="00F330D4"/>
    <w:rsid w:val="00F35484"/>
    <w:rsid w:val="00F41E02"/>
    <w:rsid w:val="00F44271"/>
    <w:rsid w:val="00F4437C"/>
    <w:rsid w:val="00F45AEC"/>
    <w:rsid w:val="00F46434"/>
    <w:rsid w:val="00F51D57"/>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56E4"/>
    <w:rsid w:val="00F76429"/>
    <w:rsid w:val="00F80E13"/>
    <w:rsid w:val="00F8147B"/>
    <w:rsid w:val="00F81E91"/>
    <w:rsid w:val="00F81FCF"/>
    <w:rsid w:val="00F84EA5"/>
    <w:rsid w:val="00F85664"/>
    <w:rsid w:val="00F86E25"/>
    <w:rsid w:val="00F87C2B"/>
    <w:rsid w:val="00F87C4D"/>
    <w:rsid w:val="00F87E6E"/>
    <w:rsid w:val="00F932A7"/>
    <w:rsid w:val="00F938F9"/>
    <w:rsid w:val="00F93C2D"/>
    <w:rsid w:val="00F93C60"/>
    <w:rsid w:val="00F9417B"/>
    <w:rsid w:val="00FA1817"/>
    <w:rsid w:val="00FA2588"/>
    <w:rsid w:val="00FA4047"/>
    <w:rsid w:val="00FA5D90"/>
    <w:rsid w:val="00FA73AB"/>
    <w:rsid w:val="00FB1065"/>
    <w:rsid w:val="00FB1294"/>
    <w:rsid w:val="00FB406D"/>
    <w:rsid w:val="00FB5887"/>
    <w:rsid w:val="00FB73A8"/>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3581D1D"/>
    <w:rsid w:val="18047589"/>
    <w:rsid w:val="1F4F233E"/>
    <w:rsid w:val="28A6399D"/>
    <w:rsid w:val="34DB2740"/>
    <w:rsid w:val="370637B5"/>
    <w:rsid w:val="490C0662"/>
    <w:rsid w:val="520B2179"/>
    <w:rsid w:val="5963260A"/>
    <w:rsid w:val="63C442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3AE92-4334-431A-8947-C65ABF815BAE}">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4297</Words>
  <Characters>24499</Characters>
  <Lines>204</Lines>
  <Paragraphs>57</Paragraphs>
  <TotalTime>0</TotalTime>
  <ScaleCrop>false</ScaleCrop>
  <LinksUpToDate>false</LinksUpToDate>
  <CharactersWithSpaces>28739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陈晨</cp:lastModifiedBy>
  <cp:lastPrinted>2023-03-07T08:24:00Z</cp:lastPrinted>
  <dcterms:modified xsi:type="dcterms:W3CDTF">2023-03-07T09:12:08Z</dcterms:modified>
  <dc:title>产品说明书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