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33" w:lineRule="auto"/>
        <w:ind w:left="134"/>
        <w:rPr>
          <w:rFonts w:ascii="黑体" w:hAnsi="黑体" w:eastAsia="黑体" w:cs="黑体"/>
          <w:sz w:val="23"/>
          <w:szCs w:val="23"/>
        </w:rPr>
      </w:pPr>
      <w:bookmarkStart w:id="0" w:name="_GoBack"/>
      <w:bookmarkEnd w:id="0"/>
      <w:r>
        <w:rPr>
          <w:rFonts w:ascii="黑体" w:hAnsi="黑体" w:eastAsia="黑体" w:cs="黑体"/>
          <w:spacing w:val="8"/>
          <w:sz w:val="23"/>
          <w:szCs w:val="23"/>
          <w:u w:val="single" w:color="auto"/>
        </w:rPr>
        <w:t>附件：客户权益须知专</w:t>
      </w:r>
      <w:r>
        <w:rPr>
          <w:rFonts w:ascii="黑体" w:hAnsi="黑体" w:eastAsia="黑体" w:cs="黑体"/>
          <w:spacing w:val="7"/>
          <w:sz w:val="23"/>
          <w:szCs w:val="23"/>
          <w:u w:val="single" w:color="auto"/>
        </w:rPr>
        <w:t>页</w:t>
      </w:r>
    </w:p>
    <w:p>
      <w:pPr>
        <w:spacing w:line="381" w:lineRule="auto"/>
        <w:rPr>
          <w:rFonts w:ascii="Arial"/>
          <w:sz w:val="21"/>
        </w:rPr>
      </w:pPr>
    </w:p>
    <w:p>
      <w:pPr>
        <w:spacing w:before="75" w:line="229" w:lineRule="auto"/>
        <w:ind w:left="3853"/>
        <w:rPr>
          <w:rFonts w:ascii="黑体" w:hAnsi="黑体" w:eastAsia="黑体" w:cs="黑体"/>
          <w:sz w:val="23"/>
          <w:szCs w:val="23"/>
        </w:rPr>
      </w:pPr>
      <w:r>
        <w:rPr>
          <w:rFonts w:ascii="黑体" w:hAnsi="黑体" w:eastAsia="黑体" w:cs="黑体"/>
          <w:color w:val="2F2F2F"/>
          <w:spacing w:val="10"/>
          <w:sz w:val="23"/>
          <w:szCs w:val="23"/>
          <w14:textOutline w14:w="4358" w14:cap="sq" w14:cmpd="sng">
            <w14:solidFill>
              <w14:srgbClr w14:val="2F2F2F"/>
            </w14:solidFill>
            <w14:prstDash w14:val="solid"/>
            <w14:bevel/>
          </w14:textOutline>
        </w:rPr>
        <w:t>信银理财客户权益须知</w:t>
      </w:r>
    </w:p>
    <w:p>
      <w:pPr>
        <w:spacing w:before="103" w:line="231" w:lineRule="auto"/>
        <w:ind w:left="604"/>
        <w:rPr>
          <w:rFonts w:ascii="楷体" w:hAnsi="楷体" w:eastAsia="楷体" w:cs="楷体"/>
          <w:sz w:val="23"/>
          <w:szCs w:val="23"/>
        </w:rPr>
      </w:pPr>
      <w:r>
        <w:rPr>
          <w:rFonts w:ascii="楷体" w:hAnsi="楷体" w:eastAsia="楷体" w:cs="楷体"/>
          <w:color w:val="2F2F2F"/>
          <w:spacing w:val="11"/>
          <w:sz w:val="23"/>
          <w:szCs w:val="23"/>
        </w:rPr>
        <w:t>尊</w:t>
      </w:r>
      <w:r>
        <w:rPr>
          <w:rFonts w:ascii="楷体" w:hAnsi="楷体" w:eastAsia="楷体" w:cs="楷体"/>
          <w:color w:val="2F2F2F"/>
          <w:spacing w:val="7"/>
          <w:sz w:val="23"/>
          <w:szCs w:val="23"/>
        </w:rPr>
        <w:t>敬的客户，您好：</w:t>
      </w:r>
    </w:p>
    <w:p>
      <w:pPr>
        <w:spacing w:before="25" w:line="250" w:lineRule="auto"/>
        <w:ind w:left="127" w:right="504" w:firstLine="482"/>
        <w:rPr>
          <w:rFonts w:ascii="楷体" w:hAnsi="楷体" w:eastAsia="楷体" w:cs="楷体"/>
          <w:sz w:val="23"/>
          <w:szCs w:val="23"/>
        </w:rPr>
      </w:pPr>
      <w:r>
        <w:rPr>
          <w:rFonts w:ascii="楷体" w:hAnsi="楷体" w:eastAsia="楷体" w:cs="楷体"/>
          <w:color w:val="2F2F2F"/>
          <w:spacing w:val="12"/>
          <w:sz w:val="23"/>
          <w:szCs w:val="23"/>
        </w:rPr>
        <w:t>为便</w:t>
      </w:r>
      <w:r>
        <w:rPr>
          <w:rFonts w:ascii="楷体" w:hAnsi="楷体" w:eastAsia="楷体" w:cs="楷体"/>
          <w:color w:val="2F2F2F"/>
          <w:spacing w:val="10"/>
          <w:sz w:val="23"/>
          <w:szCs w:val="23"/>
        </w:rPr>
        <w:t>于</w:t>
      </w:r>
      <w:r>
        <w:rPr>
          <w:rFonts w:ascii="楷体" w:hAnsi="楷体" w:eastAsia="楷体" w:cs="楷体"/>
          <w:color w:val="2F2F2F"/>
          <w:spacing w:val="6"/>
          <w:sz w:val="23"/>
          <w:szCs w:val="23"/>
        </w:rPr>
        <w:t>您顺利在我司办理理财业务，请仔细阅读以下客户权益内容， 以选择适合的产品并</w:t>
      </w:r>
      <w:r>
        <w:rPr>
          <w:rFonts w:ascii="楷体" w:hAnsi="楷体" w:eastAsia="楷体" w:cs="楷体"/>
          <w:color w:val="2F2F2F"/>
          <w:sz w:val="23"/>
          <w:szCs w:val="23"/>
        </w:rPr>
        <w:t xml:space="preserve"> </w:t>
      </w:r>
      <w:r>
        <w:rPr>
          <w:rFonts w:ascii="楷体" w:hAnsi="楷体" w:eastAsia="楷体" w:cs="楷体"/>
          <w:color w:val="2F2F2F"/>
          <w:spacing w:val="8"/>
          <w:sz w:val="23"/>
          <w:szCs w:val="23"/>
        </w:rPr>
        <w:t>维</w:t>
      </w:r>
      <w:r>
        <w:rPr>
          <w:rFonts w:ascii="楷体" w:hAnsi="楷体" w:eastAsia="楷体" w:cs="楷体"/>
          <w:color w:val="2F2F2F"/>
          <w:spacing w:val="6"/>
          <w:sz w:val="23"/>
          <w:szCs w:val="23"/>
        </w:rPr>
        <w:t>护自身权益。</w:t>
      </w:r>
    </w:p>
    <w:p>
      <w:pPr>
        <w:spacing w:line="312" w:lineRule="exact"/>
        <w:ind w:left="605"/>
        <w:rPr>
          <w:rFonts w:ascii="黑体" w:hAnsi="黑体" w:eastAsia="黑体" w:cs="黑体"/>
          <w:sz w:val="23"/>
          <w:szCs w:val="23"/>
        </w:rPr>
      </w:pPr>
      <w:r>
        <w:rPr>
          <w:rFonts w:ascii="黑体" w:hAnsi="黑体" w:eastAsia="黑体" w:cs="黑体"/>
          <w:color w:val="2F2F2F"/>
          <w:spacing w:val="16"/>
          <w:position w:val="1"/>
          <w:sz w:val="23"/>
          <w:szCs w:val="23"/>
        </w:rPr>
        <w:t>一</w:t>
      </w:r>
      <w:r>
        <w:rPr>
          <w:rFonts w:ascii="黑体" w:hAnsi="黑体" w:eastAsia="黑体" w:cs="黑体"/>
          <w:color w:val="2F2F2F"/>
          <w:spacing w:val="8"/>
          <w:position w:val="1"/>
          <w:sz w:val="23"/>
          <w:szCs w:val="23"/>
        </w:rPr>
        <w:t>、办理理财产品的流程</w:t>
      </w:r>
    </w:p>
    <w:p>
      <w:pPr>
        <w:spacing w:line="237" w:lineRule="auto"/>
        <w:ind w:left="613"/>
        <w:rPr>
          <w:rFonts w:ascii="楷体" w:hAnsi="楷体" w:eastAsia="楷体" w:cs="楷体"/>
          <w:sz w:val="23"/>
          <w:szCs w:val="23"/>
        </w:rPr>
      </w:pPr>
      <w:r>
        <w:rPr>
          <w:rFonts w:ascii="楷体" w:hAnsi="楷体" w:eastAsia="楷体" w:cs="楷体"/>
          <w:color w:val="2F2F2F"/>
          <w:spacing w:val="9"/>
          <w:sz w:val="23"/>
          <w:szCs w:val="23"/>
        </w:rPr>
        <w:t>1. 您可以通过信银理财营业场所、电子直销渠道等购买理财产品，其基本流程如下</w:t>
      </w:r>
      <w:r>
        <w:rPr>
          <w:rFonts w:ascii="楷体" w:hAnsi="楷体" w:eastAsia="楷体" w:cs="楷体"/>
          <w:color w:val="2F2F2F"/>
          <w:spacing w:val="1"/>
          <w:sz w:val="23"/>
          <w:szCs w:val="23"/>
        </w:rPr>
        <w:t>：</w:t>
      </w:r>
    </w:p>
    <w:p>
      <w:pPr>
        <w:spacing w:before="39" w:line="816" w:lineRule="exact"/>
        <w:ind w:firstLine="591"/>
        <w:textAlignment w:val="center"/>
      </w:pPr>
      <w:r>
        <w:drawing>
          <wp:inline distT="0" distB="0" distL="0" distR="0">
            <wp:extent cx="6263640" cy="51752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8"/>
                    <a:stretch>
                      <a:fillRect/>
                    </a:stretch>
                  </pic:blipFill>
                  <pic:spPr>
                    <a:xfrm>
                      <a:off x="0" y="0"/>
                      <a:ext cx="6263640" cy="518159"/>
                    </a:xfrm>
                    <a:prstGeom prst="rect">
                      <a:avLst/>
                    </a:prstGeom>
                  </pic:spPr>
                </pic:pic>
              </a:graphicData>
            </a:graphic>
          </wp:inline>
        </w:drawing>
      </w:r>
    </w:p>
    <w:p>
      <w:pPr>
        <w:spacing w:before="97" w:line="241" w:lineRule="auto"/>
        <w:ind w:left="597"/>
        <w:rPr>
          <w:rFonts w:ascii="楷体" w:hAnsi="楷体" w:eastAsia="楷体" w:cs="楷体"/>
          <w:sz w:val="23"/>
          <w:szCs w:val="23"/>
        </w:rPr>
      </w:pPr>
      <w:r>
        <w:rPr>
          <w:rFonts w:ascii="楷体" w:hAnsi="楷体" w:eastAsia="楷体" w:cs="楷体"/>
          <w:color w:val="2F2F2F"/>
          <w:spacing w:val="9"/>
          <w:sz w:val="23"/>
          <w:szCs w:val="23"/>
        </w:rPr>
        <w:t>说明：详细操作流程请通过客户服务热线【950950】或营业场所咨询信银理财</w:t>
      </w:r>
      <w:r>
        <w:rPr>
          <w:rFonts w:ascii="楷体" w:hAnsi="楷体" w:eastAsia="楷体" w:cs="楷体"/>
          <w:color w:val="2F2F2F"/>
          <w:spacing w:val="1"/>
          <w:sz w:val="23"/>
          <w:szCs w:val="23"/>
        </w:rPr>
        <w:t>。</w:t>
      </w:r>
    </w:p>
    <w:p>
      <w:pPr>
        <w:spacing w:before="13" w:line="250" w:lineRule="auto"/>
        <w:ind w:left="116" w:right="588" w:firstLine="491"/>
        <w:rPr>
          <w:rFonts w:ascii="楷体" w:hAnsi="楷体" w:eastAsia="楷体" w:cs="楷体"/>
          <w:sz w:val="23"/>
          <w:szCs w:val="23"/>
        </w:rPr>
      </w:pPr>
      <w:r>
        <w:rPr>
          <w:rFonts w:ascii="楷体" w:hAnsi="楷体" w:eastAsia="楷体" w:cs="楷体"/>
          <w:color w:val="2F2F2F"/>
          <w:spacing w:val="20"/>
          <w:sz w:val="23"/>
          <w:szCs w:val="23"/>
          <w14:textOutline w14:w="4358" w14:cap="sq" w14:cmpd="sng">
            <w14:solidFill>
              <w14:srgbClr w14:val="2F2F2F"/>
            </w14:solidFill>
            <w14:prstDash w14:val="solid"/>
            <w14:bevel/>
          </w14:textOutline>
        </w:rPr>
        <w:t>特</w:t>
      </w:r>
      <w:r>
        <w:rPr>
          <w:rFonts w:ascii="楷体" w:hAnsi="楷体" w:eastAsia="楷体" w:cs="楷体"/>
          <w:color w:val="2F2F2F"/>
          <w:spacing w:val="14"/>
          <w:sz w:val="23"/>
          <w:szCs w:val="23"/>
          <w14:textOutline w14:w="4358" w14:cap="sq" w14:cmpd="sng">
            <w14:solidFill>
              <w14:srgbClr w14:val="2F2F2F"/>
            </w14:solidFill>
            <w14:prstDash w14:val="solid"/>
            <w14:bevel/>
          </w14:textOutline>
        </w:rPr>
        <w:t>别</w:t>
      </w:r>
      <w:r>
        <w:rPr>
          <w:rFonts w:ascii="楷体" w:hAnsi="楷体" w:eastAsia="楷体" w:cs="楷体"/>
          <w:color w:val="2F2F2F"/>
          <w:spacing w:val="10"/>
          <w:sz w:val="23"/>
          <w:szCs w:val="23"/>
          <w14:textOutline w14:w="4358" w14:cap="sq" w14:cmpd="sng">
            <w14:solidFill>
              <w14:srgbClr w14:val="2F2F2F"/>
            </w14:solidFill>
            <w14:prstDash w14:val="solid"/>
            <w14:bevel/>
          </w14:textOutline>
        </w:rPr>
        <w:t>提示：为防止您的权益受到侵害，在购买理财过程中请您务必保管好自己的银行卡/</w:t>
      </w:r>
      <w:r>
        <w:rPr>
          <w:rFonts w:ascii="楷体" w:hAnsi="楷体" w:eastAsia="楷体" w:cs="楷体"/>
          <w:color w:val="2F2F2F"/>
          <w:sz w:val="23"/>
          <w:szCs w:val="23"/>
        </w:rPr>
        <w:t xml:space="preserve"> </w:t>
      </w:r>
      <w:r>
        <w:rPr>
          <w:rFonts w:ascii="楷体" w:hAnsi="楷体" w:eastAsia="楷体" w:cs="楷体"/>
          <w:color w:val="2F2F2F"/>
          <w:spacing w:val="8"/>
          <w:sz w:val="23"/>
          <w:szCs w:val="23"/>
          <w14:textOutline w14:w="4358" w14:cap="sq" w14:cmpd="sng">
            <w14:solidFill>
              <w14:srgbClr w14:val="2F2F2F"/>
            </w14:solidFill>
            <w14:prstDash w14:val="solid"/>
            <w14:bevel/>
          </w14:textOutline>
        </w:rPr>
        <w:t>账户密</w:t>
      </w:r>
      <w:r>
        <w:rPr>
          <w:rFonts w:ascii="楷体" w:hAnsi="楷体" w:eastAsia="楷体" w:cs="楷体"/>
          <w:color w:val="2F2F2F"/>
          <w:spacing w:val="6"/>
          <w:sz w:val="23"/>
          <w:szCs w:val="23"/>
          <w14:textOutline w14:w="4358" w14:cap="sq" w14:cmpd="sng">
            <w14:solidFill>
              <w14:srgbClr w14:val="2F2F2F"/>
            </w14:solidFill>
            <w14:prstDash w14:val="solid"/>
            <w14:bevel/>
          </w14:textOutline>
        </w:rPr>
        <w:t>码</w:t>
      </w:r>
      <w:r>
        <w:rPr>
          <w:rFonts w:ascii="楷体" w:hAnsi="楷体" w:eastAsia="楷体" w:cs="楷体"/>
          <w:color w:val="2F2F2F"/>
          <w:spacing w:val="4"/>
          <w:sz w:val="23"/>
          <w:szCs w:val="23"/>
          <w14:textOutline w14:w="4358" w14:cap="sq" w14:cmpd="sng">
            <w14:solidFill>
              <w14:srgbClr w14:val="2F2F2F"/>
            </w14:solidFill>
            <w14:prstDash w14:val="solid"/>
            <w14:bevel/>
          </w14:textOutline>
        </w:rPr>
        <w:t>、</w:t>
      </w:r>
      <w:r>
        <w:rPr>
          <w:rFonts w:ascii="楷体" w:hAnsi="楷体" w:eastAsia="楷体" w:cs="楷体"/>
          <w:color w:val="2F2F2F"/>
          <w:spacing w:val="4"/>
          <w:sz w:val="23"/>
          <w:szCs w:val="23"/>
        </w:rPr>
        <w:t xml:space="preserve"> </w:t>
      </w:r>
      <w:r>
        <w:rPr>
          <w:rFonts w:ascii="楷体" w:hAnsi="楷体" w:eastAsia="楷体" w:cs="楷体"/>
          <w:color w:val="2F2F2F"/>
          <w:spacing w:val="4"/>
          <w:sz w:val="23"/>
          <w:szCs w:val="23"/>
          <w14:textOutline w14:w="4358" w14:cap="sq" w14:cmpd="sng">
            <w14:solidFill>
              <w14:srgbClr w14:val="2F2F2F"/>
            </w14:solidFill>
            <w14:prstDash w14:val="solid"/>
            <w14:bevel/>
          </w14:textOutline>
        </w:rPr>
        <w:t>网银</w:t>
      </w:r>
      <w:r>
        <w:rPr>
          <w:rFonts w:ascii="楷体" w:hAnsi="楷体" w:eastAsia="楷体" w:cs="楷体"/>
          <w:color w:val="2F2F2F"/>
          <w:spacing w:val="4"/>
          <w:sz w:val="23"/>
          <w:szCs w:val="23"/>
        </w:rPr>
        <w:t xml:space="preserve"> </w:t>
      </w:r>
      <w:r>
        <w:rPr>
          <w:rFonts w:ascii="楷体" w:hAnsi="楷体" w:eastAsia="楷体" w:cs="楷体"/>
          <w:color w:val="2F2F2F"/>
          <w:sz w:val="23"/>
          <w:szCs w:val="23"/>
          <w14:textOutline w14:w="4358" w14:cap="sq" w14:cmpd="sng">
            <w14:solidFill>
              <w14:srgbClr w14:val="2F2F2F"/>
            </w14:solidFill>
            <w14:prstDash w14:val="solid"/>
            <w14:bevel/>
          </w14:textOutline>
        </w:rPr>
        <w:t>U</w:t>
      </w:r>
      <w:r>
        <w:rPr>
          <w:rFonts w:ascii="楷体" w:hAnsi="楷体" w:eastAsia="楷体" w:cs="楷体"/>
          <w:color w:val="2F2F2F"/>
          <w:spacing w:val="4"/>
          <w:sz w:val="23"/>
          <w:szCs w:val="23"/>
        </w:rPr>
        <w:t xml:space="preserve"> </w:t>
      </w:r>
      <w:r>
        <w:rPr>
          <w:rFonts w:ascii="楷体" w:hAnsi="楷体" w:eastAsia="楷体" w:cs="楷体"/>
          <w:color w:val="2F2F2F"/>
          <w:spacing w:val="4"/>
          <w:sz w:val="23"/>
          <w:szCs w:val="23"/>
          <w14:textOutline w14:w="4358" w14:cap="sq" w14:cmpd="sng">
            <w14:solidFill>
              <w14:srgbClr w14:val="2F2F2F"/>
            </w14:solidFill>
            <w14:prstDash w14:val="solid"/>
            <w14:bevel/>
          </w14:textOutline>
        </w:rPr>
        <w:t>盾等，切勿泄露或交给理财经理等任何其他人保管等，否则责任自负。</w:t>
      </w:r>
    </w:p>
    <w:p>
      <w:pPr>
        <w:spacing w:before="1" w:line="250" w:lineRule="auto"/>
        <w:ind w:left="135" w:right="624" w:firstLine="463"/>
        <w:rPr>
          <w:rFonts w:ascii="楷体" w:hAnsi="楷体" w:eastAsia="楷体" w:cs="楷体"/>
          <w:sz w:val="23"/>
          <w:szCs w:val="23"/>
        </w:rPr>
      </w:pPr>
      <w:r>
        <w:rPr>
          <w:rFonts w:ascii="楷体" w:hAnsi="楷体" w:eastAsia="楷体" w:cs="楷体"/>
          <w:color w:val="2F2F2F"/>
          <w:spacing w:val="18"/>
          <w:sz w:val="23"/>
          <w:szCs w:val="23"/>
        </w:rPr>
        <w:t>2</w:t>
      </w:r>
      <w:r>
        <w:rPr>
          <w:rFonts w:ascii="楷体" w:hAnsi="楷体" w:eastAsia="楷体" w:cs="楷体"/>
          <w:color w:val="2F2F2F"/>
          <w:spacing w:val="17"/>
          <w:sz w:val="23"/>
          <w:szCs w:val="23"/>
        </w:rPr>
        <w:t>.</w:t>
      </w:r>
      <w:r>
        <w:rPr>
          <w:rFonts w:ascii="楷体" w:hAnsi="楷体" w:eastAsia="楷体" w:cs="楷体"/>
          <w:color w:val="2F2F2F"/>
          <w:spacing w:val="9"/>
          <w:sz w:val="23"/>
          <w:szCs w:val="23"/>
        </w:rPr>
        <w:t>通过受信银理财委托进行产品销售的机构办理,以受信银理财委托进行产品销售的机构</w:t>
      </w:r>
      <w:r>
        <w:rPr>
          <w:rFonts w:ascii="楷体" w:hAnsi="楷体" w:eastAsia="楷体" w:cs="楷体"/>
          <w:color w:val="2F2F2F"/>
          <w:sz w:val="23"/>
          <w:szCs w:val="23"/>
        </w:rPr>
        <w:t xml:space="preserve"> </w:t>
      </w:r>
      <w:r>
        <w:rPr>
          <w:rFonts w:ascii="楷体" w:hAnsi="楷体" w:eastAsia="楷体" w:cs="楷体"/>
          <w:color w:val="2F2F2F"/>
          <w:spacing w:val="6"/>
          <w:sz w:val="23"/>
          <w:szCs w:val="23"/>
        </w:rPr>
        <w:t>的办理流程为准</w:t>
      </w:r>
      <w:r>
        <w:rPr>
          <w:rFonts w:ascii="楷体" w:hAnsi="楷体" w:eastAsia="楷体" w:cs="楷体"/>
          <w:color w:val="2F2F2F"/>
          <w:spacing w:val="4"/>
          <w:sz w:val="23"/>
          <w:szCs w:val="23"/>
        </w:rPr>
        <w:t>。</w:t>
      </w:r>
    </w:p>
    <w:p>
      <w:pPr>
        <w:spacing w:line="312" w:lineRule="exact"/>
        <w:ind w:left="605"/>
        <w:rPr>
          <w:rFonts w:ascii="黑体" w:hAnsi="黑体" w:eastAsia="黑体" w:cs="黑体"/>
          <w:sz w:val="23"/>
          <w:szCs w:val="23"/>
        </w:rPr>
      </w:pPr>
      <w:r>
        <w:rPr>
          <w:rFonts w:ascii="黑体" w:hAnsi="黑体" w:eastAsia="黑体" w:cs="黑体"/>
          <w:color w:val="2F2F2F"/>
          <w:spacing w:val="12"/>
          <w:position w:val="2"/>
          <w:sz w:val="23"/>
          <w:szCs w:val="23"/>
        </w:rPr>
        <w:t>二</w:t>
      </w:r>
      <w:r>
        <w:rPr>
          <w:rFonts w:ascii="黑体" w:hAnsi="黑体" w:eastAsia="黑体" w:cs="黑体"/>
          <w:color w:val="2F2F2F"/>
          <w:spacing w:val="9"/>
          <w:position w:val="2"/>
          <w:sz w:val="23"/>
          <w:szCs w:val="23"/>
        </w:rPr>
        <w:t>、客户风险测评及产品风险评级介绍</w:t>
      </w:r>
    </w:p>
    <w:p>
      <w:pPr>
        <w:spacing w:before="1" w:line="250" w:lineRule="auto"/>
        <w:ind w:left="117" w:right="480" w:firstLine="496"/>
        <w:rPr>
          <w:rFonts w:ascii="楷体" w:hAnsi="楷体" w:eastAsia="楷体" w:cs="楷体"/>
          <w:sz w:val="23"/>
          <w:szCs w:val="23"/>
        </w:rPr>
      </w:pPr>
      <w:r>
        <w:rPr>
          <w:rFonts w:ascii="楷体" w:hAnsi="楷体" w:eastAsia="楷体" w:cs="楷体"/>
          <w:color w:val="2F2F2F"/>
          <w:spacing w:val="12"/>
          <w:sz w:val="23"/>
          <w:szCs w:val="23"/>
        </w:rPr>
        <w:t>1. 在信</w:t>
      </w:r>
      <w:r>
        <w:rPr>
          <w:rFonts w:ascii="楷体" w:hAnsi="楷体" w:eastAsia="楷体" w:cs="楷体"/>
          <w:color w:val="2F2F2F"/>
          <w:spacing w:val="7"/>
          <w:sz w:val="23"/>
          <w:szCs w:val="23"/>
        </w:rPr>
        <w:t>银</w:t>
      </w:r>
      <w:r>
        <w:rPr>
          <w:rFonts w:ascii="楷体" w:hAnsi="楷体" w:eastAsia="楷体" w:cs="楷体"/>
          <w:color w:val="2F2F2F"/>
          <w:spacing w:val="6"/>
          <w:sz w:val="23"/>
          <w:szCs w:val="23"/>
        </w:rPr>
        <w:t>理财营业场所、电子直销渠道购买产品的客户风险测评使用《信银理财直销客户</w:t>
      </w:r>
      <w:r>
        <w:rPr>
          <w:rFonts w:ascii="楷体" w:hAnsi="楷体" w:eastAsia="楷体" w:cs="楷体"/>
          <w:color w:val="2F2F2F"/>
          <w:sz w:val="23"/>
          <w:szCs w:val="23"/>
        </w:rPr>
        <w:t xml:space="preserve"> </w:t>
      </w:r>
      <w:r>
        <w:rPr>
          <w:rFonts w:ascii="楷体" w:hAnsi="楷体" w:eastAsia="楷体" w:cs="楷体"/>
          <w:color w:val="2F2F2F"/>
          <w:spacing w:val="16"/>
          <w:sz w:val="23"/>
          <w:szCs w:val="23"/>
        </w:rPr>
        <w:t>风</w:t>
      </w:r>
      <w:r>
        <w:rPr>
          <w:rFonts w:ascii="楷体" w:hAnsi="楷体" w:eastAsia="楷体" w:cs="楷体"/>
          <w:color w:val="2F2F2F"/>
          <w:spacing w:val="9"/>
          <w:sz w:val="23"/>
          <w:szCs w:val="23"/>
        </w:rPr>
        <w:t>险评估问卷》，通过回答问题得出风险测评结果。</w:t>
      </w:r>
    </w:p>
    <w:p>
      <w:pPr>
        <w:spacing w:before="4" w:line="258" w:lineRule="auto"/>
        <w:ind w:left="124" w:right="480" w:firstLine="472"/>
        <w:rPr>
          <w:rFonts w:ascii="楷体" w:hAnsi="楷体" w:eastAsia="楷体" w:cs="楷体"/>
          <w:sz w:val="23"/>
          <w:szCs w:val="23"/>
        </w:rPr>
      </w:pPr>
      <w:r>
        <w:rPr>
          <w:rFonts w:ascii="楷体" w:hAnsi="楷体" w:eastAsia="楷体" w:cs="楷体"/>
          <w:color w:val="2F2F2F"/>
          <w:spacing w:val="6"/>
          <w:sz w:val="23"/>
          <w:szCs w:val="23"/>
        </w:rPr>
        <w:t>客户首次认购理财</w:t>
      </w:r>
      <w:r>
        <w:rPr>
          <w:rFonts w:ascii="楷体" w:hAnsi="楷体" w:eastAsia="楷体" w:cs="楷体"/>
          <w:color w:val="2F2F2F"/>
          <w:spacing w:val="5"/>
          <w:sz w:val="23"/>
          <w:szCs w:val="23"/>
        </w:rPr>
        <w:t>产</w:t>
      </w:r>
      <w:r>
        <w:rPr>
          <w:rFonts w:ascii="楷体" w:hAnsi="楷体" w:eastAsia="楷体" w:cs="楷体"/>
          <w:color w:val="2F2F2F"/>
          <w:spacing w:val="3"/>
          <w:sz w:val="23"/>
          <w:szCs w:val="23"/>
        </w:rPr>
        <w:t>品必须先进行风险测评，风险测评结果有效期为 1 年。如超过 1 年未</w:t>
      </w:r>
      <w:r>
        <w:rPr>
          <w:rFonts w:ascii="楷体" w:hAnsi="楷体" w:eastAsia="楷体" w:cs="楷体"/>
          <w:color w:val="2F2F2F"/>
          <w:sz w:val="23"/>
          <w:szCs w:val="23"/>
        </w:rPr>
        <w:t xml:space="preserve"> </w:t>
      </w:r>
      <w:r>
        <w:rPr>
          <w:rFonts w:ascii="楷体" w:hAnsi="楷体" w:eastAsia="楷体" w:cs="楷体"/>
          <w:color w:val="2F2F2F"/>
          <w:spacing w:val="14"/>
          <w:sz w:val="23"/>
          <w:szCs w:val="23"/>
        </w:rPr>
        <w:t>再</w:t>
      </w:r>
      <w:r>
        <w:rPr>
          <w:rFonts w:ascii="楷体" w:hAnsi="楷体" w:eastAsia="楷体" w:cs="楷体"/>
          <w:color w:val="2F2F2F"/>
          <w:spacing w:val="12"/>
          <w:sz w:val="23"/>
          <w:szCs w:val="23"/>
        </w:rPr>
        <w:t>次</w:t>
      </w:r>
      <w:r>
        <w:rPr>
          <w:rFonts w:ascii="楷体" w:hAnsi="楷体" w:eastAsia="楷体" w:cs="楷体"/>
          <w:color w:val="2F2F2F"/>
          <w:spacing w:val="7"/>
          <w:sz w:val="23"/>
          <w:szCs w:val="23"/>
        </w:rPr>
        <w:t>进行风险测评或判断自身风险承受能力发生变化，应在我公司电子直销渠道 或营业场所重</w:t>
      </w:r>
      <w:r>
        <w:rPr>
          <w:rFonts w:ascii="楷体" w:hAnsi="楷体" w:eastAsia="楷体" w:cs="楷体"/>
          <w:color w:val="2F2F2F"/>
          <w:sz w:val="23"/>
          <w:szCs w:val="23"/>
        </w:rPr>
        <w:t xml:space="preserve"> </w:t>
      </w:r>
      <w:r>
        <w:rPr>
          <w:rFonts w:ascii="楷体" w:hAnsi="楷体" w:eastAsia="楷体" w:cs="楷体"/>
          <w:color w:val="2F2F2F"/>
          <w:spacing w:val="8"/>
          <w:sz w:val="23"/>
          <w:szCs w:val="23"/>
        </w:rPr>
        <w:t>新</w:t>
      </w:r>
      <w:r>
        <w:rPr>
          <w:rFonts w:ascii="楷体" w:hAnsi="楷体" w:eastAsia="楷体" w:cs="楷体"/>
          <w:color w:val="2F2F2F"/>
          <w:spacing w:val="7"/>
          <w:sz w:val="23"/>
          <w:szCs w:val="23"/>
        </w:rPr>
        <w:t>进行风险测评。</w:t>
      </w:r>
    </w:p>
    <w:p>
      <w:pPr>
        <w:spacing w:before="48" w:line="231" w:lineRule="auto"/>
        <w:ind w:left="599"/>
        <w:rPr>
          <w:rFonts w:ascii="楷体" w:hAnsi="楷体" w:eastAsia="楷体" w:cs="楷体"/>
          <w:sz w:val="23"/>
          <w:szCs w:val="23"/>
        </w:rPr>
      </w:pPr>
      <w:r>
        <w:rPr>
          <w:rFonts w:ascii="楷体" w:hAnsi="楷体" w:eastAsia="楷体" w:cs="楷体"/>
          <w:spacing w:val="18"/>
          <w:sz w:val="23"/>
          <w:szCs w:val="23"/>
        </w:rPr>
        <w:t>信银</w:t>
      </w:r>
      <w:r>
        <w:rPr>
          <w:rFonts w:ascii="楷体" w:hAnsi="楷体" w:eastAsia="楷体" w:cs="楷体"/>
          <w:spacing w:val="10"/>
          <w:sz w:val="23"/>
          <w:szCs w:val="23"/>
        </w:rPr>
        <w:t>理</w:t>
      </w:r>
      <w:r>
        <w:rPr>
          <w:rFonts w:ascii="楷体" w:hAnsi="楷体" w:eastAsia="楷体" w:cs="楷体"/>
          <w:spacing w:val="9"/>
          <w:sz w:val="23"/>
          <w:szCs w:val="23"/>
        </w:rPr>
        <w:t>财理财产品风险评级具体含义及与投资者类型对应关系</w:t>
      </w:r>
    </w:p>
    <w:p>
      <w:pPr>
        <w:spacing w:line="64" w:lineRule="exact"/>
      </w:pPr>
    </w:p>
    <w:tbl>
      <w:tblPr>
        <w:tblStyle w:val="4"/>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3576"/>
        <w:gridCol w:w="43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59" w:type="dxa"/>
            <w:vAlign w:val="top"/>
          </w:tcPr>
          <w:p>
            <w:pPr>
              <w:spacing w:before="41" w:line="231" w:lineRule="auto"/>
              <w:ind w:left="222"/>
              <w:outlineLvl w:val="0"/>
              <w:rPr>
                <w:rFonts w:ascii="楷体" w:hAnsi="楷体" w:eastAsia="楷体" w:cs="楷体"/>
                <w:sz w:val="23"/>
                <w:szCs w:val="23"/>
              </w:rPr>
            </w:pPr>
            <w:r>
              <w:rPr>
                <w:rFonts w:ascii="楷体" w:hAnsi="楷体" w:eastAsia="楷体" w:cs="楷体"/>
                <w:spacing w:val="9"/>
                <w:sz w:val="23"/>
                <w:szCs w:val="23"/>
                <w14:textOutline w14:w="4358" w14:cap="sq" w14:cmpd="sng">
                  <w14:solidFill>
                    <w14:srgbClr w14:val="000000"/>
                  </w14:solidFill>
                  <w14:prstDash w14:val="solid"/>
                  <w14:bevel/>
                </w14:textOutline>
              </w:rPr>
              <w:t>产品</w:t>
            </w:r>
            <w:r>
              <w:rPr>
                <w:rFonts w:ascii="楷体" w:hAnsi="楷体" w:eastAsia="楷体" w:cs="楷体"/>
                <w:spacing w:val="8"/>
                <w:sz w:val="23"/>
                <w:szCs w:val="23"/>
                <w14:textOutline w14:w="4358" w14:cap="sq" w14:cmpd="sng">
                  <w14:solidFill>
                    <w14:srgbClr w14:val="000000"/>
                  </w14:solidFill>
                  <w14:prstDash w14:val="solid"/>
                  <w14:bevel/>
                </w14:textOutline>
              </w:rPr>
              <w:t>风</w:t>
            </w:r>
          </w:p>
          <w:p>
            <w:pPr>
              <w:spacing w:before="23" w:line="225" w:lineRule="auto"/>
              <w:ind w:left="243"/>
              <w:rPr>
                <w:rFonts w:ascii="楷体" w:hAnsi="楷体" w:eastAsia="楷体" w:cs="楷体"/>
                <w:sz w:val="23"/>
                <w:szCs w:val="23"/>
              </w:rPr>
            </w:pPr>
            <w:r>
              <w:rPr>
                <w:rFonts w:ascii="楷体" w:hAnsi="楷体" w:eastAsia="楷体" w:cs="楷体"/>
                <w:spacing w:val="2"/>
                <w:sz w:val="23"/>
                <w:szCs w:val="23"/>
                <w14:textOutline w14:w="4358" w14:cap="sq" w14:cmpd="sng">
                  <w14:solidFill>
                    <w14:srgbClr w14:val="000000"/>
                  </w14:solidFill>
                  <w14:prstDash w14:val="solid"/>
                  <w14:bevel/>
                </w14:textOutline>
              </w:rPr>
              <w:t>险评级</w:t>
            </w:r>
          </w:p>
        </w:tc>
        <w:tc>
          <w:tcPr>
            <w:tcW w:w="3576" w:type="dxa"/>
            <w:vAlign w:val="top"/>
          </w:tcPr>
          <w:p>
            <w:pPr>
              <w:spacing w:before="196" w:line="238" w:lineRule="auto"/>
              <w:ind w:left="1310"/>
              <w:outlineLvl w:val="0"/>
              <w:rPr>
                <w:rFonts w:ascii="楷体" w:hAnsi="楷体" w:eastAsia="楷体" w:cs="楷体"/>
                <w:sz w:val="23"/>
                <w:szCs w:val="23"/>
              </w:rPr>
            </w:pPr>
            <w:r>
              <w:rPr>
                <w:rFonts w:ascii="楷体" w:hAnsi="楷体" w:eastAsia="楷体" w:cs="楷体"/>
                <w:spacing w:val="9"/>
                <w:sz w:val="23"/>
                <w:szCs w:val="23"/>
                <w14:textOutline w14:w="4358" w14:cap="sq" w14:cmpd="sng">
                  <w14:solidFill>
                    <w14:srgbClr w14:val="000000"/>
                  </w14:solidFill>
                  <w14:prstDash w14:val="solid"/>
                  <w14:bevel/>
                </w14:textOutline>
              </w:rPr>
              <w:t>风险程度</w:t>
            </w:r>
          </w:p>
        </w:tc>
        <w:tc>
          <w:tcPr>
            <w:tcW w:w="4336" w:type="dxa"/>
            <w:vAlign w:val="top"/>
          </w:tcPr>
          <w:p>
            <w:pPr>
              <w:spacing w:before="197" w:line="234" w:lineRule="auto"/>
              <w:ind w:left="1336"/>
              <w:outlineLvl w:val="0"/>
              <w:rPr>
                <w:rFonts w:ascii="楷体" w:hAnsi="楷体" w:eastAsia="楷体" w:cs="楷体"/>
                <w:sz w:val="23"/>
                <w:szCs w:val="23"/>
              </w:rPr>
            </w:pPr>
            <w:r>
              <w:rPr>
                <w:rFonts w:ascii="楷体" w:hAnsi="楷体" w:eastAsia="楷体" w:cs="楷体"/>
                <w:spacing w:val="9"/>
                <w:sz w:val="23"/>
                <w:szCs w:val="23"/>
                <w14:textOutline w14:w="4358" w14:cap="sq" w14:cmpd="sng">
                  <w14:solidFill>
                    <w14:srgbClr w14:val="000000"/>
                  </w14:solidFill>
                  <w14:prstDash w14:val="solid"/>
                  <w14:bevel/>
                </w14:textOutline>
              </w:rPr>
              <w:t>适合投资者类</w:t>
            </w:r>
            <w:r>
              <w:rPr>
                <w:rFonts w:ascii="楷体" w:hAnsi="楷体" w:eastAsia="楷体" w:cs="楷体"/>
                <w:spacing w:val="8"/>
                <w:sz w:val="23"/>
                <w:szCs w:val="23"/>
                <w14:textOutline w14:w="4358" w14:cap="sq" w14:cmpd="sng">
                  <w14:solidFill>
                    <w14:srgbClr w14:val="000000"/>
                  </w14:solidFill>
                  <w14:prstDash w14:val="solid"/>
                  <w14:bevel/>
                </w14:textOutline>
              </w:rPr>
              <w:t>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59" w:type="dxa"/>
            <w:vAlign w:val="top"/>
          </w:tcPr>
          <w:p>
            <w:pPr>
              <w:spacing w:before="74" w:line="200" w:lineRule="auto"/>
              <w:ind w:left="299"/>
              <w:outlineLvl w:val="0"/>
              <w:rPr>
                <w:rFonts w:ascii="楷体" w:hAnsi="楷体" w:eastAsia="楷体" w:cs="楷体"/>
                <w:sz w:val="20"/>
                <w:szCs w:val="20"/>
              </w:rPr>
            </w:pPr>
            <w:r>
              <w:rPr>
                <w:rFonts w:ascii="楷体" w:hAnsi="楷体" w:eastAsia="楷体" w:cs="楷体"/>
                <w:spacing w:val="-5"/>
                <w:sz w:val="20"/>
                <w:szCs w:val="20"/>
              </w:rPr>
              <w:t>PR</w:t>
            </w:r>
            <w:r>
              <w:rPr>
                <w:rFonts w:ascii="楷体" w:hAnsi="楷体" w:eastAsia="楷体" w:cs="楷体"/>
                <w:spacing w:val="-8"/>
                <w:sz w:val="20"/>
                <w:szCs w:val="20"/>
              </w:rPr>
              <w:t>1</w:t>
            </w:r>
            <w:r>
              <w:rPr>
                <w:rFonts w:ascii="楷体" w:hAnsi="楷体" w:eastAsia="楷体" w:cs="楷体"/>
                <w:spacing w:val="-5"/>
                <w:sz w:val="20"/>
                <w:szCs w:val="20"/>
              </w:rPr>
              <w:t xml:space="preserve"> 级</w:t>
            </w:r>
          </w:p>
        </w:tc>
        <w:tc>
          <w:tcPr>
            <w:tcW w:w="3576" w:type="dxa"/>
            <w:vAlign w:val="top"/>
          </w:tcPr>
          <w:p>
            <w:pPr>
              <w:spacing w:before="53" w:line="242" w:lineRule="auto"/>
              <w:ind w:left="1684"/>
              <w:outlineLvl w:val="0"/>
              <w:rPr>
                <w:rFonts w:ascii="楷体" w:hAnsi="楷体" w:eastAsia="楷体" w:cs="楷体"/>
                <w:sz w:val="20"/>
                <w:szCs w:val="20"/>
              </w:rPr>
            </w:pPr>
            <w:r>
              <w:rPr>
                <w:rFonts w:ascii="楷体" w:hAnsi="楷体" w:eastAsia="楷体" w:cs="楷体"/>
                <w:spacing w:val="3"/>
                <w:sz w:val="20"/>
                <w:szCs w:val="20"/>
              </w:rPr>
              <w:t>低</w:t>
            </w:r>
          </w:p>
        </w:tc>
        <w:tc>
          <w:tcPr>
            <w:tcW w:w="4336" w:type="dxa"/>
            <w:vAlign w:val="top"/>
          </w:tcPr>
          <w:p>
            <w:pPr>
              <w:spacing w:before="185" w:line="237" w:lineRule="auto"/>
              <w:ind w:left="179"/>
              <w:outlineLvl w:val="0"/>
              <w:rPr>
                <w:rFonts w:ascii="楷体" w:hAnsi="楷体" w:eastAsia="楷体" w:cs="楷体"/>
                <w:sz w:val="20"/>
                <w:szCs w:val="20"/>
              </w:rPr>
            </w:pPr>
            <w:r>
              <w:rPr>
                <w:rFonts w:ascii="楷体" w:hAnsi="楷体" w:eastAsia="楷体" w:cs="楷体"/>
                <w:spacing w:val="17"/>
                <w:sz w:val="20"/>
                <w:szCs w:val="20"/>
              </w:rPr>
              <w:t>谨</w:t>
            </w:r>
            <w:r>
              <w:rPr>
                <w:rFonts w:ascii="楷体" w:hAnsi="楷体" w:eastAsia="楷体" w:cs="楷体"/>
                <w:spacing w:val="9"/>
                <w:sz w:val="20"/>
                <w:szCs w:val="20"/>
              </w:rPr>
              <w:t>慎型、稳健型、平衡型、进取型、激进型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59" w:type="dxa"/>
            <w:vAlign w:val="top"/>
          </w:tcPr>
          <w:p>
            <w:pPr>
              <w:spacing w:before="75" w:line="200" w:lineRule="auto"/>
              <w:ind w:left="299"/>
              <w:outlineLvl w:val="0"/>
              <w:rPr>
                <w:rFonts w:ascii="楷体" w:hAnsi="楷体" w:eastAsia="楷体" w:cs="楷体"/>
                <w:sz w:val="20"/>
                <w:szCs w:val="20"/>
              </w:rPr>
            </w:pPr>
            <w:r>
              <w:rPr>
                <w:rFonts w:ascii="楷体" w:hAnsi="楷体" w:eastAsia="楷体" w:cs="楷体"/>
                <w:spacing w:val="-5"/>
                <w:sz w:val="20"/>
                <w:szCs w:val="20"/>
              </w:rPr>
              <w:t>PR</w:t>
            </w:r>
            <w:r>
              <w:rPr>
                <w:rFonts w:ascii="楷体" w:hAnsi="楷体" w:eastAsia="楷体" w:cs="楷体"/>
                <w:spacing w:val="-8"/>
                <w:sz w:val="20"/>
                <w:szCs w:val="20"/>
              </w:rPr>
              <w:t>2</w:t>
            </w:r>
            <w:r>
              <w:rPr>
                <w:rFonts w:ascii="楷体" w:hAnsi="楷体" w:eastAsia="楷体" w:cs="楷体"/>
                <w:spacing w:val="-5"/>
                <w:sz w:val="20"/>
                <w:szCs w:val="20"/>
              </w:rPr>
              <w:t xml:space="preserve"> 级</w:t>
            </w:r>
          </w:p>
        </w:tc>
        <w:tc>
          <w:tcPr>
            <w:tcW w:w="3576" w:type="dxa"/>
            <w:vAlign w:val="top"/>
          </w:tcPr>
          <w:p>
            <w:pPr>
              <w:spacing w:before="53" w:line="234" w:lineRule="auto"/>
              <w:ind w:left="1608"/>
              <w:outlineLvl w:val="0"/>
              <w:rPr>
                <w:rFonts w:ascii="楷体" w:hAnsi="楷体" w:eastAsia="楷体" w:cs="楷体"/>
                <w:sz w:val="20"/>
                <w:szCs w:val="20"/>
              </w:rPr>
            </w:pPr>
            <w:r>
              <w:rPr>
                <w:rFonts w:ascii="楷体" w:hAnsi="楷体" w:eastAsia="楷体" w:cs="楷体"/>
                <w:spacing w:val="-8"/>
                <w:sz w:val="20"/>
                <w:szCs w:val="20"/>
              </w:rPr>
              <w:t>中</w:t>
            </w:r>
            <w:r>
              <w:rPr>
                <w:rFonts w:ascii="楷体" w:hAnsi="楷体" w:eastAsia="楷体" w:cs="楷体"/>
                <w:spacing w:val="-7"/>
                <w:sz w:val="20"/>
                <w:szCs w:val="20"/>
              </w:rPr>
              <w:t>低</w:t>
            </w:r>
          </w:p>
        </w:tc>
        <w:tc>
          <w:tcPr>
            <w:tcW w:w="4336" w:type="dxa"/>
            <w:vAlign w:val="top"/>
          </w:tcPr>
          <w:p>
            <w:pPr>
              <w:spacing w:before="198" w:line="265" w:lineRule="exact"/>
              <w:ind w:left="596"/>
              <w:outlineLvl w:val="0"/>
              <w:rPr>
                <w:rFonts w:ascii="楷体" w:hAnsi="楷体" w:eastAsia="楷体" w:cs="楷体"/>
                <w:sz w:val="20"/>
                <w:szCs w:val="20"/>
              </w:rPr>
            </w:pPr>
            <w:r>
              <w:rPr>
                <w:rFonts w:ascii="楷体" w:hAnsi="楷体" w:eastAsia="楷体" w:cs="楷体"/>
                <w:spacing w:val="15"/>
                <w:position w:val="1"/>
                <w:sz w:val="20"/>
                <w:szCs w:val="20"/>
              </w:rPr>
              <w:t>稳</w:t>
            </w:r>
            <w:r>
              <w:rPr>
                <w:rFonts w:ascii="楷体" w:hAnsi="楷体" w:eastAsia="楷体" w:cs="楷体"/>
                <w:spacing w:val="9"/>
                <w:position w:val="1"/>
                <w:sz w:val="20"/>
                <w:szCs w:val="20"/>
              </w:rPr>
              <w:t>健型、平衡型、进取型、激进型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59" w:type="dxa"/>
            <w:vAlign w:val="top"/>
          </w:tcPr>
          <w:p>
            <w:pPr>
              <w:spacing w:before="74" w:line="200" w:lineRule="auto"/>
              <w:ind w:left="299"/>
              <w:outlineLvl w:val="0"/>
              <w:rPr>
                <w:rFonts w:ascii="楷体" w:hAnsi="楷体" w:eastAsia="楷体" w:cs="楷体"/>
                <w:sz w:val="20"/>
                <w:szCs w:val="20"/>
              </w:rPr>
            </w:pPr>
            <w:r>
              <w:rPr>
                <w:rFonts w:ascii="楷体" w:hAnsi="楷体" w:eastAsia="楷体" w:cs="楷体"/>
                <w:spacing w:val="-5"/>
                <w:sz w:val="20"/>
                <w:szCs w:val="20"/>
              </w:rPr>
              <w:t>PR</w:t>
            </w:r>
            <w:r>
              <w:rPr>
                <w:rFonts w:ascii="楷体" w:hAnsi="楷体" w:eastAsia="楷体" w:cs="楷体"/>
                <w:spacing w:val="-8"/>
                <w:sz w:val="20"/>
                <w:szCs w:val="20"/>
              </w:rPr>
              <w:t>3</w:t>
            </w:r>
            <w:r>
              <w:rPr>
                <w:rFonts w:ascii="楷体" w:hAnsi="楷体" w:eastAsia="楷体" w:cs="楷体"/>
                <w:spacing w:val="-5"/>
                <w:sz w:val="20"/>
                <w:szCs w:val="20"/>
              </w:rPr>
              <w:t xml:space="preserve"> 级</w:t>
            </w:r>
          </w:p>
        </w:tc>
        <w:tc>
          <w:tcPr>
            <w:tcW w:w="3576" w:type="dxa"/>
            <w:vAlign w:val="top"/>
          </w:tcPr>
          <w:p>
            <w:pPr>
              <w:spacing w:before="53" w:line="234" w:lineRule="auto"/>
              <w:ind w:left="1608"/>
              <w:outlineLvl w:val="0"/>
              <w:rPr>
                <w:rFonts w:ascii="楷体" w:hAnsi="楷体" w:eastAsia="楷体" w:cs="楷体"/>
                <w:sz w:val="20"/>
                <w:szCs w:val="20"/>
              </w:rPr>
            </w:pPr>
            <w:r>
              <w:rPr>
                <w:rFonts w:ascii="楷体" w:hAnsi="楷体" w:eastAsia="楷体" w:cs="楷体"/>
                <w:spacing w:val="-8"/>
                <w:sz w:val="20"/>
                <w:szCs w:val="20"/>
              </w:rPr>
              <w:t>中</w:t>
            </w:r>
            <w:r>
              <w:rPr>
                <w:rFonts w:ascii="楷体" w:hAnsi="楷体" w:eastAsia="楷体" w:cs="楷体"/>
                <w:spacing w:val="-7"/>
                <w:sz w:val="20"/>
                <w:szCs w:val="20"/>
              </w:rPr>
              <w:t>等</w:t>
            </w:r>
          </w:p>
        </w:tc>
        <w:tc>
          <w:tcPr>
            <w:tcW w:w="4336" w:type="dxa"/>
            <w:vAlign w:val="top"/>
          </w:tcPr>
          <w:p>
            <w:pPr>
              <w:spacing w:before="198" w:line="232" w:lineRule="auto"/>
              <w:ind w:left="1020"/>
              <w:outlineLvl w:val="0"/>
              <w:rPr>
                <w:rFonts w:ascii="楷体" w:hAnsi="楷体" w:eastAsia="楷体" w:cs="楷体"/>
                <w:sz w:val="20"/>
                <w:szCs w:val="20"/>
              </w:rPr>
            </w:pPr>
            <w:r>
              <w:rPr>
                <w:rFonts w:ascii="楷体" w:hAnsi="楷体" w:eastAsia="楷体" w:cs="楷体"/>
                <w:spacing w:val="9"/>
                <w:sz w:val="20"/>
                <w:szCs w:val="20"/>
              </w:rPr>
              <w:t>平衡型、进取型、激进</w:t>
            </w:r>
            <w:r>
              <w:rPr>
                <w:rFonts w:ascii="楷体" w:hAnsi="楷体" w:eastAsia="楷体" w:cs="楷体"/>
                <w:spacing w:val="7"/>
                <w:sz w:val="20"/>
                <w:szCs w:val="20"/>
              </w:rPr>
              <w:t>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59" w:type="dxa"/>
            <w:vAlign w:val="top"/>
          </w:tcPr>
          <w:p>
            <w:pPr>
              <w:spacing w:before="76" w:line="200" w:lineRule="auto"/>
              <w:ind w:left="299"/>
              <w:outlineLvl w:val="0"/>
              <w:rPr>
                <w:rFonts w:ascii="楷体" w:hAnsi="楷体" w:eastAsia="楷体" w:cs="楷体"/>
                <w:sz w:val="20"/>
                <w:szCs w:val="20"/>
              </w:rPr>
            </w:pPr>
            <w:r>
              <w:rPr>
                <w:rFonts w:ascii="楷体" w:hAnsi="楷体" w:eastAsia="楷体" w:cs="楷体"/>
                <w:spacing w:val="-5"/>
                <w:sz w:val="20"/>
                <w:szCs w:val="20"/>
              </w:rPr>
              <w:t>PR</w:t>
            </w:r>
            <w:r>
              <w:rPr>
                <w:rFonts w:ascii="楷体" w:hAnsi="楷体" w:eastAsia="楷体" w:cs="楷体"/>
                <w:spacing w:val="-8"/>
                <w:sz w:val="20"/>
                <w:szCs w:val="20"/>
              </w:rPr>
              <w:t>4</w:t>
            </w:r>
            <w:r>
              <w:rPr>
                <w:rFonts w:ascii="楷体" w:hAnsi="楷体" w:eastAsia="楷体" w:cs="楷体"/>
                <w:spacing w:val="-5"/>
                <w:sz w:val="20"/>
                <w:szCs w:val="20"/>
              </w:rPr>
              <w:t xml:space="preserve"> 级</w:t>
            </w:r>
          </w:p>
        </w:tc>
        <w:tc>
          <w:tcPr>
            <w:tcW w:w="3576" w:type="dxa"/>
            <w:vAlign w:val="top"/>
          </w:tcPr>
          <w:p>
            <w:pPr>
              <w:spacing w:before="55" w:line="234" w:lineRule="auto"/>
              <w:ind w:left="1608"/>
              <w:outlineLvl w:val="0"/>
              <w:rPr>
                <w:rFonts w:ascii="楷体" w:hAnsi="楷体" w:eastAsia="楷体" w:cs="楷体"/>
                <w:sz w:val="20"/>
                <w:szCs w:val="20"/>
              </w:rPr>
            </w:pPr>
            <w:r>
              <w:rPr>
                <w:rFonts w:ascii="楷体" w:hAnsi="楷体" w:eastAsia="楷体" w:cs="楷体"/>
                <w:spacing w:val="-8"/>
                <w:sz w:val="20"/>
                <w:szCs w:val="20"/>
              </w:rPr>
              <w:t>中</w:t>
            </w:r>
            <w:r>
              <w:rPr>
                <w:rFonts w:ascii="楷体" w:hAnsi="楷体" w:eastAsia="楷体" w:cs="楷体"/>
                <w:spacing w:val="-7"/>
                <w:sz w:val="20"/>
                <w:szCs w:val="20"/>
              </w:rPr>
              <w:t>高</w:t>
            </w:r>
          </w:p>
        </w:tc>
        <w:tc>
          <w:tcPr>
            <w:tcW w:w="4336" w:type="dxa"/>
            <w:vAlign w:val="top"/>
          </w:tcPr>
          <w:p>
            <w:pPr>
              <w:spacing w:before="199"/>
              <w:ind w:left="1435"/>
              <w:outlineLvl w:val="0"/>
              <w:rPr>
                <w:rFonts w:ascii="楷体" w:hAnsi="楷体" w:eastAsia="楷体" w:cs="楷体"/>
                <w:sz w:val="20"/>
                <w:szCs w:val="20"/>
              </w:rPr>
            </w:pPr>
            <w:r>
              <w:rPr>
                <w:rFonts w:ascii="楷体" w:hAnsi="楷体" w:eastAsia="楷体" w:cs="楷体"/>
                <w:spacing w:val="9"/>
                <w:sz w:val="20"/>
                <w:szCs w:val="20"/>
              </w:rPr>
              <w:t>进取型、激进型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59" w:type="dxa"/>
            <w:vAlign w:val="top"/>
          </w:tcPr>
          <w:p>
            <w:pPr>
              <w:spacing w:before="76" w:line="200" w:lineRule="auto"/>
              <w:ind w:left="299"/>
              <w:outlineLvl w:val="0"/>
              <w:rPr>
                <w:rFonts w:ascii="楷体" w:hAnsi="楷体" w:eastAsia="楷体" w:cs="楷体"/>
                <w:sz w:val="20"/>
                <w:szCs w:val="20"/>
              </w:rPr>
            </w:pPr>
            <w:r>
              <w:rPr>
                <w:rFonts w:ascii="楷体" w:hAnsi="楷体" w:eastAsia="楷体" w:cs="楷体"/>
                <w:spacing w:val="-5"/>
                <w:sz w:val="20"/>
                <w:szCs w:val="20"/>
              </w:rPr>
              <w:t>PR</w:t>
            </w:r>
            <w:r>
              <w:rPr>
                <w:rFonts w:ascii="楷体" w:hAnsi="楷体" w:eastAsia="楷体" w:cs="楷体"/>
                <w:spacing w:val="-8"/>
                <w:sz w:val="20"/>
                <w:szCs w:val="20"/>
              </w:rPr>
              <w:t>5</w:t>
            </w:r>
            <w:r>
              <w:rPr>
                <w:rFonts w:ascii="楷体" w:hAnsi="楷体" w:eastAsia="楷体" w:cs="楷体"/>
                <w:spacing w:val="-5"/>
                <w:sz w:val="20"/>
                <w:szCs w:val="20"/>
              </w:rPr>
              <w:t xml:space="preserve"> 级</w:t>
            </w:r>
          </w:p>
        </w:tc>
        <w:tc>
          <w:tcPr>
            <w:tcW w:w="3576" w:type="dxa"/>
            <w:vAlign w:val="top"/>
          </w:tcPr>
          <w:p>
            <w:pPr>
              <w:spacing w:before="55" w:line="236" w:lineRule="auto"/>
              <w:ind w:left="1705"/>
              <w:outlineLvl w:val="0"/>
              <w:rPr>
                <w:rFonts w:ascii="楷体" w:hAnsi="楷体" w:eastAsia="楷体" w:cs="楷体"/>
                <w:sz w:val="20"/>
                <w:szCs w:val="20"/>
              </w:rPr>
            </w:pPr>
            <w:r>
              <w:rPr>
                <w:rFonts w:ascii="楷体" w:hAnsi="楷体" w:eastAsia="楷体" w:cs="楷体"/>
                <w:sz w:val="20"/>
                <w:szCs w:val="20"/>
              </w:rPr>
              <w:t>高</w:t>
            </w:r>
          </w:p>
        </w:tc>
        <w:tc>
          <w:tcPr>
            <w:tcW w:w="4336" w:type="dxa"/>
            <w:vAlign w:val="top"/>
          </w:tcPr>
          <w:p>
            <w:pPr>
              <w:spacing w:before="187" w:line="264" w:lineRule="exact"/>
              <w:ind w:left="1862"/>
              <w:outlineLvl w:val="0"/>
              <w:rPr>
                <w:rFonts w:ascii="楷体" w:hAnsi="楷体" w:eastAsia="楷体" w:cs="楷体"/>
                <w:sz w:val="20"/>
                <w:szCs w:val="20"/>
              </w:rPr>
            </w:pPr>
            <w:r>
              <w:rPr>
                <w:rFonts w:ascii="楷体" w:hAnsi="楷体" w:eastAsia="楷体" w:cs="楷体"/>
                <w:spacing w:val="5"/>
                <w:position w:val="1"/>
                <w:sz w:val="20"/>
                <w:szCs w:val="20"/>
              </w:rPr>
              <w:t>激进型</w:t>
            </w:r>
          </w:p>
        </w:tc>
      </w:tr>
    </w:tbl>
    <w:p>
      <w:pPr>
        <w:spacing w:before="38" w:line="312" w:lineRule="exact"/>
        <w:ind w:left="599"/>
        <w:rPr>
          <w:rFonts w:ascii="楷体" w:hAnsi="楷体" w:eastAsia="楷体" w:cs="楷体"/>
          <w:sz w:val="23"/>
          <w:szCs w:val="23"/>
        </w:rPr>
      </w:pPr>
      <w:r>
        <w:rPr>
          <w:rFonts w:ascii="楷体" w:hAnsi="楷体" w:eastAsia="楷体" w:cs="楷体"/>
          <w:color w:val="2F2F2F"/>
          <w:spacing w:val="13"/>
          <w:position w:val="1"/>
          <w:sz w:val="23"/>
          <w:szCs w:val="23"/>
        </w:rPr>
        <w:t>2</w:t>
      </w:r>
      <w:r>
        <w:rPr>
          <w:rFonts w:ascii="楷体" w:hAnsi="楷体" w:eastAsia="楷体" w:cs="楷体"/>
          <w:color w:val="2F2F2F"/>
          <w:spacing w:val="9"/>
          <w:position w:val="1"/>
          <w:sz w:val="23"/>
          <w:szCs w:val="23"/>
        </w:rPr>
        <w:t>.通过受信银理财委托进行产品销售的机构办理</w:t>
      </w:r>
    </w:p>
    <w:p>
      <w:pPr>
        <w:spacing w:before="1" w:line="250" w:lineRule="auto"/>
        <w:ind w:left="155" w:right="504" w:firstLine="477"/>
        <w:rPr>
          <w:rFonts w:ascii="楷体" w:hAnsi="楷体" w:eastAsia="楷体" w:cs="楷体"/>
          <w:sz w:val="23"/>
          <w:szCs w:val="23"/>
        </w:rPr>
      </w:pPr>
      <w:r>
        <w:rPr>
          <w:rFonts w:ascii="楷体" w:hAnsi="楷体" w:eastAsia="楷体" w:cs="楷体"/>
          <w:color w:val="2F2F2F"/>
          <w:spacing w:val="9"/>
          <w:sz w:val="23"/>
          <w:szCs w:val="23"/>
        </w:rPr>
        <w:t>以受信银理财委托进行产品销售的机构的风险测评结果、产品风险评级以及二者的对应</w:t>
      </w:r>
      <w:r>
        <w:rPr>
          <w:rFonts w:ascii="楷体" w:hAnsi="楷体" w:eastAsia="楷体" w:cs="楷体"/>
          <w:color w:val="2F2F2F"/>
          <w:spacing w:val="7"/>
          <w:sz w:val="23"/>
          <w:szCs w:val="23"/>
        </w:rPr>
        <w:t>关</w:t>
      </w:r>
      <w:r>
        <w:rPr>
          <w:rFonts w:ascii="楷体" w:hAnsi="楷体" w:eastAsia="楷体" w:cs="楷体"/>
          <w:color w:val="2F2F2F"/>
          <w:sz w:val="23"/>
          <w:szCs w:val="23"/>
        </w:rPr>
        <w:t xml:space="preserve"> </w:t>
      </w:r>
      <w:r>
        <w:rPr>
          <w:rFonts w:ascii="楷体" w:hAnsi="楷体" w:eastAsia="楷体" w:cs="楷体"/>
          <w:color w:val="2F2F2F"/>
          <w:spacing w:val="-5"/>
          <w:sz w:val="23"/>
          <w:szCs w:val="23"/>
        </w:rPr>
        <w:t>系</w:t>
      </w:r>
      <w:r>
        <w:rPr>
          <w:rFonts w:ascii="楷体" w:hAnsi="楷体" w:eastAsia="楷体" w:cs="楷体"/>
          <w:color w:val="2F2F2F"/>
          <w:spacing w:val="-3"/>
          <w:sz w:val="23"/>
          <w:szCs w:val="23"/>
        </w:rPr>
        <w:t>为准。</w:t>
      </w:r>
    </w:p>
    <w:p>
      <w:pPr>
        <w:spacing w:line="304" w:lineRule="exact"/>
        <w:ind w:left="605"/>
        <w:rPr>
          <w:rFonts w:ascii="黑体" w:hAnsi="黑体" w:eastAsia="黑体" w:cs="黑体"/>
          <w:sz w:val="23"/>
          <w:szCs w:val="23"/>
        </w:rPr>
      </w:pPr>
      <w:r>
        <w:rPr>
          <w:rFonts w:ascii="黑体" w:hAnsi="黑体" w:eastAsia="黑体" w:cs="黑体"/>
          <w:color w:val="2F2F2F"/>
          <w:spacing w:val="9"/>
          <w:position w:val="1"/>
          <w:sz w:val="23"/>
          <w:szCs w:val="23"/>
        </w:rPr>
        <w:t>三</w:t>
      </w:r>
      <w:r>
        <w:rPr>
          <w:rFonts w:ascii="黑体" w:hAnsi="黑体" w:eastAsia="黑体" w:cs="黑体"/>
          <w:color w:val="2F2F2F"/>
          <w:spacing w:val="8"/>
          <w:position w:val="1"/>
          <w:sz w:val="23"/>
          <w:szCs w:val="23"/>
        </w:rPr>
        <w:t>、理财信息披露</w:t>
      </w:r>
    </w:p>
    <w:p>
      <w:pPr>
        <w:spacing w:before="10" w:line="250" w:lineRule="auto"/>
        <w:ind w:left="122" w:right="479" w:firstLine="477"/>
        <w:rPr>
          <w:rFonts w:ascii="楷体" w:hAnsi="楷体" w:eastAsia="楷体" w:cs="楷体"/>
          <w:sz w:val="23"/>
          <w:szCs w:val="23"/>
        </w:rPr>
      </w:pPr>
      <w:r>
        <w:rPr>
          <w:rFonts w:ascii="楷体" w:hAnsi="楷体" w:eastAsia="楷体" w:cs="楷体"/>
          <w:color w:val="2F2F2F"/>
          <w:spacing w:val="20"/>
          <w:sz w:val="23"/>
          <w:szCs w:val="23"/>
        </w:rPr>
        <w:t>信</w:t>
      </w:r>
      <w:r>
        <w:rPr>
          <w:rFonts w:ascii="楷体" w:hAnsi="楷体" w:eastAsia="楷体" w:cs="楷体"/>
          <w:color w:val="2F2F2F"/>
          <w:spacing w:val="16"/>
          <w:sz w:val="23"/>
          <w:szCs w:val="23"/>
        </w:rPr>
        <w:t>银</w:t>
      </w:r>
      <w:r>
        <w:rPr>
          <w:rFonts w:ascii="楷体" w:hAnsi="楷体" w:eastAsia="楷体" w:cs="楷体"/>
          <w:color w:val="2F2F2F"/>
          <w:spacing w:val="10"/>
          <w:sz w:val="23"/>
          <w:szCs w:val="23"/>
        </w:rPr>
        <w:t>理财将根据不同的产品类别，在相应的理财产品说明书中明确说明该产品信息披露的</w:t>
      </w:r>
      <w:r>
        <w:rPr>
          <w:rFonts w:ascii="楷体" w:hAnsi="楷体" w:eastAsia="楷体" w:cs="楷体"/>
          <w:color w:val="2F2F2F"/>
          <w:sz w:val="23"/>
          <w:szCs w:val="23"/>
        </w:rPr>
        <w:t xml:space="preserve"> </w:t>
      </w:r>
      <w:r>
        <w:rPr>
          <w:rFonts w:ascii="楷体" w:hAnsi="楷体" w:eastAsia="楷体" w:cs="楷体"/>
          <w:color w:val="2F2F2F"/>
          <w:spacing w:val="24"/>
          <w:sz w:val="23"/>
          <w:szCs w:val="23"/>
        </w:rPr>
        <w:t>平</w:t>
      </w:r>
      <w:r>
        <w:rPr>
          <w:rFonts w:ascii="楷体" w:hAnsi="楷体" w:eastAsia="楷体" w:cs="楷体"/>
          <w:color w:val="2F2F2F"/>
          <w:spacing w:val="16"/>
          <w:sz w:val="23"/>
          <w:szCs w:val="23"/>
        </w:rPr>
        <w:t>台</w:t>
      </w:r>
      <w:r>
        <w:rPr>
          <w:rFonts w:ascii="楷体" w:hAnsi="楷体" w:eastAsia="楷体" w:cs="楷体"/>
          <w:color w:val="2F2F2F"/>
          <w:spacing w:val="12"/>
          <w:sz w:val="23"/>
          <w:szCs w:val="23"/>
        </w:rPr>
        <w:t>、渠道、发布时间、频率等。一般来讲，信银理财网站【</w:t>
      </w:r>
      <w:r>
        <w:rPr>
          <w:rFonts w:ascii="楷体" w:hAnsi="楷体" w:eastAsia="楷体" w:cs="楷体"/>
          <w:color w:val="2F2F2F"/>
          <w:sz w:val="23"/>
          <w:szCs w:val="23"/>
        </w:rPr>
        <w:t>www</w:t>
      </w:r>
      <w:r>
        <w:rPr>
          <w:rFonts w:ascii="楷体" w:hAnsi="楷体" w:eastAsia="楷体" w:cs="楷体"/>
          <w:color w:val="2F2F2F"/>
          <w:spacing w:val="12"/>
          <w:sz w:val="23"/>
          <w:szCs w:val="23"/>
        </w:rPr>
        <w:t>.</w:t>
      </w:r>
      <w:r>
        <w:rPr>
          <w:rFonts w:ascii="楷体" w:hAnsi="楷体" w:eastAsia="楷体" w:cs="楷体"/>
          <w:color w:val="2F2F2F"/>
          <w:sz w:val="23"/>
          <w:szCs w:val="23"/>
        </w:rPr>
        <w:t>citic</w:t>
      </w:r>
      <w:r>
        <w:rPr>
          <w:rFonts w:ascii="楷体" w:hAnsi="楷体" w:eastAsia="楷体" w:cs="楷体"/>
          <w:color w:val="2F2F2F"/>
          <w:spacing w:val="12"/>
          <w:sz w:val="23"/>
          <w:szCs w:val="23"/>
        </w:rPr>
        <w:t>-</w:t>
      </w:r>
      <w:r>
        <w:rPr>
          <w:rFonts w:ascii="楷体" w:hAnsi="楷体" w:eastAsia="楷体" w:cs="楷体"/>
          <w:color w:val="2F2F2F"/>
          <w:sz w:val="23"/>
          <w:szCs w:val="23"/>
        </w:rPr>
        <w:t>wealth</w:t>
      </w:r>
      <w:r>
        <w:rPr>
          <w:rFonts w:ascii="楷体" w:hAnsi="楷体" w:eastAsia="楷体" w:cs="楷体"/>
          <w:color w:val="2F2F2F"/>
          <w:spacing w:val="12"/>
          <w:sz w:val="23"/>
          <w:szCs w:val="23"/>
        </w:rPr>
        <w:t>.</w:t>
      </w:r>
      <w:r>
        <w:rPr>
          <w:rFonts w:ascii="楷体" w:hAnsi="楷体" w:eastAsia="楷体" w:cs="楷体"/>
          <w:color w:val="2F2F2F"/>
          <w:sz w:val="23"/>
          <w:szCs w:val="23"/>
        </w:rPr>
        <w:t>com</w:t>
      </w:r>
      <w:r>
        <w:rPr>
          <w:rFonts w:ascii="楷体" w:hAnsi="楷体" w:eastAsia="楷体" w:cs="楷体"/>
          <w:color w:val="2F2F2F"/>
          <w:spacing w:val="12"/>
          <w:sz w:val="23"/>
          <w:szCs w:val="23"/>
        </w:rPr>
        <w:t>】是信银</w:t>
      </w:r>
      <w:r>
        <w:rPr>
          <w:rFonts w:ascii="楷体" w:hAnsi="楷体" w:eastAsia="楷体" w:cs="楷体"/>
          <w:color w:val="2F2F2F"/>
          <w:sz w:val="23"/>
          <w:szCs w:val="23"/>
        </w:rPr>
        <w:t xml:space="preserve"> </w:t>
      </w:r>
      <w:r>
        <w:rPr>
          <w:rFonts w:ascii="楷体" w:hAnsi="楷体" w:eastAsia="楷体" w:cs="楷体"/>
          <w:color w:val="2F2F2F"/>
          <w:spacing w:val="20"/>
          <w:sz w:val="23"/>
          <w:szCs w:val="23"/>
        </w:rPr>
        <w:t>理</w:t>
      </w:r>
      <w:r>
        <w:rPr>
          <w:rFonts w:ascii="楷体" w:hAnsi="楷体" w:eastAsia="楷体" w:cs="楷体"/>
          <w:color w:val="2F2F2F"/>
          <w:spacing w:val="13"/>
          <w:sz w:val="23"/>
          <w:szCs w:val="23"/>
        </w:rPr>
        <w:t>财</w:t>
      </w:r>
      <w:r>
        <w:rPr>
          <w:rFonts w:ascii="楷体" w:hAnsi="楷体" w:eastAsia="楷体" w:cs="楷体"/>
          <w:color w:val="2F2F2F"/>
          <w:spacing w:val="10"/>
          <w:sz w:val="23"/>
          <w:szCs w:val="23"/>
        </w:rPr>
        <w:t>正式信息发布渠道，其他渠道如短信、电话等为辅助方式，投资者应定期通过包括信银理</w:t>
      </w:r>
      <w:r>
        <w:rPr>
          <w:rFonts w:ascii="楷体" w:hAnsi="楷体" w:eastAsia="楷体" w:cs="楷体"/>
          <w:color w:val="2F2F2F"/>
          <w:sz w:val="23"/>
          <w:szCs w:val="23"/>
        </w:rPr>
        <w:t xml:space="preserve"> </w:t>
      </w:r>
      <w:r>
        <w:rPr>
          <w:rFonts w:ascii="楷体" w:hAnsi="楷体" w:eastAsia="楷体" w:cs="楷体"/>
          <w:color w:val="2F2F2F"/>
          <w:spacing w:val="15"/>
          <w:sz w:val="23"/>
          <w:szCs w:val="23"/>
        </w:rPr>
        <w:t>财</w:t>
      </w:r>
      <w:r>
        <w:rPr>
          <w:rFonts w:ascii="楷体" w:hAnsi="楷体" w:eastAsia="楷体" w:cs="楷体"/>
          <w:color w:val="2F2F2F"/>
          <w:spacing w:val="9"/>
          <w:sz w:val="23"/>
          <w:szCs w:val="23"/>
        </w:rPr>
        <w:t>网站在内的各信息平台和渠道获知有关理财产品相关信息。</w:t>
      </w:r>
    </w:p>
    <w:p>
      <w:pPr>
        <w:spacing w:before="2" w:line="264" w:lineRule="auto"/>
        <w:ind w:left="124" w:right="477" w:firstLine="479"/>
        <w:rPr>
          <w:rFonts w:ascii="楷体" w:hAnsi="楷体" w:eastAsia="楷体" w:cs="楷体"/>
          <w:sz w:val="23"/>
          <w:szCs w:val="23"/>
        </w:rPr>
      </w:pPr>
      <w:r>
        <w:rPr>
          <w:rFonts w:ascii="楷体" w:hAnsi="楷体" w:eastAsia="楷体" w:cs="楷体"/>
          <w:color w:val="2F2F2F"/>
          <w:spacing w:val="10"/>
          <w:sz w:val="23"/>
          <w:szCs w:val="23"/>
        </w:rPr>
        <w:t>投资者通过受信银理财委托进行产品销售的机构 (代销机构) 购买理财产品的，还可按</w:t>
      </w:r>
      <w:r>
        <w:rPr>
          <w:rFonts w:ascii="楷体" w:hAnsi="楷体" w:eastAsia="楷体" w:cs="楷体"/>
          <w:color w:val="2F2F2F"/>
          <w:spacing w:val="5"/>
          <w:sz w:val="23"/>
          <w:szCs w:val="23"/>
        </w:rPr>
        <w:t>照</w:t>
      </w:r>
      <w:r>
        <w:rPr>
          <w:rFonts w:ascii="楷体" w:hAnsi="楷体" w:eastAsia="楷体" w:cs="楷体"/>
          <w:color w:val="2F2F2F"/>
          <w:sz w:val="23"/>
          <w:szCs w:val="23"/>
        </w:rPr>
        <w:t xml:space="preserve"> </w:t>
      </w:r>
      <w:r>
        <w:rPr>
          <w:rFonts w:ascii="楷体" w:hAnsi="楷体" w:eastAsia="楷体" w:cs="楷体"/>
          <w:color w:val="2F2F2F"/>
          <w:spacing w:val="9"/>
          <w:sz w:val="23"/>
          <w:szCs w:val="23"/>
        </w:rPr>
        <w:t>代销机构公布的信息披露渠道和方式获取相关信息。</w:t>
      </w:r>
    </w:p>
    <w:p>
      <w:pPr>
        <w:sectPr>
          <w:headerReference r:id="rId5" w:type="default"/>
          <w:pgSz w:w="11906" w:h="16839"/>
          <w:pgMar w:top="1196" w:right="541" w:bottom="0" w:left="908" w:header="886" w:footer="0" w:gutter="0"/>
          <w:cols w:space="720" w:num="1"/>
        </w:sectPr>
      </w:pPr>
    </w:p>
    <w:p>
      <w:pPr>
        <w:spacing w:before="38" w:line="235" w:lineRule="auto"/>
        <w:ind w:left="502"/>
        <w:rPr>
          <w:rFonts w:ascii="黑体" w:hAnsi="黑体" w:eastAsia="黑体" w:cs="黑体"/>
          <w:sz w:val="23"/>
          <w:szCs w:val="23"/>
        </w:rPr>
      </w:pPr>
      <w:r>
        <w:rPr>
          <w:rFonts w:ascii="黑体" w:hAnsi="黑体" w:eastAsia="黑体" w:cs="黑体"/>
          <w:color w:val="2F2F2F"/>
          <w:spacing w:val="9"/>
          <w:sz w:val="23"/>
          <w:szCs w:val="23"/>
        </w:rPr>
        <w:t>四、客户咨询、投诉渠道及信银理财联系方</w:t>
      </w:r>
      <w:r>
        <w:rPr>
          <w:rFonts w:ascii="黑体" w:hAnsi="黑体" w:eastAsia="黑体" w:cs="黑体"/>
          <w:color w:val="2F2F2F"/>
          <w:spacing w:val="5"/>
          <w:sz w:val="23"/>
          <w:szCs w:val="23"/>
        </w:rPr>
        <w:t>式</w:t>
      </w:r>
    </w:p>
    <w:p>
      <w:pPr>
        <w:spacing w:before="21" w:line="250" w:lineRule="auto"/>
        <w:ind w:left="8" w:firstLine="478"/>
        <w:rPr>
          <w:rFonts w:ascii="楷体" w:hAnsi="楷体" w:eastAsia="楷体" w:cs="楷体"/>
          <w:sz w:val="23"/>
          <w:szCs w:val="23"/>
        </w:rPr>
      </w:pPr>
      <w:r>
        <w:rPr>
          <w:rFonts w:ascii="楷体" w:hAnsi="楷体" w:eastAsia="楷体" w:cs="楷体"/>
          <w:color w:val="2F2F2F"/>
          <w:spacing w:val="13"/>
          <w:sz w:val="23"/>
          <w:szCs w:val="23"/>
        </w:rPr>
        <w:t>信</w:t>
      </w:r>
      <w:r>
        <w:rPr>
          <w:rFonts w:ascii="楷体" w:hAnsi="楷体" w:eastAsia="楷体" w:cs="楷体"/>
          <w:color w:val="2F2F2F"/>
          <w:spacing w:val="9"/>
          <w:sz w:val="23"/>
          <w:szCs w:val="23"/>
        </w:rPr>
        <w:t>银理财理财业务客户咨询和投诉渠道包括但不限于：客户服务热线【950950】、营业场</w:t>
      </w:r>
      <w:r>
        <w:rPr>
          <w:rFonts w:ascii="楷体" w:hAnsi="楷体" w:eastAsia="楷体" w:cs="楷体"/>
          <w:color w:val="2F2F2F"/>
          <w:sz w:val="23"/>
          <w:szCs w:val="23"/>
        </w:rPr>
        <w:t xml:space="preserve"> </w:t>
      </w:r>
      <w:r>
        <w:rPr>
          <w:rFonts w:ascii="楷体" w:hAnsi="楷体" w:eastAsia="楷体" w:cs="楷体"/>
          <w:color w:val="2F2F2F"/>
          <w:spacing w:val="14"/>
          <w:sz w:val="23"/>
          <w:szCs w:val="23"/>
        </w:rPr>
        <w:t>所、互联网网站【</w:t>
      </w:r>
      <w:r>
        <w:rPr>
          <w:rFonts w:ascii="楷体" w:hAnsi="楷体" w:eastAsia="楷体" w:cs="楷体"/>
          <w:color w:val="2F2F2F"/>
          <w:sz w:val="23"/>
          <w:szCs w:val="23"/>
        </w:rPr>
        <w:t>www</w:t>
      </w:r>
      <w:r>
        <w:rPr>
          <w:rFonts w:ascii="楷体" w:hAnsi="楷体" w:eastAsia="楷体" w:cs="楷体"/>
          <w:color w:val="2F2F2F"/>
          <w:spacing w:val="14"/>
          <w:sz w:val="23"/>
          <w:szCs w:val="23"/>
        </w:rPr>
        <w:t>.</w:t>
      </w:r>
      <w:r>
        <w:rPr>
          <w:rFonts w:ascii="楷体" w:hAnsi="楷体" w:eastAsia="楷体" w:cs="楷体"/>
          <w:color w:val="2F2F2F"/>
          <w:sz w:val="23"/>
          <w:szCs w:val="23"/>
        </w:rPr>
        <w:t>citic</w:t>
      </w:r>
      <w:r>
        <w:rPr>
          <w:rFonts w:ascii="楷体" w:hAnsi="楷体" w:eastAsia="楷体" w:cs="楷体"/>
          <w:color w:val="2F2F2F"/>
          <w:spacing w:val="14"/>
          <w:sz w:val="23"/>
          <w:szCs w:val="23"/>
        </w:rPr>
        <w:t>-</w:t>
      </w:r>
      <w:r>
        <w:rPr>
          <w:rFonts w:ascii="楷体" w:hAnsi="楷体" w:eastAsia="楷体" w:cs="楷体"/>
          <w:color w:val="2F2F2F"/>
          <w:sz w:val="23"/>
          <w:szCs w:val="23"/>
        </w:rPr>
        <w:t>wealth</w:t>
      </w:r>
      <w:r>
        <w:rPr>
          <w:rFonts w:ascii="楷体" w:hAnsi="楷体" w:eastAsia="楷体" w:cs="楷体"/>
          <w:color w:val="2F2F2F"/>
          <w:spacing w:val="14"/>
          <w:sz w:val="23"/>
          <w:szCs w:val="23"/>
        </w:rPr>
        <w:t>.</w:t>
      </w:r>
      <w:r>
        <w:rPr>
          <w:rFonts w:ascii="楷体" w:hAnsi="楷体" w:eastAsia="楷体" w:cs="楷体"/>
          <w:color w:val="2F2F2F"/>
          <w:sz w:val="23"/>
          <w:szCs w:val="23"/>
        </w:rPr>
        <w:t>com</w:t>
      </w:r>
      <w:r>
        <w:rPr>
          <w:rFonts w:ascii="楷体" w:hAnsi="楷体" w:eastAsia="楷体" w:cs="楷体"/>
          <w:color w:val="2F2F2F"/>
          <w:spacing w:val="14"/>
          <w:sz w:val="23"/>
          <w:szCs w:val="23"/>
        </w:rPr>
        <w:t>】、电子邮件【</w:t>
      </w:r>
      <w:r>
        <w:rPr>
          <w:rFonts w:ascii="楷体" w:hAnsi="楷体" w:eastAsia="楷体" w:cs="楷体"/>
          <w:color w:val="2F2F2F"/>
          <w:sz w:val="23"/>
          <w:szCs w:val="23"/>
        </w:rPr>
        <w:t>customerservice</w:t>
      </w:r>
      <w:r>
        <w:rPr>
          <w:rFonts w:ascii="楷体" w:hAnsi="楷体" w:eastAsia="楷体" w:cs="楷体"/>
          <w:color w:val="2F2F2F"/>
          <w:spacing w:val="14"/>
          <w:sz w:val="23"/>
          <w:szCs w:val="23"/>
        </w:rPr>
        <w:t>@</w:t>
      </w:r>
      <w:r>
        <w:rPr>
          <w:rFonts w:ascii="楷体" w:hAnsi="楷体" w:eastAsia="楷体" w:cs="楷体"/>
          <w:color w:val="2F2F2F"/>
          <w:sz w:val="23"/>
          <w:szCs w:val="23"/>
        </w:rPr>
        <w:t>citic</w:t>
      </w:r>
      <w:r>
        <w:rPr>
          <w:rFonts w:ascii="楷体" w:hAnsi="楷体" w:eastAsia="楷体" w:cs="楷体"/>
          <w:color w:val="2F2F2F"/>
          <w:spacing w:val="14"/>
          <w:sz w:val="23"/>
          <w:szCs w:val="23"/>
        </w:rPr>
        <w:t>-</w:t>
      </w:r>
      <w:r>
        <w:rPr>
          <w:rFonts w:ascii="楷体" w:hAnsi="楷体" w:eastAsia="楷体" w:cs="楷体"/>
          <w:color w:val="2F2F2F"/>
          <w:sz w:val="23"/>
          <w:szCs w:val="23"/>
        </w:rPr>
        <w:t>wealth</w:t>
      </w:r>
      <w:r>
        <w:rPr>
          <w:rFonts w:ascii="楷体" w:hAnsi="楷体" w:eastAsia="楷体" w:cs="楷体"/>
          <w:color w:val="2F2F2F"/>
          <w:spacing w:val="14"/>
          <w:sz w:val="23"/>
          <w:szCs w:val="23"/>
        </w:rPr>
        <w:t>.</w:t>
      </w:r>
      <w:r>
        <w:rPr>
          <w:rFonts w:ascii="楷体" w:hAnsi="楷体" w:eastAsia="楷体" w:cs="楷体"/>
          <w:color w:val="2F2F2F"/>
          <w:sz w:val="23"/>
          <w:szCs w:val="23"/>
        </w:rPr>
        <w:t>com</w:t>
      </w:r>
      <w:r>
        <w:rPr>
          <w:rFonts w:ascii="楷体" w:hAnsi="楷体" w:eastAsia="楷体" w:cs="楷体"/>
          <w:color w:val="2F2F2F"/>
          <w:spacing w:val="13"/>
          <w:sz w:val="23"/>
          <w:szCs w:val="23"/>
        </w:rPr>
        <w:t>】</w:t>
      </w:r>
      <w:r>
        <w:rPr>
          <w:rFonts w:ascii="楷体" w:hAnsi="楷体" w:eastAsia="楷体" w:cs="楷体"/>
          <w:color w:val="2F2F2F"/>
          <w:sz w:val="23"/>
          <w:szCs w:val="23"/>
        </w:rPr>
        <w:t xml:space="preserve"> </w:t>
      </w:r>
      <w:r>
        <w:rPr>
          <w:rFonts w:ascii="楷体" w:hAnsi="楷体" w:eastAsia="楷体" w:cs="楷体"/>
          <w:color w:val="2F2F2F"/>
          <w:spacing w:val="18"/>
          <w:sz w:val="23"/>
          <w:szCs w:val="23"/>
        </w:rPr>
        <w:t>等。信</w:t>
      </w:r>
      <w:r>
        <w:rPr>
          <w:rFonts w:ascii="楷体" w:hAnsi="楷体" w:eastAsia="楷体" w:cs="楷体"/>
          <w:color w:val="2F2F2F"/>
          <w:spacing w:val="13"/>
          <w:sz w:val="23"/>
          <w:szCs w:val="23"/>
        </w:rPr>
        <w:t>银</w:t>
      </w:r>
      <w:r>
        <w:rPr>
          <w:rFonts w:ascii="楷体" w:hAnsi="楷体" w:eastAsia="楷体" w:cs="楷体"/>
          <w:color w:val="2F2F2F"/>
          <w:spacing w:val="9"/>
          <w:sz w:val="23"/>
          <w:szCs w:val="23"/>
        </w:rPr>
        <w:t>理财将安排专人及时收集理财业务客户投诉，并在收到客户投诉的第一时间内与客户</w:t>
      </w:r>
      <w:r>
        <w:rPr>
          <w:rFonts w:ascii="楷体" w:hAnsi="楷体" w:eastAsia="楷体" w:cs="楷体"/>
          <w:color w:val="2F2F2F"/>
          <w:sz w:val="23"/>
          <w:szCs w:val="23"/>
        </w:rPr>
        <w:t xml:space="preserve"> </w:t>
      </w:r>
      <w:r>
        <w:rPr>
          <w:rFonts w:ascii="楷体" w:hAnsi="楷体" w:eastAsia="楷体" w:cs="楷体"/>
          <w:color w:val="2F2F2F"/>
          <w:spacing w:val="16"/>
          <w:sz w:val="23"/>
          <w:szCs w:val="23"/>
        </w:rPr>
        <w:t>取</w:t>
      </w:r>
      <w:r>
        <w:rPr>
          <w:rFonts w:ascii="楷体" w:hAnsi="楷体" w:eastAsia="楷体" w:cs="楷体"/>
          <w:color w:val="2F2F2F"/>
          <w:spacing w:val="10"/>
          <w:sz w:val="23"/>
          <w:szCs w:val="23"/>
        </w:rPr>
        <w:t>得</w:t>
      </w:r>
      <w:r>
        <w:rPr>
          <w:rFonts w:ascii="楷体" w:hAnsi="楷体" w:eastAsia="楷体" w:cs="楷体"/>
          <w:color w:val="2F2F2F"/>
          <w:spacing w:val="8"/>
          <w:sz w:val="23"/>
          <w:szCs w:val="23"/>
        </w:rPr>
        <w:t>联系，及时处理并进行反馈。</w:t>
      </w:r>
    </w:p>
    <w:p>
      <w:pPr>
        <w:spacing w:before="1" w:line="263" w:lineRule="auto"/>
        <w:ind w:left="11" w:right="110" w:firstLine="479"/>
        <w:rPr>
          <w:rFonts w:ascii="楷体" w:hAnsi="楷体" w:eastAsia="楷体" w:cs="楷体"/>
          <w:sz w:val="23"/>
          <w:szCs w:val="23"/>
        </w:rPr>
      </w:pPr>
      <w:r>
        <w:rPr>
          <w:rFonts w:ascii="楷体" w:hAnsi="楷体" w:eastAsia="楷体" w:cs="楷体"/>
          <w:color w:val="2F2F2F"/>
          <w:spacing w:val="10"/>
          <w:sz w:val="23"/>
          <w:szCs w:val="23"/>
        </w:rPr>
        <w:t>投资者通过受信银理财委托进行产品销售的机构 (代销机构) 购买理财产品的，还可按</w:t>
      </w:r>
      <w:r>
        <w:rPr>
          <w:rFonts w:ascii="楷体" w:hAnsi="楷体" w:eastAsia="楷体" w:cs="楷体"/>
          <w:color w:val="2F2F2F"/>
          <w:spacing w:val="5"/>
          <w:sz w:val="23"/>
          <w:szCs w:val="23"/>
        </w:rPr>
        <w:t>照</w:t>
      </w:r>
      <w:r>
        <w:rPr>
          <w:rFonts w:ascii="楷体" w:hAnsi="楷体" w:eastAsia="楷体" w:cs="楷体"/>
          <w:color w:val="2F2F2F"/>
          <w:sz w:val="23"/>
          <w:szCs w:val="23"/>
        </w:rPr>
        <w:t xml:space="preserve"> </w:t>
      </w:r>
      <w:r>
        <w:rPr>
          <w:rFonts w:ascii="楷体" w:hAnsi="楷体" w:eastAsia="楷体" w:cs="楷体"/>
          <w:color w:val="2F2F2F"/>
          <w:spacing w:val="9"/>
          <w:sz w:val="23"/>
          <w:szCs w:val="23"/>
        </w:rPr>
        <w:t>代销机构公布的投诉渠道和方式进行投诉</w:t>
      </w:r>
      <w:r>
        <w:rPr>
          <w:rFonts w:ascii="楷体" w:hAnsi="楷体" w:eastAsia="楷体" w:cs="楷体"/>
          <w:color w:val="2F2F2F"/>
          <w:spacing w:val="5"/>
          <w:sz w:val="23"/>
          <w:szCs w:val="23"/>
        </w:rPr>
        <w:t>。</w:t>
      </w:r>
    </w:p>
    <w:p>
      <w:pPr>
        <w:spacing w:before="279" w:line="302" w:lineRule="exact"/>
        <w:ind w:left="494"/>
        <w:rPr>
          <w:rFonts w:ascii="黑体" w:hAnsi="黑体" w:eastAsia="黑体" w:cs="黑体"/>
          <w:sz w:val="23"/>
          <w:szCs w:val="23"/>
        </w:rPr>
      </w:pPr>
      <w:r>
        <w:rPr>
          <w:rFonts w:ascii="黑体" w:hAnsi="黑体" w:eastAsia="黑体" w:cs="黑体"/>
          <w:color w:val="2F2F2F"/>
          <w:spacing w:val="9"/>
          <w:position w:val="1"/>
          <w:sz w:val="23"/>
          <w:szCs w:val="23"/>
        </w:rPr>
        <w:t>五</w:t>
      </w:r>
      <w:r>
        <w:rPr>
          <w:rFonts w:ascii="黑体" w:hAnsi="黑体" w:eastAsia="黑体" w:cs="黑体"/>
          <w:color w:val="2F2F2F"/>
          <w:spacing w:val="7"/>
          <w:position w:val="1"/>
          <w:sz w:val="23"/>
          <w:szCs w:val="23"/>
        </w:rPr>
        <w:t>、客户须知</w:t>
      </w:r>
    </w:p>
    <w:p>
      <w:pPr>
        <w:spacing w:before="86" w:line="229" w:lineRule="auto"/>
        <w:ind w:left="489"/>
        <w:rPr>
          <w:rFonts w:ascii="黑体" w:hAnsi="黑体" w:eastAsia="黑体" w:cs="黑体"/>
          <w:sz w:val="23"/>
          <w:szCs w:val="23"/>
        </w:rPr>
      </w:pPr>
      <w:r>
        <w:rPr>
          <w:rFonts w:ascii="黑体" w:hAnsi="黑体" w:eastAsia="黑体" w:cs="黑体"/>
          <w:spacing w:val="12"/>
          <w:sz w:val="23"/>
          <w:szCs w:val="23"/>
        </w:rPr>
        <w:t>郑</w:t>
      </w:r>
      <w:r>
        <w:rPr>
          <w:rFonts w:ascii="黑体" w:hAnsi="黑体" w:eastAsia="黑体" w:cs="黑体"/>
          <w:spacing w:val="9"/>
          <w:sz w:val="23"/>
          <w:szCs w:val="23"/>
        </w:rPr>
        <w:t>重提示您在购买信银理财理财产品时注意以下事项：</w:t>
      </w:r>
    </w:p>
    <w:p>
      <w:pPr>
        <w:spacing w:before="183" w:line="355" w:lineRule="auto"/>
        <w:ind w:left="843" w:right="113" w:hanging="343"/>
        <w:rPr>
          <w:rFonts w:ascii="黑体" w:hAnsi="黑体" w:eastAsia="黑体" w:cs="黑体"/>
          <w:sz w:val="23"/>
          <w:szCs w:val="23"/>
        </w:rPr>
      </w:pPr>
      <w:r>
        <w:rPr>
          <w:rFonts w:ascii="黑体" w:hAnsi="黑体" w:eastAsia="黑体" w:cs="黑体"/>
          <w:spacing w:val="12"/>
          <w:sz w:val="23"/>
          <w:szCs w:val="23"/>
        </w:rPr>
        <w:t>1. 信银</w:t>
      </w:r>
      <w:r>
        <w:rPr>
          <w:rFonts w:ascii="黑体" w:hAnsi="黑体" w:eastAsia="黑体" w:cs="黑体"/>
          <w:spacing w:val="7"/>
          <w:sz w:val="23"/>
          <w:szCs w:val="23"/>
        </w:rPr>
        <w:t>理</w:t>
      </w:r>
      <w:r>
        <w:rPr>
          <w:rFonts w:ascii="黑体" w:hAnsi="黑体" w:eastAsia="黑体" w:cs="黑体"/>
          <w:spacing w:val="6"/>
          <w:sz w:val="23"/>
          <w:szCs w:val="23"/>
        </w:rPr>
        <w:t>财发行的所有理财产品都将披露理财产品登记编码。投资者可以依据该理财产品</w:t>
      </w:r>
      <w:r>
        <w:rPr>
          <w:rFonts w:ascii="黑体" w:hAnsi="黑体" w:eastAsia="黑体" w:cs="黑体"/>
          <w:sz w:val="23"/>
          <w:szCs w:val="23"/>
        </w:rPr>
        <w:t xml:space="preserve"> </w:t>
      </w:r>
      <w:r>
        <w:rPr>
          <w:rFonts w:ascii="黑体" w:hAnsi="黑体" w:eastAsia="黑体" w:cs="黑体"/>
          <w:spacing w:val="16"/>
          <w:sz w:val="23"/>
          <w:szCs w:val="23"/>
        </w:rPr>
        <w:t>登记</w:t>
      </w:r>
      <w:r>
        <w:rPr>
          <w:rFonts w:ascii="黑体" w:hAnsi="黑体" w:eastAsia="黑体" w:cs="黑体"/>
          <w:spacing w:val="15"/>
          <w:sz w:val="23"/>
          <w:szCs w:val="23"/>
        </w:rPr>
        <w:t>编</w:t>
      </w:r>
      <w:r>
        <w:rPr>
          <w:rFonts w:ascii="黑体" w:hAnsi="黑体" w:eastAsia="黑体" w:cs="黑体"/>
          <w:spacing w:val="8"/>
          <w:sz w:val="23"/>
          <w:szCs w:val="23"/>
        </w:rPr>
        <w:t>码在中国理财网 (</w:t>
      </w:r>
      <w:r>
        <w:rPr>
          <w:rFonts w:ascii="黑体" w:hAnsi="黑体" w:eastAsia="黑体" w:cs="黑体"/>
          <w:sz w:val="23"/>
          <w:szCs w:val="23"/>
        </w:rPr>
        <w:t>www</w:t>
      </w:r>
      <w:r>
        <w:rPr>
          <w:rFonts w:ascii="黑体" w:hAnsi="黑体" w:eastAsia="黑体" w:cs="黑体"/>
          <w:spacing w:val="8"/>
          <w:sz w:val="23"/>
          <w:szCs w:val="23"/>
        </w:rPr>
        <w:t>.</w:t>
      </w:r>
      <w:r>
        <w:rPr>
          <w:rFonts w:ascii="黑体" w:hAnsi="黑体" w:eastAsia="黑体" w:cs="黑体"/>
          <w:sz w:val="23"/>
          <w:szCs w:val="23"/>
        </w:rPr>
        <w:t>chinawealth</w:t>
      </w:r>
      <w:r>
        <w:rPr>
          <w:rFonts w:ascii="黑体" w:hAnsi="黑体" w:eastAsia="黑体" w:cs="黑体"/>
          <w:spacing w:val="8"/>
          <w:sz w:val="23"/>
          <w:szCs w:val="23"/>
        </w:rPr>
        <w:t>.</w:t>
      </w:r>
      <w:r>
        <w:rPr>
          <w:rFonts w:ascii="黑体" w:hAnsi="黑体" w:eastAsia="黑体" w:cs="黑体"/>
          <w:sz w:val="23"/>
          <w:szCs w:val="23"/>
        </w:rPr>
        <w:t>com</w:t>
      </w:r>
      <w:r>
        <w:rPr>
          <w:rFonts w:ascii="黑体" w:hAnsi="黑体" w:eastAsia="黑体" w:cs="黑体"/>
          <w:spacing w:val="8"/>
          <w:sz w:val="23"/>
          <w:szCs w:val="23"/>
        </w:rPr>
        <w:t>.</w:t>
      </w:r>
      <w:r>
        <w:rPr>
          <w:rFonts w:ascii="黑体" w:hAnsi="黑体" w:eastAsia="黑体" w:cs="黑体"/>
          <w:sz w:val="23"/>
          <w:szCs w:val="23"/>
        </w:rPr>
        <w:t>cn</w:t>
      </w:r>
      <w:r>
        <w:rPr>
          <w:rFonts w:ascii="黑体" w:hAnsi="黑体" w:eastAsia="黑体" w:cs="黑体"/>
          <w:spacing w:val="8"/>
          <w:sz w:val="23"/>
          <w:szCs w:val="23"/>
        </w:rPr>
        <w:t>) 上查询产品相关信息。理财产品登</w:t>
      </w:r>
      <w:r>
        <w:rPr>
          <w:rFonts w:ascii="黑体" w:hAnsi="黑体" w:eastAsia="黑体" w:cs="黑体"/>
          <w:sz w:val="23"/>
          <w:szCs w:val="23"/>
        </w:rPr>
        <w:t xml:space="preserve"> </w:t>
      </w:r>
      <w:r>
        <w:rPr>
          <w:rFonts w:ascii="黑体" w:hAnsi="黑体" w:eastAsia="黑体" w:cs="黑体"/>
          <w:spacing w:val="7"/>
          <w:sz w:val="23"/>
          <w:szCs w:val="23"/>
        </w:rPr>
        <w:t>记编码是全国银行业理财信息登记系统赋予所有银行 (及银行理财子公司) 理财产品</w:t>
      </w:r>
      <w:r>
        <w:rPr>
          <w:rFonts w:ascii="黑体" w:hAnsi="黑体" w:eastAsia="黑体" w:cs="黑体"/>
          <w:spacing w:val="6"/>
          <w:sz w:val="23"/>
          <w:szCs w:val="23"/>
        </w:rPr>
        <w:t>的</w:t>
      </w:r>
      <w:r>
        <w:rPr>
          <w:rFonts w:ascii="黑体" w:hAnsi="黑体" w:eastAsia="黑体" w:cs="黑体"/>
          <w:sz w:val="23"/>
          <w:szCs w:val="23"/>
        </w:rPr>
        <w:t xml:space="preserve"> </w:t>
      </w:r>
      <w:r>
        <w:rPr>
          <w:rFonts w:ascii="黑体" w:hAnsi="黑体" w:eastAsia="黑体" w:cs="黑体"/>
          <w:spacing w:val="14"/>
          <w:sz w:val="23"/>
          <w:szCs w:val="23"/>
        </w:rPr>
        <w:t>标</w:t>
      </w:r>
      <w:r>
        <w:rPr>
          <w:rFonts w:ascii="黑体" w:hAnsi="黑体" w:eastAsia="黑体" w:cs="黑体"/>
          <w:spacing w:val="13"/>
          <w:sz w:val="23"/>
          <w:szCs w:val="23"/>
        </w:rPr>
        <w:t>识</w:t>
      </w:r>
      <w:r>
        <w:rPr>
          <w:rFonts w:ascii="黑体" w:hAnsi="黑体" w:eastAsia="黑体" w:cs="黑体"/>
          <w:spacing w:val="7"/>
          <w:sz w:val="23"/>
          <w:szCs w:val="23"/>
        </w:rPr>
        <w:t>码，每个登记编码具有唯一性，是您判断理财产品是否合法合规、是否真实可靠的</w:t>
      </w:r>
      <w:r>
        <w:rPr>
          <w:rFonts w:ascii="黑体" w:hAnsi="黑体" w:eastAsia="黑体" w:cs="黑体"/>
          <w:sz w:val="23"/>
          <w:szCs w:val="23"/>
        </w:rPr>
        <w:t xml:space="preserve"> </w:t>
      </w:r>
      <w:r>
        <w:rPr>
          <w:rFonts w:ascii="黑体" w:hAnsi="黑体" w:eastAsia="黑体" w:cs="黑体"/>
          <w:spacing w:val="14"/>
          <w:sz w:val="23"/>
          <w:szCs w:val="23"/>
        </w:rPr>
        <w:t>重</w:t>
      </w:r>
      <w:r>
        <w:rPr>
          <w:rFonts w:ascii="黑体" w:hAnsi="黑体" w:eastAsia="黑体" w:cs="黑体"/>
          <w:spacing w:val="13"/>
          <w:sz w:val="23"/>
          <w:szCs w:val="23"/>
        </w:rPr>
        <w:t>要</w:t>
      </w:r>
      <w:r>
        <w:rPr>
          <w:rFonts w:ascii="黑体" w:hAnsi="黑体" w:eastAsia="黑体" w:cs="黑体"/>
          <w:spacing w:val="7"/>
          <w:sz w:val="23"/>
          <w:szCs w:val="23"/>
        </w:rPr>
        <w:t>依据。如您购买的理财产品未公示登记编码，或通过其公示的登记编码无法在中国</w:t>
      </w:r>
      <w:r>
        <w:rPr>
          <w:rFonts w:ascii="黑体" w:hAnsi="黑体" w:eastAsia="黑体" w:cs="黑体"/>
          <w:sz w:val="23"/>
          <w:szCs w:val="23"/>
        </w:rPr>
        <w:t xml:space="preserve"> </w:t>
      </w:r>
      <w:r>
        <w:rPr>
          <w:rFonts w:ascii="黑体" w:hAnsi="黑体" w:eastAsia="黑体" w:cs="黑体"/>
          <w:spacing w:val="16"/>
          <w:sz w:val="23"/>
          <w:szCs w:val="23"/>
        </w:rPr>
        <w:t>理财</w:t>
      </w:r>
      <w:r>
        <w:rPr>
          <w:rFonts w:ascii="黑体" w:hAnsi="黑体" w:eastAsia="黑体" w:cs="黑体"/>
          <w:spacing w:val="15"/>
          <w:sz w:val="23"/>
          <w:szCs w:val="23"/>
        </w:rPr>
        <w:t>网</w:t>
      </w:r>
      <w:r>
        <w:rPr>
          <w:rFonts w:ascii="黑体" w:hAnsi="黑体" w:eastAsia="黑体" w:cs="黑体"/>
          <w:spacing w:val="8"/>
          <w:sz w:val="23"/>
          <w:szCs w:val="23"/>
        </w:rPr>
        <w:t xml:space="preserve"> (</w:t>
      </w:r>
      <w:r>
        <w:rPr>
          <w:rFonts w:ascii="黑体" w:hAnsi="黑体" w:eastAsia="黑体" w:cs="黑体"/>
          <w:sz w:val="23"/>
          <w:szCs w:val="23"/>
        </w:rPr>
        <w:t>www</w:t>
      </w:r>
      <w:r>
        <w:rPr>
          <w:rFonts w:ascii="黑体" w:hAnsi="黑体" w:eastAsia="黑体" w:cs="黑体"/>
          <w:spacing w:val="8"/>
          <w:sz w:val="23"/>
          <w:szCs w:val="23"/>
        </w:rPr>
        <w:t>.</w:t>
      </w:r>
      <w:r>
        <w:rPr>
          <w:rFonts w:ascii="黑体" w:hAnsi="黑体" w:eastAsia="黑体" w:cs="黑体"/>
          <w:sz w:val="23"/>
          <w:szCs w:val="23"/>
        </w:rPr>
        <w:t>chinawealth</w:t>
      </w:r>
      <w:r>
        <w:rPr>
          <w:rFonts w:ascii="黑体" w:hAnsi="黑体" w:eastAsia="黑体" w:cs="黑体"/>
          <w:spacing w:val="8"/>
          <w:sz w:val="23"/>
          <w:szCs w:val="23"/>
        </w:rPr>
        <w:t>.</w:t>
      </w:r>
      <w:r>
        <w:rPr>
          <w:rFonts w:ascii="黑体" w:hAnsi="黑体" w:eastAsia="黑体" w:cs="黑体"/>
          <w:sz w:val="23"/>
          <w:szCs w:val="23"/>
        </w:rPr>
        <w:t>com</w:t>
      </w:r>
      <w:r>
        <w:rPr>
          <w:rFonts w:ascii="黑体" w:hAnsi="黑体" w:eastAsia="黑体" w:cs="黑体"/>
          <w:spacing w:val="8"/>
          <w:sz w:val="23"/>
          <w:szCs w:val="23"/>
        </w:rPr>
        <w:t>.</w:t>
      </w:r>
      <w:r>
        <w:rPr>
          <w:rFonts w:ascii="黑体" w:hAnsi="黑体" w:eastAsia="黑体" w:cs="黑体"/>
          <w:sz w:val="23"/>
          <w:szCs w:val="23"/>
        </w:rPr>
        <w:t>cn</w:t>
      </w:r>
      <w:r>
        <w:rPr>
          <w:rFonts w:ascii="黑体" w:hAnsi="黑体" w:eastAsia="黑体" w:cs="黑体"/>
          <w:spacing w:val="8"/>
          <w:sz w:val="23"/>
          <w:szCs w:val="23"/>
        </w:rPr>
        <w:t>) 上查询到产品相关信息，则该产品非信银理财发行</w:t>
      </w:r>
      <w:r>
        <w:rPr>
          <w:rFonts w:ascii="黑体" w:hAnsi="黑体" w:eastAsia="黑体" w:cs="黑体"/>
          <w:sz w:val="23"/>
          <w:szCs w:val="23"/>
        </w:rPr>
        <w:t xml:space="preserve"> </w:t>
      </w:r>
      <w:r>
        <w:rPr>
          <w:rFonts w:ascii="黑体" w:hAnsi="黑体" w:eastAsia="黑体" w:cs="黑体"/>
          <w:spacing w:val="5"/>
          <w:sz w:val="23"/>
          <w:szCs w:val="23"/>
        </w:rPr>
        <w:t>产品。</w:t>
      </w:r>
    </w:p>
    <w:p>
      <w:pPr>
        <w:spacing w:line="263" w:lineRule="auto"/>
        <w:rPr>
          <w:rFonts w:ascii="Arial"/>
          <w:sz w:val="21"/>
        </w:rPr>
      </w:pPr>
    </w:p>
    <w:p>
      <w:pPr>
        <w:spacing w:before="75" w:line="347" w:lineRule="auto"/>
        <w:ind w:left="846" w:right="54" w:hanging="360"/>
        <w:rPr>
          <w:rFonts w:ascii="黑体" w:hAnsi="黑体" w:eastAsia="黑体" w:cs="黑体"/>
          <w:sz w:val="23"/>
          <w:szCs w:val="23"/>
        </w:rPr>
      </w:pPr>
      <w:r>
        <w:rPr>
          <w:rFonts w:ascii="黑体" w:hAnsi="黑体" w:eastAsia="黑体" w:cs="黑体"/>
          <w:spacing w:val="16"/>
          <w:sz w:val="23"/>
          <w:szCs w:val="23"/>
        </w:rPr>
        <w:t>2.</w:t>
      </w:r>
      <w:r>
        <w:rPr>
          <w:rFonts w:ascii="黑体" w:hAnsi="黑体" w:eastAsia="黑体" w:cs="黑体"/>
          <w:spacing w:val="13"/>
          <w:sz w:val="23"/>
          <w:szCs w:val="23"/>
        </w:rPr>
        <w:t xml:space="preserve"> </w:t>
      </w:r>
      <w:r>
        <w:rPr>
          <w:rFonts w:ascii="黑体" w:hAnsi="黑体" w:eastAsia="黑体" w:cs="黑体"/>
          <w:spacing w:val="8"/>
          <w:sz w:val="23"/>
          <w:szCs w:val="23"/>
        </w:rPr>
        <w:t>信银理财《理财产品说明书》中除明确规定的收益及收益分配方式外，任何预期收益、</w:t>
      </w:r>
      <w:r>
        <w:rPr>
          <w:rFonts w:ascii="黑体" w:hAnsi="黑体" w:eastAsia="黑体" w:cs="黑体"/>
          <w:sz w:val="23"/>
          <w:szCs w:val="23"/>
        </w:rPr>
        <w:t xml:space="preserve"> </w:t>
      </w:r>
      <w:r>
        <w:rPr>
          <w:rFonts w:ascii="黑体" w:hAnsi="黑体" w:eastAsia="黑体" w:cs="黑体"/>
          <w:spacing w:val="14"/>
          <w:sz w:val="23"/>
          <w:szCs w:val="23"/>
        </w:rPr>
        <w:t>预</w:t>
      </w:r>
      <w:r>
        <w:rPr>
          <w:rFonts w:ascii="黑体" w:hAnsi="黑体" w:eastAsia="黑体" w:cs="黑体"/>
          <w:spacing w:val="9"/>
          <w:sz w:val="23"/>
          <w:szCs w:val="23"/>
        </w:rPr>
        <w:t>计</w:t>
      </w:r>
      <w:r>
        <w:rPr>
          <w:rFonts w:ascii="黑体" w:hAnsi="黑体" w:eastAsia="黑体" w:cs="黑体"/>
          <w:spacing w:val="7"/>
          <w:sz w:val="23"/>
          <w:szCs w:val="23"/>
        </w:rPr>
        <w:t>收益、测算收益或类似表述均属不具有法律约束力的用语，不代表投资者可能获得</w:t>
      </w:r>
      <w:r>
        <w:rPr>
          <w:rFonts w:ascii="黑体" w:hAnsi="黑体" w:eastAsia="黑体" w:cs="黑体"/>
          <w:sz w:val="23"/>
          <w:szCs w:val="23"/>
        </w:rPr>
        <w:t xml:space="preserve"> </w:t>
      </w:r>
      <w:r>
        <w:rPr>
          <w:rFonts w:ascii="黑体" w:hAnsi="黑体" w:eastAsia="黑体" w:cs="黑体"/>
          <w:spacing w:val="14"/>
          <w:sz w:val="23"/>
          <w:szCs w:val="23"/>
        </w:rPr>
        <w:t>的</w:t>
      </w:r>
      <w:r>
        <w:rPr>
          <w:rFonts w:ascii="黑体" w:hAnsi="黑体" w:eastAsia="黑体" w:cs="黑体"/>
          <w:spacing w:val="9"/>
          <w:sz w:val="23"/>
          <w:szCs w:val="23"/>
        </w:rPr>
        <w:t>实</w:t>
      </w:r>
      <w:r>
        <w:rPr>
          <w:rFonts w:ascii="黑体" w:hAnsi="黑体" w:eastAsia="黑体" w:cs="黑体"/>
          <w:spacing w:val="7"/>
          <w:sz w:val="23"/>
          <w:szCs w:val="23"/>
        </w:rPr>
        <w:t>际收益，亦不构成信银理财对理财产品的任何收益承诺。信银理财理财产品不保障</w:t>
      </w:r>
      <w:r>
        <w:rPr>
          <w:rFonts w:ascii="黑体" w:hAnsi="黑体" w:eastAsia="黑体" w:cs="黑体"/>
          <w:sz w:val="23"/>
          <w:szCs w:val="23"/>
        </w:rPr>
        <w:t xml:space="preserve"> </w:t>
      </w:r>
      <w:r>
        <w:rPr>
          <w:rFonts w:ascii="黑体" w:hAnsi="黑体" w:eastAsia="黑体" w:cs="黑体"/>
          <w:spacing w:val="14"/>
          <w:sz w:val="23"/>
          <w:szCs w:val="23"/>
        </w:rPr>
        <w:t>理</w:t>
      </w:r>
      <w:r>
        <w:rPr>
          <w:rFonts w:ascii="黑体" w:hAnsi="黑体" w:eastAsia="黑体" w:cs="黑体"/>
          <w:spacing w:val="9"/>
          <w:sz w:val="23"/>
          <w:szCs w:val="23"/>
        </w:rPr>
        <w:t>财</w:t>
      </w:r>
      <w:r>
        <w:rPr>
          <w:rFonts w:ascii="黑体" w:hAnsi="黑体" w:eastAsia="黑体" w:cs="黑体"/>
          <w:spacing w:val="7"/>
          <w:sz w:val="23"/>
          <w:szCs w:val="23"/>
        </w:rPr>
        <w:t>本金和收益，投资者所能获得的最终收益以理财产品最终清算的投资者可得收益为</w:t>
      </w:r>
      <w:r>
        <w:rPr>
          <w:rFonts w:ascii="黑体" w:hAnsi="黑体" w:eastAsia="黑体" w:cs="黑体"/>
          <w:sz w:val="23"/>
          <w:szCs w:val="23"/>
        </w:rPr>
        <w:t xml:space="preserve"> </w:t>
      </w:r>
      <w:r>
        <w:rPr>
          <w:rFonts w:ascii="黑体" w:hAnsi="黑体" w:eastAsia="黑体" w:cs="黑体"/>
          <w:spacing w:val="18"/>
          <w:sz w:val="23"/>
          <w:szCs w:val="23"/>
        </w:rPr>
        <w:t>准</w:t>
      </w:r>
      <w:r>
        <w:rPr>
          <w:rFonts w:ascii="黑体" w:hAnsi="黑体" w:eastAsia="黑体" w:cs="黑体"/>
          <w:spacing w:val="15"/>
          <w:sz w:val="23"/>
          <w:szCs w:val="23"/>
        </w:rPr>
        <w:t>。</w:t>
      </w:r>
      <w:r>
        <w:rPr>
          <w:rFonts w:ascii="黑体" w:hAnsi="黑体" w:eastAsia="黑体" w:cs="黑体"/>
          <w:spacing w:val="9"/>
          <w:sz w:val="23"/>
          <w:szCs w:val="23"/>
        </w:rPr>
        <w:t>产品过往业绩不代表其未来表现，不构成新发理财产品业绩表现的保证。</w:t>
      </w:r>
    </w:p>
    <w:sectPr>
      <w:headerReference r:id="rId6" w:type="default"/>
      <w:pgSz w:w="11906" w:h="16839"/>
      <w:pgMar w:top="1196" w:right="908" w:bottom="0" w:left="1020" w:header="886"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465"/>
      <w:jc w:val="right"/>
      <w:rPr>
        <w:rFonts w:ascii="黑体" w:hAnsi="黑体" w:eastAsia="黑体" w:cs="黑体"/>
        <w:sz w:val="23"/>
        <w:szCs w:val="23"/>
      </w:rPr>
    </w:pPr>
    <w:r>
      <w:pict>
        <v:shape id="_x0000_s2049" o:spid="_x0000_s2049" style="position:absolute;left:0pt;margin-left:51.05pt;margin-top:59.1pt;height:0.75pt;width:493.25pt;mso-position-horizontal-relative:page;mso-position-vertical-relative:page;z-index:251659264;mso-width-relative:page;mso-height-relative:page;" fillcolor="#000000" filled="t" stroked="f" coordsize="9865,15" o:allowincell="f" path="m0,0l9864,0,9864,14,0,14,0,0xe">
          <v:fill on="t" focussize="0,0"/>
          <v:stroke on="f"/>
          <v:imagedata o:title=""/>
          <o:lock v:ext="edit"/>
        </v:shape>
      </w:pict>
    </w:r>
    <w:r>
      <w:rPr>
        <w:rFonts w:ascii="黑体" w:hAnsi="黑体" w:eastAsia="黑体" w:cs="黑体"/>
        <w:spacing w:val="15"/>
        <w:sz w:val="23"/>
        <w:szCs w:val="23"/>
        <w14:textOutline w14:w="4358" w14:cap="sq" w14:cmpd="sng">
          <w14:solidFill>
            <w14:srgbClr w14:val="000000"/>
          </w14:solidFill>
          <w14:prstDash w14:val="solid"/>
          <w14:bevel/>
        </w14:textOutline>
      </w:rPr>
      <w:t>理</w:t>
    </w:r>
    <w:r>
      <w:rPr>
        <w:rFonts w:ascii="黑体" w:hAnsi="黑体" w:eastAsia="黑体" w:cs="黑体"/>
        <w:spacing w:val="10"/>
        <w:sz w:val="23"/>
        <w:szCs w:val="23"/>
        <w14:textOutline w14:w="4358" w14:cap="sq" w14:cmpd="sng">
          <w14:solidFill>
            <w14:srgbClr w14:val="000000"/>
          </w14:solidFill>
          <w14:prstDash w14:val="solid"/>
          <w14:bevel/>
        </w14:textOutline>
      </w:rPr>
      <w:t>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98"/>
      <w:jc w:val="right"/>
      <w:rPr>
        <w:rFonts w:ascii="黑体" w:hAnsi="黑体" w:eastAsia="黑体" w:cs="黑体"/>
        <w:sz w:val="23"/>
        <w:szCs w:val="23"/>
      </w:rPr>
    </w:pPr>
    <w:r>
      <w:pict>
        <v:shape id="_x0000_s2050" o:spid="_x0000_s2050" style="position:absolute;left:0pt;margin-left:51.05pt;margin-top:59.1pt;height:0.75pt;width:493.25pt;mso-position-horizontal-relative:page;mso-position-vertical-relative:page;z-index:251660288;mso-width-relative:page;mso-height-relative:page;" fillcolor="#000000" filled="t" stroked="f" coordsize="9865,15" o:allowincell="f" path="m0,0l9864,0,9864,14,0,14,0,0xe">
          <v:fill on="t" focussize="0,0"/>
          <v:stroke on="f"/>
          <v:imagedata o:title=""/>
          <o:lock v:ext="edit"/>
        </v:shape>
      </w:pict>
    </w:r>
    <w:r>
      <w:rPr>
        <w:rFonts w:ascii="黑体" w:hAnsi="黑体" w:eastAsia="黑体" w:cs="黑体"/>
        <w:spacing w:val="15"/>
        <w:sz w:val="23"/>
        <w:szCs w:val="23"/>
        <w14:textOutline w14:w="4358" w14:cap="sq" w14:cmpd="sng">
          <w14:solidFill>
            <w14:srgbClr w14:val="000000"/>
          </w14:solidFill>
          <w14:prstDash w14:val="solid"/>
          <w14:bevel/>
        </w14:textOutline>
      </w:rPr>
      <w:t>理</w:t>
    </w:r>
    <w:r>
      <w:rPr>
        <w:rFonts w:ascii="黑体" w:hAnsi="黑体" w:eastAsia="黑体" w:cs="黑体"/>
        <w:spacing w:val="10"/>
        <w:sz w:val="23"/>
        <w:szCs w:val="23"/>
        <w14:textOutline w14:w="4358" w14:cap="sq" w14:cmpd="sng">
          <w14:solidFill>
            <w14:srgbClr w14:val="000000"/>
          </w14:solidFill>
          <w14:prstDash w14:val="solid"/>
          <w14:bevel/>
        </w14:textOutline>
      </w:rPr>
      <w:t>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8CE08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1453</Words>
  <Characters>1594</Characters>
  <TotalTime>0</TotalTime>
  <ScaleCrop>false</ScaleCrop>
  <LinksUpToDate>false</LinksUpToDate>
  <CharactersWithSpaces>1647</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2023-02-23T15:46:00Z</dcterms:created>
  <dc:creator>吴迪</dc:creator>
  <cp:lastModifiedBy>Melody</cp:lastModifiedBy>
  <dcterms:modified xsi:type="dcterms:W3CDTF">2023-02-23T08:44:24Z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2023-02-23T16:44:16Z</vt:filetime>
  </property>
  <property fmtid="{D5CDD505-2E9C-101B-9397-08002B2CF9AE}" pid="4" name="KSOProductBuildVer">
    <vt:lpwstr>2052-11.1.0.13703</vt:lpwstr>
  </property>
  <property fmtid="{D5CDD505-2E9C-101B-9397-08002B2CF9AE}" pid="5" name="ICV">
    <vt:lpwstr>AB8CF8052D3A46E1AE8F098E8A52A31E</vt:lpwstr>
  </property>
</Properties>
</file>