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line="300" w:lineRule="exact"/>
        <w:jc w:val="center"/>
        <w:outlineLvl w:val="1"/>
        <w:rPr>
          <w:del w:id="0" w:author="陈晨" w:date="2023-02-27T16:46:37Z"/>
          <w:rFonts w:ascii="Times New Roman" w:hAnsi="Times New Roman" w:eastAsia="黑体" w:cs="Times New Roman"/>
          <w:sz w:val="22"/>
        </w:rPr>
      </w:pPr>
      <w:del w:id="1" w:author="陈晨" w:date="2023-02-27T16:46:37Z">
        <w:bookmarkStart w:id="1" w:name="_GoBack"/>
        <w:bookmarkEnd w:id="1"/>
        <w:r>
          <w:rPr>
            <w:rFonts w:ascii="Times New Roman" w:hAnsi="Times New Roman" w:eastAsia="黑体" w:cs="Times New Roman"/>
            <w:sz w:val="22"/>
          </w:rPr>
          <w:delText>信银理财理财产品投资协议书</w:delText>
        </w:r>
      </w:del>
    </w:p>
    <w:p>
      <w:pPr>
        <w:spacing w:line="300" w:lineRule="exact"/>
        <w:ind w:firstLine="480"/>
        <w:rPr>
          <w:del w:id="2" w:author="陈晨" w:date="2023-02-27T16:46:37Z"/>
          <w:rFonts w:ascii="Times New Roman" w:hAnsi="Times New Roman" w:eastAsia="楷体_GB2312" w:cs="Times New Roman"/>
          <w:sz w:val="20"/>
          <w:szCs w:val="20"/>
        </w:rPr>
      </w:pPr>
    </w:p>
    <w:p>
      <w:pPr>
        <w:spacing w:line="300" w:lineRule="exact"/>
        <w:ind w:firstLine="480"/>
        <w:rPr>
          <w:del w:id="3" w:author="陈晨" w:date="2023-02-27T16:46:37Z"/>
          <w:rFonts w:ascii="Times New Roman" w:hAnsi="Times New Roman" w:eastAsia="楷体_GB2312" w:cs="Times New Roman"/>
          <w:b/>
          <w:sz w:val="20"/>
          <w:szCs w:val="20"/>
        </w:rPr>
      </w:pPr>
      <w:del w:id="4" w:author="陈晨" w:date="2023-02-27T16:46:37Z">
        <w:r>
          <w:rPr>
            <w:rFonts w:ascii="Times New Roman" w:hAnsi="Times New Roman" w:eastAsia="楷体_GB2312" w:cs="Times New Roman"/>
            <w:b/>
            <w:sz w:val="20"/>
            <w:szCs w:val="20"/>
          </w:rPr>
          <w:delText>甲方：投资者（投资者信息详见签署页）</w:delText>
        </w:r>
      </w:del>
    </w:p>
    <w:p>
      <w:pPr>
        <w:spacing w:line="300" w:lineRule="exact"/>
        <w:ind w:firstLine="480"/>
        <w:rPr>
          <w:del w:id="5" w:author="陈晨" w:date="2023-02-27T16:46:37Z"/>
          <w:rFonts w:ascii="Times New Roman" w:hAnsi="Times New Roman" w:eastAsia="楷体_GB2312" w:cs="Times New Roman"/>
          <w:b/>
          <w:sz w:val="20"/>
          <w:szCs w:val="20"/>
        </w:rPr>
      </w:pPr>
      <w:del w:id="6" w:author="陈晨" w:date="2023-02-27T16:46:37Z">
        <w:r>
          <w:rPr>
            <w:rFonts w:ascii="Times New Roman" w:hAnsi="Times New Roman" w:eastAsia="楷体_GB2312" w:cs="Times New Roman"/>
            <w:b/>
            <w:sz w:val="20"/>
            <w:szCs w:val="20"/>
          </w:rPr>
          <w:delText>乙方：信银理财有限责任公司</w:delText>
        </w:r>
      </w:del>
    </w:p>
    <w:p>
      <w:pPr>
        <w:spacing w:line="300" w:lineRule="exact"/>
        <w:ind w:firstLine="480"/>
        <w:rPr>
          <w:del w:id="7" w:author="陈晨" w:date="2023-02-27T16:46:37Z"/>
          <w:rFonts w:ascii="Times New Roman" w:hAnsi="Times New Roman" w:eastAsia="楷体_GB2312" w:cs="Times New Roman"/>
          <w:sz w:val="20"/>
          <w:szCs w:val="20"/>
        </w:rPr>
      </w:pPr>
    </w:p>
    <w:p>
      <w:pPr>
        <w:spacing w:line="300" w:lineRule="exact"/>
        <w:ind w:firstLine="480"/>
        <w:rPr>
          <w:del w:id="8" w:author="陈晨" w:date="2023-02-27T16:46:37Z"/>
          <w:rFonts w:ascii="Times New Roman" w:hAnsi="Times New Roman" w:eastAsia="楷体_GB2312" w:cs="Times New Roman"/>
          <w:sz w:val="20"/>
          <w:szCs w:val="20"/>
        </w:rPr>
      </w:pPr>
      <w:del w:id="9" w:author="陈晨" w:date="2023-02-27T16:46:37Z">
        <w:r>
          <w:rPr>
            <w:rFonts w:ascii="Times New Roman" w:hAnsi="Times New Roman" w:eastAsia="楷体_GB2312" w:cs="Times New Roman"/>
            <w:sz w:val="20"/>
            <w:szCs w:val="20"/>
          </w:rPr>
          <w:delText>经甲方和乙方平等协商，就甲方认购/申购乙方发行的理财产品（以下简称"理财产品"），达成本协议如下：</w:delText>
        </w:r>
      </w:del>
    </w:p>
    <w:p>
      <w:pPr>
        <w:spacing w:line="300" w:lineRule="exact"/>
        <w:ind w:firstLine="480"/>
        <w:rPr>
          <w:del w:id="10" w:author="陈晨" w:date="2023-02-27T16:46:37Z"/>
          <w:rFonts w:ascii="Times New Roman" w:hAnsi="Times New Roman" w:eastAsia="楷体_GB2312" w:cs="Times New Roman"/>
          <w:sz w:val="20"/>
          <w:szCs w:val="20"/>
        </w:rPr>
      </w:pPr>
      <w:del w:id="11" w:author="陈晨" w:date="2023-02-27T16:46:37Z">
        <w:r>
          <w:rPr>
            <w:rFonts w:ascii="Times New Roman" w:hAnsi="Times New Roman" w:eastAsia="楷体_GB2312" w:cs="Times New Roman"/>
            <w:b/>
            <w:bCs/>
            <w:sz w:val="20"/>
            <w:szCs w:val="20"/>
          </w:rPr>
          <w:delText>一、适用范围</w:delText>
        </w:r>
      </w:del>
    </w:p>
    <w:p>
      <w:pPr>
        <w:spacing w:line="300" w:lineRule="exact"/>
        <w:ind w:firstLine="480"/>
        <w:rPr>
          <w:del w:id="12" w:author="陈晨" w:date="2023-02-27T16:46:37Z"/>
          <w:rFonts w:ascii="Times New Roman" w:hAnsi="Times New Roman" w:eastAsia="楷体_GB2312" w:cs="Times New Roman"/>
          <w:sz w:val="20"/>
          <w:szCs w:val="20"/>
        </w:rPr>
      </w:pPr>
      <w:del w:id="13" w:author="陈晨" w:date="2023-02-27T16:46:37Z">
        <w:r>
          <w:rPr>
            <w:rFonts w:ascii="Times New Roman" w:hAnsi="Times New Roman" w:eastAsia="楷体_GB2312" w:cs="Times New Roman"/>
            <w:sz w:val="20"/>
            <w:szCs w:val="20"/>
          </w:rPr>
          <w:delText>甲方在认购/申购乙方发行的理财产品之前应签署本协议。本协议生效后，甲方认购/申购</w:delText>
        </w:r>
      </w:del>
      <w:del w:id="14" w:author="陈晨" w:date="2023-02-27T16:46:37Z">
        <w:r>
          <w:rPr>
            <w:rFonts w:hint="eastAsia" w:ascii="Times New Roman" w:hAnsi="Times New Roman" w:eastAsia="楷体_GB2312" w:cs="Times New Roman"/>
            <w:sz w:val="20"/>
            <w:szCs w:val="20"/>
          </w:rPr>
          <w:delText>乙方</w:delText>
        </w:r>
      </w:del>
      <w:del w:id="15" w:author="陈晨" w:date="2023-02-27T16:46:37Z">
        <w:r>
          <w:rPr>
            <w:rFonts w:ascii="Times New Roman" w:hAnsi="Times New Roman" w:eastAsia="楷体_GB2312" w:cs="Times New Roman"/>
            <w:sz w:val="20"/>
            <w:szCs w:val="20"/>
          </w:rPr>
          <w:delText>发行的理财产品的，均适用本协议。</w:delText>
        </w:r>
      </w:del>
    </w:p>
    <w:p>
      <w:pPr>
        <w:spacing w:line="300" w:lineRule="exact"/>
        <w:ind w:firstLine="480"/>
        <w:rPr>
          <w:del w:id="16" w:author="陈晨" w:date="2023-02-27T16:46:37Z"/>
          <w:rFonts w:ascii="Times New Roman" w:hAnsi="Times New Roman" w:eastAsia="楷体_GB2312" w:cs="Times New Roman"/>
          <w:sz w:val="20"/>
          <w:szCs w:val="20"/>
        </w:rPr>
      </w:pPr>
      <w:del w:id="17" w:author="陈晨" w:date="2023-02-27T16:46:37Z">
        <w:r>
          <w:rPr>
            <w:rFonts w:ascii="Times New Roman" w:hAnsi="Times New Roman" w:eastAsia="楷体_GB2312" w:cs="Times New Roman"/>
            <w:sz w:val="20"/>
            <w:szCs w:val="20"/>
          </w:rPr>
          <w:delText>本协议与甲方认购/申购理财产品的《信银理财理财产品产品说明书》《信银理财理财产品风险揭示书》《信银理财理财产品销售总协议》（含附件：客户权益须知专页）</w:delText>
        </w:r>
      </w:del>
      <w:del w:id="18" w:author="陈晨" w:date="2023-02-27T16:46:37Z">
        <w:r>
          <w:rPr>
            <w:rFonts w:hint="eastAsia" w:ascii="Times New Roman" w:hAnsi="Times New Roman" w:eastAsia="楷体_GB2312" w:cs="Times New Roman"/>
            <w:sz w:val="20"/>
            <w:szCs w:val="20"/>
          </w:rPr>
          <w:delText>（或合作销售机构向投资者提供的理财产品销售协议文本）</w:delText>
        </w:r>
      </w:del>
      <w:del w:id="19" w:author="陈晨" w:date="2023-02-27T16:46:37Z">
        <w:r>
          <w:rPr>
            <w:rFonts w:ascii="Times New Roman" w:hAnsi="Times New Roman" w:eastAsia="楷体_GB2312" w:cs="Times New Roman"/>
            <w:sz w:val="20"/>
            <w:szCs w:val="20"/>
          </w:rPr>
          <w:delText>共同构成一份完整的理财产品销售文件（以下简称"产品销售文件"）。甲方认购/申购</w:delText>
        </w:r>
      </w:del>
      <w:del w:id="20" w:author="陈晨" w:date="2023-02-27T16:46:37Z">
        <w:r>
          <w:rPr>
            <w:rFonts w:hint="eastAsia" w:ascii="Times New Roman" w:hAnsi="Times New Roman" w:eastAsia="楷体_GB2312" w:cs="Times New Roman"/>
            <w:sz w:val="20"/>
            <w:szCs w:val="20"/>
          </w:rPr>
          <w:delText>乙方</w:delText>
        </w:r>
      </w:del>
      <w:del w:id="21" w:author="陈晨" w:date="2023-02-27T16:46:37Z">
        <w:r>
          <w:rPr>
            <w:rFonts w:ascii="Times New Roman" w:hAnsi="Times New Roman" w:eastAsia="楷体_GB2312" w:cs="Times New Roman"/>
            <w:sz w:val="20"/>
            <w:szCs w:val="20"/>
          </w:rPr>
          <w:delText>多支理财产品时，不同产品的《信银理财理财产品产品说明书》组成的产品销售文件互相独立。</w:delText>
        </w:r>
      </w:del>
    </w:p>
    <w:p>
      <w:pPr>
        <w:spacing w:line="300" w:lineRule="exact"/>
        <w:ind w:firstLine="480"/>
        <w:rPr>
          <w:del w:id="22" w:author="陈晨" w:date="2023-02-27T16:46:37Z"/>
          <w:rFonts w:ascii="Times New Roman" w:hAnsi="Times New Roman" w:eastAsia="楷体_GB2312" w:cs="Times New Roman"/>
          <w:sz w:val="20"/>
          <w:szCs w:val="20"/>
        </w:rPr>
      </w:pPr>
      <w:del w:id="23" w:author="陈晨" w:date="2023-02-27T16:46:37Z">
        <w:r>
          <w:rPr>
            <w:rFonts w:ascii="Times New Roman" w:hAnsi="Times New Roman" w:eastAsia="楷体_GB2312" w:cs="Times New Roman"/>
            <w:sz w:val="20"/>
            <w:szCs w:val="20"/>
          </w:rPr>
          <w:delText>本协议不作为甲方认购/申购或持有理财产品的凭证。</w:delText>
        </w:r>
      </w:del>
    </w:p>
    <w:p>
      <w:pPr>
        <w:spacing w:line="300" w:lineRule="exact"/>
        <w:ind w:firstLine="480"/>
        <w:rPr>
          <w:del w:id="24" w:author="陈晨" w:date="2023-02-27T16:46:37Z"/>
          <w:rFonts w:ascii="Times New Roman" w:hAnsi="Times New Roman" w:eastAsia="楷体_GB2312" w:cs="Times New Roman"/>
          <w:sz w:val="20"/>
          <w:szCs w:val="20"/>
        </w:rPr>
      </w:pPr>
      <w:del w:id="25" w:author="陈晨" w:date="2023-02-27T16:46:37Z">
        <w:r>
          <w:rPr>
            <w:rFonts w:ascii="Times New Roman" w:hAnsi="Times New Roman" w:eastAsia="楷体_GB2312" w:cs="Times New Roman"/>
            <w:b/>
            <w:bCs/>
            <w:sz w:val="20"/>
            <w:szCs w:val="20"/>
          </w:rPr>
          <w:delText>二、风险提示</w:delText>
        </w:r>
      </w:del>
    </w:p>
    <w:p>
      <w:pPr>
        <w:spacing w:line="300" w:lineRule="exact"/>
        <w:ind w:firstLine="480"/>
        <w:rPr>
          <w:del w:id="26" w:author="陈晨" w:date="2023-02-27T16:46:37Z"/>
          <w:rFonts w:ascii="Times New Roman" w:hAnsi="Times New Roman" w:eastAsia="楷体_GB2312" w:cs="Times New Roman"/>
          <w:sz w:val="20"/>
          <w:szCs w:val="20"/>
        </w:rPr>
      </w:pPr>
      <w:del w:id="27" w:author="陈晨" w:date="2023-02-27T16:46:37Z">
        <w:r>
          <w:rPr>
            <w:rFonts w:ascii="Times New Roman" w:hAnsi="Times New Roman" w:eastAsia="楷体_GB2312" w:cs="Times New Roman"/>
            <w:b/>
            <w:bCs/>
            <w:sz w:val="20"/>
            <w:szCs w:val="20"/>
          </w:rPr>
          <w:delTex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产品不成立风险、不可抗力及意外事件风险、</w:delText>
        </w:r>
      </w:del>
      <w:del w:id="28" w:author="陈晨" w:date="2023-02-27T16:46:37Z">
        <w:r>
          <w:rPr>
            <w:rFonts w:hint="eastAsia" w:ascii="Times New Roman" w:hAnsi="Times New Roman" w:eastAsia="楷体_GB2312" w:cs="Times New Roman"/>
            <w:b/>
            <w:bCs/>
            <w:sz w:val="20"/>
            <w:szCs w:val="20"/>
          </w:rPr>
          <w:delText>关联交易</w:delText>
        </w:r>
      </w:del>
      <w:del w:id="29" w:author="陈晨" w:date="2023-02-27T16:46:37Z">
        <w:r>
          <w:rPr>
            <w:rFonts w:ascii="Times New Roman" w:hAnsi="Times New Roman" w:eastAsia="楷体_GB2312" w:cs="Times New Roman"/>
            <w:b/>
            <w:bCs/>
            <w:sz w:val="20"/>
            <w:szCs w:val="20"/>
          </w:rPr>
          <w:delText>风险、合作销售机构风险、操作风险等风险，具体风险请甲方仔细阅读认购/申购的理财产品的《信银理财理财产品产品说明书》和《信银理财理财产品风险揭示书》中的相应条款。</w:delText>
        </w:r>
      </w:del>
    </w:p>
    <w:p>
      <w:pPr>
        <w:spacing w:line="300" w:lineRule="exact"/>
        <w:ind w:firstLine="480"/>
        <w:rPr>
          <w:del w:id="30" w:author="陈晨" w:date="2023-02-27T16:46:37Z"/>
          <w:rFonts w:ascii="Times New Roman" w:hAnsi="Times New Roman" w:eastAsia="楷体_GB2312" w:cs="Times New Roman"/>
          <w:b/>
          <w:bCs/>
          <w:sz w:val="20"/>
          <w:szCs w:val="20"/>
        </w:rPr>
      </w:pPr>
      <w:del w:id="31" w:author="陈晨" w:date="2023-02-27T16:46:37Z">
        <w:r>
          <w:rPr>
            <w:rFonts w:ascii="Times New Roman" w:hAnsi="Times New Roman" w:eastAsia="楷体_GB2312" w:cs="Times New Roman"/>
            <w:b/>
            <w:bCs/>
            <w:sz w:val="20"/>
            <w:szCs w:val="20"/>
          </w:rPr>
          <w:delText>三、投资条款</w:delText>
        </w:r>
      </w:del>
    </w:p>
    <w:p>
      <w:pPr>
        <w:spacing w:line="300" w:lineRule="exact"/>
        <w:ind w:firstLine="480"/>
        <w:rPr>
          <w:del w:id="32" w:author="陈晨" w:date="2023-02-27T16:46:37Z"/>
          <w:rFonts w:ascii="Times New Roman" w:hAnsi="Times New Roman" w:eastAsia="楷体_GB2312" w:cs="Times New Roman"/>
          <w:b/>
          <w:bCs/>
          <w:sz w:val="20"/>
          <w:szCs w:val="20"/>
        </w:rPr>
      </w:pPr>
      <w:del w:id="33" w:author="陈晨" w:date="2023-02-27T16:46:37Z">
        <w:r>
          <w:rPr>
            <w:rFonts w:ascii="Times New Roman" w:hAnsi="Times New Roman" w:eastAsia="楷体_GB2312" w:cs="Times New Roman"/>
            <w:bCs/>
            <w:sz w:val="20"/>
            <w:szCs w:val="20"/>
          </w:rPr>
          <w:delText>甲方认购/申购理财产品的具体认购/申购条件、流程、金额、份额、费用以及其他投资条款，由甲方实际认购/申购的理财产品的《信银理财理财产品产品说明书》具体约定。</w:delText>
        </w:r>
      </w:del>
    </w:p>
    <w:p>
      <w:pPr>
        <w:spacing w:line="300" w:lineRule="exact"/>
        <w:ind w:firstLine="480"/>
        <w:rPr>
          <w:del w:id="34" w:author="陈晨" w:date="2023-02-27T16:46:37Z"/>
          <w:rFonts w:ascii="Times New Roman" w:hAnsi="Times New Roman" w:eastAsia="楷体_GB2312" w:cs="Times New Roman"/>
          <w:sz w:val="20"/>
          <w:szCs w:val="20"/>
        </w:rPr>
      </w:pPr>
      <w:del w:id="35" w:author="陈晨" w:date="2023-02-27T16:46:37Z">
        <w:r>
          <w:rPr>
            <w:rFonts w:ascii="Times New Roman" w:hAnsi="Times New Roman" w:eastAsia="楷体_GB2312" w:cs="Times New Roman"/>
            <w:b/>
            <w:bCs/>
            <w:sz w:val="20"/>
            <w:szCs w:val="20"/>
          </w:rPr>
          <w:delText>四、甲方的权利与义务</w:delText>
        </w:r>
      </w:del>
    </w:p>
    <w:p>
      <w:pPr>
        <w:spacing w:line="300" w:lineRule="exact"/>
        <w:ind w:firstLine="480"/>
        <w:rPr>
          <w:del w:id="36" w:author="陈晨" w:date="2023-02-27T16:46:37Z"/>
          <w:rFonts w:ascii="Times New Roman" w:hAnsi="Times New Roman" w:eastAsia="楷体_GB2312" w:cs="Times New Roman"/>
          <w:sz w:val="20"/>
          <w:szCs w:val="20"/>
        </w:rPr>
      </w:pPr>
      <w:del w:id="37" w:author="陈晨" w:date="2023-02-27T16:46:37Z">
        <w:r>
          <w:rPr>
            <w:rFonts w:ascii="Times New Roman" w:hAnsi="Times New Roman" w:eastAsia="楷体_GB2312" w:cs="Times New Roman"/>
            <w:sz w:val="20"/>
            <w:szCs w:val="20"/>
          </w:rPr>
          <w:delText>（一）甲方具有完全民事行为能力，有完全适当的资格与能力订立并履行理财产品合同，不存在法律、行政法规有关规定禁止或限制投资理财产品的情形（适用于个人投资者）；</w:delText>
        </w:r>
      </w:del>
    </w:p>
    <w:p>
      <w:pPr>
        <w:spacing w:line="300" w:lineRule="exact"/>
        <w:ind w:firstLine="480"/>
        <w:rPr>
          <w:del w:id="38" w:author="陈晨" w:date="2023-02-27T16:46:37Z"/>
          <w:rFonts w:ascii="Times New Roman" w:hAnsi="Times New Roman" w:eastAsia="楷体_GB2312" w:cs="Times New Roman"/>
          <w:sz w:val="20"/>
          <w:szCs w:val="20"/>
        </w:rPr>
      </w:pPr>
      <w:del w:id="39" w:author="陈晨" w:date="2023-02-27T16:46:37Z">
        <w:r>
          <w:rPr>
            <w:rFonts w:ascii="Times New Roman" w:hAnsi="Times New Roman" w:eastAsia="楷体_GB2312" w:cs="Times New Roman"/>
            <w:sz w:val="20"/>
            <w:szCs w:val="20"/>
          </w:rPr>
          <w:delText>甲方确认签署和履行理财产品销售文件系其真实意思表示，已经按照其章程或者其它内部管理文件的要求取得合法、有效的授权且不会违反对其有约束力的任何合同和其他法律文件；甲方已经取得签订和履行理财产品合同所需的一切有关批准、许可、备案或者登记。（适用于机构投资者）；</w:delText>
        </w:r>
      </w:del>
    </w:p>
    <w:p>
      <w:pPr>
        <w:spacing w:line="300" w:lineRule="exact"/>
        <w:ind w:firstLine="480"/>
        <w:rPr>
          <w:del w:id="40" w:author="陈晨" w:date="2023-02-27T16:46:37Z"/>
          <w:rFonts w:ascii="Times New Roman" w:hAnsi="Times New Roman" w:eastAsia="楷体_GB2312" w:cs="Times New Roman"/>
          <w:sz w:val="20"/>
          <w:szCs w:val="20"/>
        </w:rPr>
      </w:pPr>
      <w:del w:id="41" w:author="陈晨" w:date="2023-02-27T16:46:37Z">
        <w:r>
          <w:rPr>
            <w:rFonts w:ascii="Times New Roman" w:hAnsi="Times New Roman" w:eastAsia="楷体_GB2312" w:cs="Times New Roman"/>
            <w:sz w:val="20"/>
            <w:szCs w:val="20"/>
          </w:rPr>
          <w:delText>（二）甲方保证以真实身份投资本理财产品，保证提供给产品管理人</w:delText>
        </w:r>
      </w:del>
      <w:del w:id="42" w:author="陈晨" w:date="2023-02-27T16:46:37Z">
        <w:r>
          <w:rPr>
            <w:rFonts w:hint="eastAsia" w:ascii="Times New Roman" w:hAnsi="Times New Roman" w:eastAsia="楷体_GB2312" w:cs="Times New Roman"/>
            <w:sz w:val="20"/>
            <w:szCs w:val="20"/>
          </w:rPr>
          <w:delText>/</w:delText>
        </w:r>
      </w:del>
      <w:del w:id="43" w:author="陈晨" w:date="2023-02-27T16:46:37Z">
        <w:r>
          <w:rPr>
            <w:rFonts w:ascii="Times New Roman" w:hAnsi="Times New Roman" w:eastAsia="楷体_GB2312" w:cs="Times New Roman"/>
            <w:sz w:val="20"/>
            <w:szCs w:val="20"/>
          </w:rPr>
          <w:delText>代销机构的信息和资料均真实、准确、完整、合法。如甲方的信息和/或资料发生变更，应当及时书面告知产品管理人或代销机构；</w:delText>
        </w:r>
      </w:del>
    </w:p>
    <w:p>
      <w:pPr>
        <w:spacing w:line="300" w:lineRule="exact"/>
        <w:ind w:firstLine="480"/>
        <w:rPr>
          <w:del w:id="44" w:author="陈晨" w:date="2023-02-27T16:46:37Z"/>
          <w:rFonts w:ascii="Times New Roman" w:hAnsi="Times New Roman" w:eastAsia="楷体_GB2312" w:cs="Times New Roman"/>
          <w:sz w:val="20"/>
          <w:szCs w:val="20"/>
        </w:rPr>
      </w:pPr>
      <w:del w:id="45" w:author="陈晨" w:date="2023-02-27T16:46:37Z">
        <w:r>
          <w:rPr>
            <w:rFonts w:ascii="Times New Roman" w:hAnsi="Times New Roman" w:eastAsia="楷体_GB2312" w:cs="Times New Roman"/>
            <w:sz w:val="20"/>
            <w:szCs w:val="20"/>
          </w:rPr>
          <w:delText>（三）甲方声明熟悉理财产品类型特征及不同销售渠道的法律法规规定；</w:delText>
        </w:r>
      </w:del>
    </w:p>
    <w:p>
      <w:pPr>
        <w:spacing w:line="300" w:lineRule="exact"/>
        <w:ind w:firstLine="480"/>
        <w:rPr>
          <w:del w:id="46" w:author="陈晨" w:date="2023-02-27T16:46:37Z"/>
          <w:rFonts w:ascii="Times New Roman" w:hAnsi="Times New Roman" w:eastAsia="楷体_GB2312" w:cs="Times New Roman"/>
          <w:sz w:val="20"/>
          <w:szCs w:val="20"/>
        </w:rPr>
      </w:pPr>
      <w:del w:id="47" w:author="陈晨" w:date="2023-02-27T16:46:37Z">
        <w:r>
          <w:rPr>
            <w:rFonts w:ascii="Times New Roman" w:hAnsi="Times New Roman" w:eastAsia="楷体_GB2312" w:cs="Times New Roman"/>
            <w:sz w:val="20"/>
            <w:szCs w:val="20"/>
          </w:rPr>
          <w:delText>（四）甲方承诺：如委托他人购买本产品，代理人须出具具有法律效力的授权委托书；</w:delText>
        </w:r>
      </w:del>
    </w:p>
    <w:p>
      <w:pPr>
        <w:spacing w:line="300" w:lineRule="exact"/>
        <w:ind w:firstLine="480"/>
        <w:rPr>
          <w:del w:id="48" w:author="陈晨" w:date="2023-02-27T16:46:37Z"/>
          <w:rFonts w:ascii="Times New Roman" w:hAnsi="Times New Roman" w:eastAsia="楷体_GB2312" w:cs="Times New Roman"/>
          <w:sz w:val="20"/>
          <w:szCs w:val="20"/>
        </w:rPr>
      </w:pPr>
      <w:del w:id="49" w:author="陈晨" w:date="2023-02-27T16:46:37Z">
        <w:r>
          <w:rPr>
            <w:rFonts w:ascii="Times New Roman" w:hAnsi="Times New Roman" w:eastAsia="楷体_GB2312" w:cs="Times New Roman"/>
            <w:sz w:val="20"/>
            <w:szCs w:val="20"/>
          </w:rPr>
          <w:delText>（五）甲方保证理财投资资金来源和用途合法，保证可向产品管理人</w:delText>
        </w:r>
      </w:del>
      <w:del w:id="50" w:author="陈晨" w:date="2023-02-27T16:46:37Z">
        <w:r>
          <w:rPr>
            <w:rFonts w:hint="eastAsia" w:ascii="Times New Roman" w:hAnsi="Times New Roman" w:eastAsia="楷体_GB2312" w:cs="Times New Roman"/>
            <w:sz w:val="20"/>
            <w:szCs w:val="20"/>
          </w:rPr>
          <w:delText>/</w:delText>
        </w:r>
      </w:del>
      <w:del w:id="51" w:author="陈晨" w:date="2023-02-27T16:46:37Z">
        <w:r>
          <w:rPr>
            <w:rFonts w:ascii="Times New Roman" w:hAnsi="Times New Roman" w:eastAsia="楷体_GB2312" w:cs="Times New Roman"/>
            <w:sz w:val="20"/>
            <w:szCs w:val="20"/>
          </w:rPr>
          <w:delText>代销机构提供合法筹集的证明文件；</w:delText>
        </w:r>
      </w:del>
    </w:p>
    <w:p>
      <w:pPr>
        <w:spacing w:line="300" w:lineRule="exact"/>
        <w:ind w:firstLine="480"/>
        <w:rPr>
          <w:del w:id="52" w:author="陈晨" w:date="2023-02-27T16:46:37Z"/>
          <w:rFonts w:ascii="Times New Roman" w:hAnsi="Times New Roman" w:eastAsia="楷体_GB2312" w:cs="Times New Roman"/>
          <w:sz w:val="20"/>
          <w:szCs w:val="20"/>
        </w:rPr>
      </w:pPr>
      <w:del w:id="53" w:author="陈晨" w:date="2023-02-27T16:46:37Z">
        <w:r>
          <w:rPr>
            <w:rFonts w:ascii="Times New Roman" w:hAnsi="Times New Roman" w:eastAsia="楷体_GB2312" w:cs="Times New Roman"/>
            <w:sz w:val="20"/>
            <w:szCs w:val="20"/>
          </w:rPr>
          <w:delText>（六）甲方不得利用理财业务及理财产品合同项下理财产品从事违法活动；</w:delText>
        </w:r>
      </w:del>
    </w:p>
    <w:p>
      <w:pPr>
        <w:spacing w:line="300" w:lineRule="exact"/>
        <w:ind w:firstLine="480"/>
        <w:rPr>
          <w:del w:id="54" w:author="陈晨" w:date="2023-02-27T16:46:37Z"/>
          <w:rFonts w:ascii="Times New Roman" w:hAnsi="Times New Roman" w:eastAsia="楷体_GB2312" w:cs="Times New Roman"/>
          <w:sz w:val="20"/>
          <w:szCs w:val="20"/>
        </w:rPr>
      </w:pPr>
      <w:del w:id="55" w:author="陈晨" w:date="2023-02-27T16:46:37Z">
        <w:r>
          <w:rPr>
            <w:rFonts w:ascii="Times New Roman" w:hAnsi="Times New Roman" w:eastAsia="楷体_GB2312" w:cs="Times New Roman"/>
            <w:sz w:val="20"/>
            <w:szCs w:val="20"/>
          </w:rPr>
          <w:delText>（七）甲方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delText>
        </w:r>
      </w:del>
    </w:p>
    <w:p>
      <w:pPr>
        <w:spacing w:line="300" w:lineRule="exact"/>
        <w:ind w:firstLine="480"/>
        <w:rPr>
          <w:del w:id="56" w:author="陈晨" w:date="2023-02-27T16:46:37Z"/>
          <w:rFonts w:ascii="Times New Roman" w:hAnsi="Times New Roman" w:eastAsia="楷体_GB2312" w:cs="Times New Roman"/>
          <w:sz w:val="20"/>
          <w:szCs w:val="20"/>
        </w:rPr>
      </w:pPr>
      <w:del w:id="57" w:author="陈晨" w:date="2023-02-27T16:46:37Z">
        <w:r>
          <w:rPr>
            <w:rFonts w:ascii="Times New Roman" w:hAnsi="Times New Roman" w:eastAsia="楷体_GB2312" w:cs="Times New Roman"/>
            <w:sz w:val="20"/>
            <w:szCs w:val="20"/>
          </w:rPr>
          <w:delText>（八）甲方不属于联合国、欧盟或美国等制裁名单，及中国政府部门或有权机关发布的涉恐及反洗钱相关风险名单内的企业或个人；不位于被联合国、欧盟或美国等制裁的国家和地区；</w:delText>
        </w:r>
      </w:del>
    </w:p>
    <w:p>
      <w:pPr>
        <w:spacing w:line="300" w:lineRule="exact"/>
        <w:ind w:firstLine="480"/>
        <w:rPr>
          <w:del w:id="58" w:author="陈晨" w:date="2023-02-27T16:46:37Z"/>
          <w:rFonts w:ascii="Times New Roman" w:hAnsi="Times New Roman" w:eastAsia="楷体_GB2312" w:cs="Times New Roman"/>
          <w:sz w:val="20"/>
          <w:szCs w:val="20"/>
        </w:rPr>
      </w:pPr>
      <w:del w:id="59" w:author="陈晨" w:date="2023-02-27T16:46:37Z">
        <w:r>
          <w:rPr>
            <w:rFonts w:ascii="Times New Roman" w:hAnsi="Times New Roman" w:eastAsia="楷体_GB2312" w:cs="Times New Roman"/>
            <w:sz w:val="20"/>
            <w:szCs w:val="20"/>
          </w:rPr>
          <w:delText>（九）甲方保证不使用贷款、发行债券等筹集的非自有资金投资理财产品，保证投资本理财产品不存在违反监管要求的产品嵌套，以及以投资本理财产品规避投资范围、杠杆约束等监管要求等违规行为。</w:delText>
        </w:r>
      </w:del>
    </w:p>
    <w:p>
      <w:pPr>
        <w:spacing w:line="300" w:lineRule="exact"/>
        <w:ind w:firstLine="480"/>
        <w:rPr>
          <w:del w:id="60" w:author="陈晨" w:date="2023-02-27T16:46:37Z"/>
          <w:rFonts w:ascii="Times New Roman" w:hAnsi="Times New Roman" w:eastAsia="楷体_GB2312" w:cs="Times New Roman"/>
          <w:sz w:val="20"/>
          <w:szCs w:val="20"/>
        </w:rPr>
      </w:pPr>
      <w:del w:id="61" w:author="陈晨" w:date="2023-02-27T16:46:37Z">
        <w:r>
          <w:rPr>
            <w:rFonts w:ascii="Times New Roman" w:hAnsi="Times New Roman" w:eastAsia="楷体_GB2312" w:cs="Times New Roman"/>
            <w:b/>
            <w:bCs/>
            <w:sz w:val="20"/>
            <w:szCs w:val="20"/>
          </w:rPr>
          <w:delText>五、乙方的权利与义务</w:delText>
        </w:r>
      </w:del>
    </w:p>
    <w:p>
      <w:pPr>
        <w:spacing w:line="300" w:lineRule="exact"/>
        <w:ind w:firstLine="480"/>
        <w:rPr>
          <w:del w:id="62" w:author="陈晨" w:date="2023-02-27T16:46:37Z"/>
          <w:rFonts w:ascii="Times New Roman" w:hAnsi="Times New Roman" w:eastAsia="楷体_GB2312" w:cs="Times New Roman"/>
          <w:sz w:val="20"/>
          <w:szCs w:val="20"/>
        </w:rPr>
      </w:pPr>
      <w:del w:id="63" w:author="陈晨" w:date="2023-02-27T16:46:37Z">
        <w:r>
          <w:rPr>
            <w:rFonts w:ascii="Times New Roman" w:hAnsi="Times New Roman" w:eastAsia="楷体_GB2312" w:cs="Times New Roman"/>
            <w:sz w:val="20"/>
            <w:szCs w:val="20"/>
          </w:rPr>
          <w:delText>（一）乙方具有开办理财业务的经营资质，保证以诚实守信、勤勉尽职的原则管理和运用理财资金；</w:delText>
        </w:r>
      </w:del>
    </w:p>
    <w:p>
      <w:pPr>
        <w:spacing w:line="300" w:lineRule="exact"/>
        <w:ind w:firstLine="480"/>
        <w:rPr>
          <w:del w:id="64" w:author="陈晨" w:date="2023-02-27T16:46:37Z"/>
          <w:rFonts w:ascii="Times New Roman" w:hAnsi="Times New Roman" w:eastAsia="楷体_GB2312" w:cs="Times New Roman"/>
          <w:sz w:val="20"/>
          <w:szCs w:val="20"/>
        </w:rPr>
      </w:pPr>
      <w:del w:id="65" w:author="陈晨" w:date="2023-02-27T16:46:37Z">
        <w:r>
          <w:rPr>
            <w:rFonts w:ascii="Times New Roman" w:hAnsi="Times New Roman" w:eastAsia="楷体_GB2312" w:cs="Times New Roman"/>
            <w:sz w:val="20"/>
            <w:szCs w:val="20"/>
          </w:rPr>
          <w:delText>（二）乙方具有完全适当的资格和能力订立与履行理财产品合同。</w:delText>
        </w:r>
      </w:del>
    </w:p>
    <w:p>
      <w:pPr>
        <w:spacing w:line="300" w:lineRule="exact"/>
        <w:ind w:firstLine="480"/>
        <w:rPr>
          <w:del w:id="66" w:author="陈晨" w:date="2023-02-27T16:46:37Z"/>
          <w:rFonts w:ascii="Times New Roman" w:hAnsi="Times New Roman" w:eastAsia="楷体_GB2312" w:cs="Times New Roman"/>
          <w:sz w:val="20"/>
          <w:szCs w:val="20"/>
        </w:rPr>
      </w:pPr>
      <w:del w:id="67" w:author="陈晨" w:date="2023-02-27T16:46:37Z">
        <w:r>
          <w:rPr>
            <w:rFonts w:ascii="Times New Roman" w:hAnsi="Times New Roman" w:eastAsia="楷体_GB2312" w:cs="Times New Roman"/>
            <w:b/>
            <w:bCs/>
            <w:sz w:val="20"/>
            <w:szCs w:val="20"/>
          </w:rPr>
          <w:delText>六、违约责任</w:delText>
        </w:r>
      </w:del>
    </w:p>
    <w:p>
      <w:pPr>
        <w:spacing w:line="300" w:lineRule="exact"/>
        <w:ind w:firstLine="480"/>
        <w:rPr>
          <w:del w:id="68" w:author="陈晨" w:date="2023-02-27T16:46:37Z"/>
          <w:rFonts w:ascii="Times New Roman" w:hAnsi="Times New Roman" w:eastAsia="楷体_GB2312" w:cs="Times New Roman"/>
          <w:b/>
          <w:bCs/>
          <w:sz w:val="20"/>
          <w:szCs w:val="20"/>
        </w:rPr>
      </w:pPr>
      <w:del w:id="69" w:author="陈晨" w:date="2023-02-27T16:46:37Z">
        <w:r>
          <w:rPr>
            <w:rFonts w:hint="eastAsia" w:ascii="Times New Roman" w:hAnsi="Times New Roman" w:eastAsia="楷体_GB2312" w:cs="Times New Roman"/>
            <w:b/>
            <w:bCs/>
            <w:sz w:val="20"/>
            <w:szCs w:val="20"/>
          </w:rPr>
          <w:delText>双方因违反本协议约定而给对方造成损失的，违约方应赔偿因此给对方造成的直接损失。</w:delText>
        </w:r>
      </w:del>
    </w:p>
    <w:p>
      <w:pPr>
        <w:spacing w:line="300" w:lineRule="exact"/>
        <w:ind w:firstLine="480"/>
        <w:rPr>
          <w:del w:id="70" w:author="陈晨" w:date="2023-02-27T16:46:37Z"/>
          <w:rFonts w:ascii="Times New Roman" w:hAnsi="Times New Roman" w:eastAsia="楷体_GB2312" w:cs="Times New Roman"/>
          <w:b/>
          <w:bCs/>
          <w:sz w:val="20"/>
          <w:szCs w:val="20"/>
        </w:rPr>
      </w:pPr>
      <w:del w:id="71" w:author="陈晨" w:date="2023-02-27T16:46:37Z">
        <w:r>
          <w:rPr>
            <w:rFonts w:ascii="Times New Roman" w:hAnsi="Times New Roman" w:eastAsia="楷体_GB2312" w:cs="Times New Roman"/>
            <w:b/>
            <w:bCs/>
            <w:sz w:val="20"/>
            <w:szCs w:val="20"/>
          </w:rPr>
          <w:delText>七、免责内容</w:delText>
        </w:r>
      </w:del>
    </w:p>
    <w:p>
      <w:pPr>
        <w:spacing w:line="300" w:lineRule="exact"/>
        <w:ind w:firstLine="480"/>
        <w:rPr>
          <w:del w:id="72" w:author="陈晨" w:date="2023-02-27T16:46:37Z"/>
          <w:rFonts w:ascii="Times New Roman" w:hAnsi="Times New Roman" w:eastAsia="楷体_GB2312" w:cs="Times New Roman"/>
          <w:b/>
          <w:bCs/>
          <w:sz w:val="20"/>
          <w:szCs w:val="20"/>
        </w:rPr>
      </w:pPr>
      <w:del w:id="73" w:author="陈晨" w:date="2023-02-27T16:46:37Z">
        <w:r>
          <w:rPr>
            <w:rFonts w:hint="eastAsia" w:ascii="Times New Roman" w:hAnsi="Times New Roman" w:eastAsia="楷体_GB2312" w:cs="Times New Roman"/>
            <w:b/>
            <w:bCs/>
            <w:sz w:val="20"/>
            <w:szCs w:val="20"/>
          </w:rPr>
          <w:delTex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delText>
        </w:r>
      </w:del>
    </w:p>
    <w:p>
      <w:pPr>
        <w:spacing w:line="300" w:lineRule="exact"/>
        <w:ind w:firstLine="480"/>
        <w:rPr>
          <w:del w:id="74" w:author="陈晨" w:date="2023-02-27T16:46:37Z"/>
          <w:rFonts w:ascii="Times New Roman" w:hAnsi="Times New Roman" w:eastAsia="楷体_GB2312" w:cs="Times New Roman"/>
          <w:sz w:val="20"/>
          <w:szCs w:val="20"/>
        </w:rPr>
      </w:pPr>
      <w:del w:id="75" w:author="陈晨" w:date="2023-02-27T16:46:37Z">
        <w:r>
          <w:rPr>
            <w:rFonts w:ascii="Times New Roman" w:hAnsi="Times New Roman" w:eastAsia="楷体_GB2312" w:cs="Times New Roman"/>
            <w:b/>
            <w:bCs/>
            <w:sz w:val="20"/>
            <w:szCs w:val="20"/>
          </w:rPr>
          <w:delText>八、争议解决</w:delText>
        </w:r>
      </w:del>
    </w:p>
    <w:p>
      <w:pPr>
        <w:spacing w:line="300" w:lineRule="exact"/>
        <w:ind w:firstLine="480"/>
        <w:rPr>
          <w:del w:id="76" w:author="陈晨" w:date="2023-02-27T16:46:37Z"/>
          <w:rFonts w:ascii="Times New Roman" w:hAnsi="Times New Roman" w:eastAsia="楷体_GB2312" w:cs="Times New Roman"/>
          <w:b/>
          <w:bCs/>
          <w:sz w:val="20"/>
          <w:szCs w:val="20"/>
        </w:rPr>
      </w:pPr>
      <w:del w:id="77" w:author="陈晨" w:date="2023-02-27T16:46:37Z">
        <w:r>
          <w:rPr>
            <w:rFonts w:ascii="Times New Roman" w:hAnsi="Times New Roman" w:eastAsia="楷体_GB2312" w:cs="Times New Roman"/>
            <w:sz w:val="20"/>
            <w:szCs w:val="20"/>
          </w:rPr>
          <w:delText>本协议及产品销售文件均适用中华人民共和国法律（为履行本协议之目的，不包括中国香港特别行政区、澳门特别行政区及台湾地区法律）。</w:delText>
        </w:r>
      </w:del>
    </w:p>
    <w:p>
      <w:pPr>
        <w:spacing w:line="300" w:lineRule="exact"/>
        <w:ind w:firstLine="480"/>
        <w:rPr>
          <w:del w:id="78" w:author="陈晨" w:date="2023-02-27T16:46:37Z"/>
          <w:rFonts w:ascii="Times New Roman" w:hAnsi="Times New Roman" w:eastAsia="楷体_GB2312" w:cs="Times New Roman"/>
          <w:sz w:val="20"/>
          <w:szCs w:val="20"/>
        </w:rPr>
      </w:pPr>
      <w:del w:id="79" w:author="陈晨" w:date="2023-02-27T16:46:37Z">
        <w:r>
          <w:rPr>
            <w:rFonts w:ascii="Times New Roman" w:hAnsi="Times New Roman" w:eastAsia="楷体_GB2312" w:cs="Times New Roman"/>
            <w:bCs/>
            <w:sz w:val="20"/>
            <w:szCs w:val="20"/>
          </w:rPr>
          <w:delText>甲乙双方在本协议项下发生任何争议时，应本着诚实信用的原则通过协商解决。如通过协商仍不能解决争议时，双方均同意向信银理财住所地有管辖权的人民法院提起诉讼</w:delText>
        </w:r>
      </w:del>
      <w:del w:id="80" w:author="陈晨" w:date="2023-02-27T16:46:37Z">
        <w:r>
          <w:rPr>
            <w:rFonts w:ascii="Times New Roman" w:hAnsi="Times New Roman" w:eastAsia="楷体_GB2312" w:cs="Times New Roman"/>
            <w:b/>
            <w:bCs/>
            <w:sz w:val="20"/>
            <w:szCs w:val="20"/>
          </w:rPr>
          <w:delText>。</w:delText>
        </w:r>
      </w:del>
    </w:p>
    <w:p>
      <w:pPr>
        <w:spacing w:line="300" w:lineRule="exact"/>
        <w:ind w:firstLine="480"/>
        <w:rPr>
          <w:del w:id="81" w:author="陈晨" w:date="2023-02-27T16:46:37Z"/>
          <w:rFonts w:ascii="Times New Roman" w:hAnsi="Times New Roman" w:eastAsia="楷体_GB2312" w:cs="Times New Roman"/>
          <w:b/>
          <w:sz w:val="20"/>
          <w:szCs w:val="20"/>
        </w:rPr>
      </w:pPr>
      <w:del w:id="82" w:author="陈晨" w:date="2023-02-27T16:46:37Z">
        <w:r>
          <w:rPr>
            <w:rFonts w:ascii="Times New Roman" w:hAnsi="Times New Roman" w:eastAsia="楷体_GB2312" w:cs="Times New Roman"/>
            <w:b/>
            <w:sz w:val="20"/>
            <w:szCs w:val="20"/>
          </w:rPr>
          <w:delText>九、附则</w:delText>
        </w:r>
      </w:del>
    </w:p>
    <w:p>
      <w:pPr>
        <w:spacing w:line="300" w:lineRule="exact"/>
        <w:ind w:firstLine="480"/>
        <w:rPr>
          <w:del w:id="83" w:author="陈晨" w:date="2023-02-27T16:46:37Z"/>
          <w:rFonts w:ascii="Times New Roman" w:hAnsi="Times New Roman" w:eastAsia="楷体_GB2312" w:cs="Times New Roman"/>
          <w:b/>
          <w:sz w:val="20"/>
          <w:szCs w:val="20"/>
        </w:rPr>
      </w:pPr>
      <w:del w:id="84" w:author="陈晨" w:date="2023-02-27T16:46:37Z">
        <w:r>
          <w:rPr>
            <w:rFonts w:hint="eastAsia" w:ascii="Times New Roman" w:hAnsi="Times New Roman" w:eastAsia="楷体_GB2312" w:cs="Times New Roman"/>
            <w:b/>
            <w:sz w:val="20"/>
            <w:szCs w:val="20"/>
          </w:rPr>
          <w:delText>（一）本协议通过纸质形式签署的，自甲方签署（甲方为自然人的，应签字；甲方为机构或产品的，应加盖机构或产品管理人公章且其法定代表人或授权代表签章）且甲方产品认购</w:delText>
        </w:r>
      </w:del>
      <w:del w:id="85" w:author="陈晨" w:date="2023-02-27T16:46:37Z">
        <w:r>
          <w:rPr>
            <w:rFonts w:ascii="Times New Roman" w:hAnsi="Times New Roman" w:eastAsia="楷体_GB2312" w:cs="Times New Roman"/>
            <w:b/>
            <w:sz w:val="20"/>
            <w:szCs w:val="20"/>
          </w:rPr>
          <w:delText>/</w:delText>
        </w:r>
      </w:del>
      <w:del w:id="86" w:author="陈晨" w:date="2023-02-27T16:46:37Z">
        <w:r>
          <w:rPr>
            <w:rFonts w:hint="eastAsia" w:ascii="Times New Roman" w:hAnsi="Times New Roman" w:eastAsia="楷体_GB2312" w:cs="Times New Roman"/>
            <w:b/>
            <w:sz w:val="20"/>
            <w:szCs w:val="20"/>
          </w:rPr>
          <w:delText>申购份额经乙方确认后生效。本协议通过电子形式签署的，自甲方通过乙方产品的各电子销售渠道（包括直销和代销）在线点击确认或勾选且甲方产品认购</w:delText>
        </w:r>
      </w:del>
      <w:del w:id="87" w:author="陈晨" w:date="2023-02-27T16:46:37Z">
        <w:r>
          <w:rPr>
            <w:rFonts w:ascii="Times New Roman" w:hAnsi="Times New Roman" w:eastAsia="楷体_GB2312" w:cs="Times New Roman"/>
            <w:b/>
            <w:sz w:val="20"/>
            <w:szCs w:val="20"/>
          </w:rPr>
          <w:delText>/</w:delText>
        </w:r>
      </w:del>
      <w:del w:id="88" w:author="陈晨" w:date="2023-02-27T16:46:37Z">
        <w:r>
          <w:rPr>
            <w:rFonts w:hint="eastAsia" w:ascii="Times New Roman" w:hAnsi="Times New Roman" w:eastAsia="楷体_GB2312" w:cs="Times New Roman"/>
            <w:b/>
            <w:sz w:val="20"/>
            <w:szCs w:val="20"/>
          </w:rPr>
          <w:delText>申购份额经乙方确认后生效。甲方知悉并确认，乙方对于甲方认购</w:delText>
        </w:r>
      </w:del>
      <w:del w:id="89" w:author="陈晨" w:date="2023-02-27T16:46:37Z">
        <w:r>
          <w:rPr>
            <w:rFonts w:ascii="Times New Roman" w:hAnsi="Times New Roman" w:eastAsia="楷体_GB2312" w:cs="Times New Roman"/>
            <w:b/>
            <w:sz w:val="20"/>
            <w:szCs w:val="20"/>
          </w:rPr>
          <w:delText>/</w:delText>
        </w:r>
      </w:del>
      <w:del w:id="90" w:author="陈晨" w:date="2023-02-27T16:46:37Z">
        <w:r>
          <w:rPr>
            <w:rFonts w:hint="eastAsia" w:ascii="Times New Roman" w:hAnsi="Times New Roman" w:eastAsia="楷体_GB2312" w:cs="Times New Roman"/>
            <w:b/>
            <w:sz w:val="20"/>
            <w:szCs w:val="20"/>
          </w:rPr>
          <w:delText>申购份额的确认即视为乙方对于本协议的签署和认可，甲方不得以乙方未在本协议上盖章为由主张本协议无效。</w:delText>
        </w:r>
      </w:del>
    </w:p>
    <w:p>
      <w:pPr>
        <w:spacing w:line="300" w:lineRule="exact"/>
        <w:ind w:firstLine="480"/>
        <w:rPr>
          <w:del w:id="91" w:author="陈晨" w:date="2023-02-27T16:46:37Z"/>
          <w:rFonts w:ascii="Times New Roman" w:hAnsi="Times New Roman" w:eastAsia="楷体_GB2312" w:cs="Times New Roman"/>
          <w:sz w:val="20"/>
          <w:szCs w:val="20"/>
        </w:rPr>
      </w:pPr>
      <w:del w:id="92" w:author="陈晨" w:date="2023-02-27T16:46:37Z">
        <w:r>
          <w:rPr>
            <w:rFonts w:hint="eastAsia" w:ascii="Times New Roman" w:hAnsi="Times New Roman" w:eastAsia="楷体_GB2312" w:cs="Times New Roman"/>
            <w:sz w:val="20"/>
            <w:szCs w:val="20"/>
          </w:rPr>
          <w:delText>（二）本协议条款与《信银理财理财产品产品说明书》条款不一致的，以《信银理财理财产品产品说明书》的约定为准。</w:delText>
        </w:r>
      </w:del>
    </w:p>
    <w:p>
      <w:pPr>
        <w:spacing w:line="300" w:lineRule="exact"/>
        <w:ind w:firstLine="480"/>
        <w:rPr>
          <w:del w:id="93" w:author="陈晨" w:date="2023-02-27T16:46:37Z"/>
          <w:rFonts w:ascii="Times New Roman" w:hAnsi="Times New Roman" w:eastAsia="楷体_GB2312" w:cs="Times New Roman"/>
          <w:b/>
          <w:sz w:val="20"/>
          <w:szCs w:val="20"/>
        </w:rPr>
      </w:pPr>
      <w:del w:id="94" w:author="陈晨" w:date="2023-02-27T16:46:37Z">
        <w:r>
          <w:rPr>
            <w:rFonts w:hint="eastAsia" w:ascii="Times New Roman" w:hAnsi="Times New Roman" w:eastAsia="楷体_GB2312" w:cs="Times New Roman"/>
            <w:b/>
            <w:sz w:val="20"/>
            <w:szCs w:val="20"/>
          </w:rPr>
          <w:delText>（三）如果由于任何原因使本协议下的任何条款或者内容成为无效或者依法被撤消，本协议其他条款或内容的合法性，有效性和可执行性不受影响。</w:delText>
        </w:r>
      </w:del>
    </w:p>
    <w:p>
      <w:pPr>
        <w:spacing w:line="300" w:lineRule="exact"/>
        <w:rPr>
          <w:del w:id="95" w:author="陈晨" w:date="2023-02-27T16:46:37Z"/>
          <w:rFonts w:ascii="Times New Roman" w:hAnsi="Times New Roman" w:eastAsia="楷体_GB2312" w:cs="Times New Roman"/>
          <w:sz w:val="20"/>
          <w:szCs w:val="20"/>
        </w:rPr>
      </w:pPr>
    </w:p>
    <w:p>
      <w:pPr>
        <w:spacing w:line="300" w:lineRule="exact"/>
        <w:rPr>
          <w:del w:id="96" w:author="陈晨" w:date="2023-02-27T16:46:37Z"/>
          <w:rFonts w:ascii="Times New Roman" w:hAnsi="Times New Roman" w:eastAsia="楷体_GB2312" w:cs="Times New Roman"/>
          <w:sz w:val="20"/>
          <w:szCs w:val="20"/>
        </w:rPr>
      </w:pPr>
    </w:p>
    <w:p>
      <w:pPr>
        <w:spacing w:line="300" w:lineRule="exact"/>
        <w:rPr>
          <w:del w:id="97" w:author="陈晨" w:date="2023-02-27T16:46:37Z"/>
          <w:rFonts w:ascii="Times New Roman" w:hAnsi="Times New Roman" w:eastAsia="楷体_GB2312" w:cs="Times New Roman"/>
          <w:sz w:val="20"/>
          <w:szCs w:val="20"/>
        </w:rPr>
      </w:pPr>
      <w:del w:id="98" w:author="陈晨" w:date="2023-02-27T16:46:37Z">
        <w:r>
          <w:rPr>
            <w:rFonts w:ascii="Times New Roman" w:hAnsi="Times New Roman" w:eastAsia="楷体_GB2312" w:cs="Times New Roman"/>
            <w:b/>
            <w:sz w:val="20"/>
            <w:szCs w:val="20"/>
          </w:rPr>
          <w:delText>甲方</w:delText>
        </w:r>
      </w:del>
      <w:del w:id="99" w:author="陈晨" w:date="2023-02-27T16:46:37Z">
        <w:r>
          <w:rPr>
            <w:rFonts w:ascii="Times New Roman" w:hAnsi="Times New Roman" w:eastAsia="楷体_GB2312" w:cs="Times New Roman"/>
            <w:sz w:val="20"/>
            <w:szCs w:val="20"/>
          </w:rPr>
          <w:delText xml:space="preserve">：个人投资者（签字）:               </w:delText>
        </w:r>
      </w:del>
    </w:p>
    <w:p>
      <w:pPr>
        <w:spacing w:line="300" w:lineRule="exact"/>
        <w:ind w:firstLine="600" w:firstLineChars="300"/>
        <w:rPr>
          <w:del w:id="100" w:author="陈晨" w:date="2023-02-27T16:46:37Z"/>
          <w:rFonts w:ascii="Times New Roman" w:hAnsi="Times New Roman" w:eastAsia="楷体_GB2312" w:cs="Times New Roman"/>
          <w:sz w:val="20"/>
          <w:szCs w:val="20"/>
        </w:rPr>
      </w:pPr>
    </w:p>
    <w:p>
      <w:pPr>
        <w:spacing w:line="300" w:lineRule="exact"/>
        <w:ind w:firstLine="600" w:firstLineChars="300"/>
        <w:rPr>
          <w:del w:id="101" w:author="陈晨" w:date="2023-02-27T16:46:37Z"/>
          <w:rFonts w:ascii="Times New Roman" w:hAnsi="Times New Roman" w:eastAsia="楷体_GB2312" w:cs="Times New Roman"/>
          <w:sz w:val="20"/>
          <w:szCs w:val="20"/>
        </w:rPr>
      </w:pPr>
      <w:del w:id="102" w:author="陈晨" w:date="2023-02-27T16:46:37Z">
        <w:r>
          <w:rPr>
            <w:rFonts w:ascii="Times New Roman" w:hAnsi="Times New Roman" w:eastAsia="楷体_GB2312" w:cs="Times New Roman"/>
            <w:sz w:val="20"/>
            <w:szCs w:val="20"/>
          </w:rPr>
          <w:delText xml:space="preserve">机构投资者（公章）:               </w:delText>
        </w:r>
      </w:del>
    </w:p>
    <w:p>
      <w:pPr>
        <w:spacing w:line="300" w:lineRule="exact"/>
        <w:ind w:firstLine="600" w:firstLineChars="300"/>
        <w:rPr>
          <w:del w:id="103" w:author="陈晨" w:date="2023-02-27T16:46:37Z"/>
          <w:rFonts w:ascii="Times New Roman" w:hAnsi="Times New Roman" w:eastAsia="楷体_GB2312" w:cs="Times New Roman"/>
          <w:sz w:val="20"/>
          <w:szCs w:val="20"/>
        </w:rPr>
      </w:pPr>
      <w:del w:id="104" w:author="陈晨" w:date="2023-02-27T16:46:37Z">
        <w:r>
          <w:rPr>
            <w:rFonts w:ascii="Times New Roman" w:hAnsi="Times New Roman" w:eastAsia="楷体_GB2312" w:cs="Times New Roman"/>
            <w:sz w:val="20"/>
            <w:szCs w:val="20"/>
          </w:rPr>
          <w:delText>法定代表人/负责人/授权代表（签字/盖章）：</w:delText>
        </w:r>
      </w:del>
    </w:p>
    <w:p>
      <w:pPr>
        <w:spacing w:line="300" w:lineRule="exact"/>
        <w:ind w:firstLine="600" w:firstLineChars="300"/>
        <w:rPr>
          <w:del w:id="105" w:author="陈晨" w:date="2023-02-27T16:46:37Z"/>
          <w:rFonts w:ascii="Times New Roman" w:hAnsi="Times New Roman" w:eastAsia="楷体_GB2312" w:cs="Times New Roman"/>
          <w:sz w:val="20"/>
          <w:szCs w:val="20"/>
        </w:rPr>
      </w:pPr>
    </w:p>
    <w:p>
      <w:pPr>
        <w:spacing w:line="300" w:lineRule="exact"/>
        <w:ind w:firstLine="600" w:firstLineChars="300"/>
        <w:rPr>
          <w:del w:id="106" w:author="陈晨" w:date="2023-02-27T16:46:37Z"/>
          <w:rFonts w:ascii="Times New Roman" w:hAnsi="Times New Roman" w:eastAsia="楷体_GB2312" w:cs="Times New Roman"/>
          <w:sz w:val="20"/>
          <w:szCs w:val="20"/>
        </w:rPr>
      </w:pPr>
      <w:del w:id="107" w:author="陈晨" w:date="2023-02-27T16:46:37Z">
        <w:r>
          <w:rPr>
            <w:rFonts w:ascii="Times New Roman" w:hAnsi="Times New Roman" w:eastAsia="楷体_GB2312" w:cs="Times New Roman"/>
            <w:sz w:val="20"/>
            <w:szCs w:val="20"/>
          </w:rPr>
          <w:delText>证件类别</w:delText>
        </w:r>
      </w:del>
      <w:del w:id="108" w:author="陈晨" w:date="2023-02-27T16:46:37Z">
        <w:r>
          <w:rPr>
            <w:rFonts w:hint="eastAsia" w:ascii="Times New Roman" w:hAnsi="Times New Roman" w:eastAsia="楷体_GB2312" w:cs="Times New Roman"/>
            <w:sz w:val="20"/>
            <w:szCs w:val="20"/>
          </w:rPr>
          <w:delText>（个人</w:delText>
        </w:r>
      </w:del>
      <w:del w:id="109" w:author="陈晨" w:date="2023-02-27T16:46:37Z">
        <w:r>
          <w:rPr>
            <w:rFonts w:ascii="Times New Roman" w:hAnsi="Times New Roman" w:eastAsia="楷体_GB2312" w:cs="Times New Roman"/>
            <w:sz w:val="20"/>
            <w:szCs w:val="20"/>
          </w:rPr>
          <w:delText xml:space="preserve">投资者）：             </w:delText>
        </w:r>
      </w:del>
    </w:p>
    <w:p>
      <w:pPr>
        <w:spacing w:line="300" w:lineRule="exact"/>
        <w:ind w:firstLine="600" w:firstLineChars="300"/>
        <w:rPr>
          <w:del w:id="110" w:author="陈晨" w:date="2023-02-27T16:46:37Z"/>
          <w:rFonts w:ascii="Times New Roman" w:hAnsi="Times New Roman" w:eastAsia="楷体_GB2312" w:cs="Times New Roman"/>
          <w:sz w:val="20"/>
          <w:szCs w:val="20"/>
        </w:rPr>
      </w:pPr>
    </w:p>
    <w:p>
      <w:pPr>
        <w:spacing w:line="300" w:lineRule="exact"/>
        <w:ind w:firstLine="600" w:firstLineChars="300"/>
        <w:rPr>
          <w:del w:id="111" w:author="陈晨" w:date="2023-02-27T16:46:37Z"/>
          <w:rFonts w:ascii="Times New Roman" w:hAnsi="Times New Roman" w:eastAsia="楷体_GB2312" w:cs="Times New Roman"/>
          <w:sz w:val="20"/>
          <w:szCs w:val="20"/>
        </w:rPr>
      </w:pPr>
      <w:del w:id="112" w:author="陈晨" w:date="2023-02-27T16:46:37Z">
        <w:r>
          <w:rPr>
            <w:rFonts w:ascii="Times New Roman" w:hAnsi="Times New Roman" w:eastAsia="楷体_GB2312" w:cs="Times New Roman"/>
            <w:sz w:val="20"/>
            <w:szCs w:val="20"/>
          </w:rPr>
          <w:delText>证件号</w:delText>
        </w:r>
      </w:del>
      <w:del w:id="113" w:author="陈晨" w:date="2023-02-27T16:46:37Z">
        <w:r>
          <w:rPr>
            <w:rFonts w:hint="eastAsia" w:ascii="Times New Roman" w:hAnsi="Times New Roman" w:eastAsia="楷体_GB2312" w:cs="Times New Roman"/>
            <w:sz w:val="20"/>
            <w:szCs w:val="20"/>
          </w:rPr>
          <w:delText>（个人</w:delText>
        </w:r>
      </w:del>
      <w:del w:id="114" w:author="陈晨" w:date="2023-02-27T16:46:37Z">
        <w:r>
          <w:rPr>
            <w:rFonts w:ascii="Times New Roman" w:hAnsi="Times New Roman" w:eastAsia="楷体_GB2312" w:cs="Times New Roman"/>
            <w:sz w:val="20"/>
            <w:szCs w:val="20"/>
          </w:rPr>
          <w:delText>投资者）：</w:delText>
        </w:r>
      </w:del>
    </w:p>
    <w:p>
      <w:pPr>
        <w:spacing w:line="300" w:lineRule="exact"/>
        <w:ind w:left="-821" w:leftChars="-342" w:right="-792" w:rightChars="-330"/>
        <w:jc w:val="center"/>
        <w:rPr>
          <w:del w:id="115" w:author="陈晨" w:date="2023-02-27T16:46:37Z"/>
          <w:rFonts w:ascii="黑体" w:hAnsi="楷体_GB2312" w:eastAsia="黑体" w:cs="黑体"/>
          <w:b/>
          <w:bCs/>
        </w:rPr>
      </w:pPr>
    </w:p>
    <w:p>
      <w:pPr>
        <w:spacing w:line="300" w:lineRule="exact"/>
        <w:ind w:left="-821" w:leftChars="-342" w:right="-792" w:rightChars="-330"/>
        <w:jc w:val="center"/>
        <w:rPr>
          <w:del w:id="116" w:author="陈晨" w:date="2023-02-27T16:46:37Z"/>
          <w:rFonts w:ascii="黑体" w:hAnsi="楷体_GB2312" w:eastAsia="黑体" w:cs="黑体"/>
          <w:b/>
          <w:bCs/>
        </w:rPr>
      </w:pPr>
    </w:p>
    <w:p>
      <w:pPr>
        <w:spacing w:line="300" w:lineRule="exact"/>
        <w:ind w:left="-821" w:leftChars="-342" w:right="-792" w:rightChars="-330"/>
        <w:jc w:val="center"/>
        <w:rPr>
          <w:del w:id="117" w:author="陈晨" w:date="2023-02-27T16:46:37Z"/>
          <w:rFonts w:ascii="黑体" w:hAnsi="楷体_GB2312" w:eastAsia="黑体" w:cs="黑体"/>
          <w:b/>
          <w:bCs/>
        </w:rPr>
      </w:pPr>
      <w:del w:id="118" w:author="陈晨" w:date="2023-02-27T16:46:37Z">
        <w:r>
          <w:rPr>
            <w:rFonts w:hint="eastAsia" w:ascii="黑体" w:hAnsi="楷体_GB2312" w:eastAsia="黑体" w:cs="黑体"/>
            <w:b/>
            <w:bCs/>
          </w:rPr>
          <w:delText>信银理财理财产品风险揭示书</w:delText>
        </w:r>
      </w:del>
    </w:p>
    <w:p>
      <w:pPr>
        <w:spacing w:line="300" w:lineRule="exact"/>
        <w:ind w:left="-821" w:leftChars="-342" w:right="-792" w:rightChars="-330"/>
        <w:jc w:val="center"/>
        <w:rPr>
          <w:del w:id="119" w:author="陈晨" w:date="2023-02-27T16:46:37Z"/>
          <w:rFonts w:ascii="楷体_GB2312" w:eastAsia="楷体_GB2312"/>
        </w:rPr>
      </w:pPr>
      <w:del w:id="120" w:author="陈晨" w:date="2023-02-27T16:46:37Z">
        <w:r>
          <w:rPr>
            <w:rFonts w:ascii="黑体" w:eastAsia="黑体"/>
            <w:b/>
            <w:bCs/>
          </w:rPr>
          <w:delText> </w:delText>
        </w:r>
      </w:del>
    </w:p>
    <w:p>
      <w:pPr>
        <w:spacing w:line="300" w:lineRule="exact"/>
        <w:jc w:val="both"/>
        <w:rPr>
          <w:del w:id="121" w:author="陈晨" w:date="2023-02-27T16:46:37Z"/>
          <w:rFonts w:ascii="楷体_GB2312" w:eastAsia="楷体_GB2312"/>
        </w:rPr>
      </w:pPr>
      <w:del w:id="122" w:author="陈晨" w:date="2023-02-27T16:46:37Z">
        <w:r>
          <w:rPr>
            <w:rFonts w:hint="eastAsia" w:ascii="楷体_GB2312" w:hAnsi="Arial" w:eastAsia="楷体_GB2312" w:cs="楷体_GB2312"/>
          </w:rPr>
          <w:delText>尊敬的客户：</w:delText>
        </w:r>
      </w:del>
      <w:del w:id="123" w:author="陈晨" w:date="2023-02-27T16:46:37Z">
        <w:r>
          <w:rPr>
            <w:rFonts w:ascii="楷体_GB2312" w:hAnsi="Arial" w:eastAsia="楷体_GB2312" w:cs="楷体_GB2312"/>
          </w:rPr>
          <w:delText xml:space="preserve"> </w:delText>
        </w:r>
      </w:del>
    </w:p>
    <w:p>
      <w:pPr>
        <w:spacing w:line="300" w:lineRule="exact"/>
        <w:ind w:firstLine="480" w:firstLineChars="200"/>
        <w:jc w:val="both"/>
        <w:rPr>
          <w:del w:id="124" w:author="陈晨" w:date="2023-02-27T16:46:37Z"/>
        </w:rPr>
      </w:pPr>
      <w:del w:id="125" w:author="陈晨" w:date="2023-02-27T16:46:37Z">
        <w:r>
          <w:rPr>
            <w:rFonts w:hint="eastAsia" w:ascii="楷体_GB2312" w:hAnsi="Arial" w:eastAsia="楷体_GB2312" w:cs="楷体_GB2312"/>
          </w:rPr>
          <w:delText>理财资金管理运用过程中，可能会面临多种风险因素，包括但不限于信用风险、市场风险、流动性风险、提前终止风险、政策风险、信息传递风险、管理风险、延期清算风险、理财</w:delText>
        </w:r>
      </w:del>
      <w:del w:id="126" w:author="陈晨" w:date="2023-02-27T16:46:37Z">
        <w:r>
          <w:rPr>
            <w:rFonts w:ascii="楷体_GB2312" w:hAnsi="Arial" w:eastAsia="楷体_GB2312" w:cs="楷体_GB2312"/>
          </w:rPr>
          <w:delText>产品不成立风险、</w:delText>
        </w:r>
      </w:del>
      <w:del w:id="127" w:author="陈晨" w:date="2023-02-27T16:46:37Z">
        <w:r>
          <w:rPr>
            <w:rFonts w:hint="eastAsia" w:ascii="楷体_GB2312" w:hAnsi="Arial" w:eastAsia="楷体_GB2312" w:cs="楷体_GB2312"/>
          </w:rPr>
          <w:delText>不可抗力及意外</w:delText>
        </w:r>
      </w:del>
      <w:del w:id="128" w:author="陈晨" w:date="2023-02-27T16:46:37Z">
        <w:r>
          <w:rPr>
            <w:rFonts w:ascii="楷体_GB2312" w:hAnsi="Arial" w:eastAsia="楷体_GB2312" w:cs="楷体_GB2312"/>
          </w:rPr>
          <w:delText>事件</w:delText>
        </w:r>
      </w:del>
      <w:del w:id="129" w:author="陈晨" w:date="2023-02-27T16:46:37Z">
        <w:r>
          <w:rPr>
            <w:rFonts w:hint="eastAsia" w:ascii="楷体_GB2312" w:hAnsi="Arial" w:eastAsia="楷体_GB2312" w:cs="楷体_GB2312"/>
          </w:rPr>
          <w:delText>风险、</w:delText>
        </w:r>
      </w:del>
      <w:del w:id="130" w:author="陈晨" w:date="2023-02-27T16:46:37Z">
        <w:r>
          <w:rPr>
            <w:rFonts w:ascii="楷体_GB2312" w:hAnsi="Arial" w:eastAsia="楷体_GB2312" w:cs="楷体_GB2312"/>
          </w:rPr>
          <w:delText>关联交易风险</w:delText>
        </w:r>
      </w:del>
      <w:del w:id="131" w:author="陈晨" w:date="2023-02-27T16:46:37Z">
        <w:r>
          <w:rPr>
            <w:rFonts w:hint="eastAsia" w:ascii="楷体_GB2312" w:hAnsi="Arial" w:eastAsia="楷体_GB2312" w:cs="楷体_GB2312"/>
          </w:rPr>
          <w:delText>、</w:delText>
        </w:r>
      </w:del>
      <w:del w:id="132" w:author="陈晨" w:date="2023-02-27T16:46:37Z">
        <w:r>
          <w:rPr>
            <w:rFonts w:ascii="楷体_GB2312" w:hAnsi="Arial" w:eastAsia="楷体_GB2312" w:cs="楷体_GB2312"/>
          </w:rPr>
          <w:delText>合作销售机构风险</w:delText>
        </w:r>
      </w:del>
      <w:del w:id="133" w:author="陈晨" w:date="2023-02-27T16:46:37Z">
        <w:r>
          <w:rPr>
            <w:rFonts w:hint="eastAsia" w:ascii="楷体_GB2312" w:hAnsi="Arial" w:eastAsia="楷体_GB2312" w:cs="楷体_GB2312"/>
          </w:rPr>
          <w:delText>、</w:delText>
        </w:r>
      </w:del>
      <w:del w:id="134" w:author="陈晨" w:date="2023-02-27T16:46:37Z">
        <w:r>
          <w:rPr>
            <w:rFonts w:ascii="楷体_GB2312" w:hAnsi="Arial" w:eastAsia="楷体_GB2312" w:cs="楷体_GB2312"/>
          </w:rPr>
          <w:delText>操作风险</w:delText>
        </w:r>
      </w:del>
      <w:del w:id="135" w:author="陈晨" w:date="2023-02-27T16:46:37Z">
        <w:r>
          <w:rPr>
            <w:rFonts w:hint="eastAsia" w:ascii="楷体_GB2312" w:hAnsi="Arial" w:eastAsia="楷体_GB2312" w:cs="楷体_GB2312"/>
          </w:rPr>
          <w:delText>等风险。具体风险的含义，请您认真阅读本理财产品说明书中相应的风险揭示部分。</w:delText>
        </w:r>
      </w:del>
    </w:p>
    <w:p>
      <w:pPr>
        <w:spacing w:line="300" w:lineRule="exact"/>
        <w:ind w:firstLine="480" w:firstLineChars="200"/>
        <w:jc w:val="both"/>
        <w:rPr>
          <w:del w:id="136" w:author="陈晨" w:date="2023-02-27T16:46:37Z"/>
        </w:rPr>
      </w:pPr>
      <w:del w:id="137" w:author="陈晨" w:date="2023-02-27T16:46:37Z">
        <w:r>
          <w:rPr>
            <w:rFonts w:hint="eastAsia" w:ascii="楷体_GB2312" w:hAnsi="Arial" w:eastAsia="楷体_GB2312" w:cs="楷体_GB2312"/>
          </w:rPr>
          <w:delText>由于相关风险因素可能导致您的本金及收益全部或部分损失，因此，在您选择购买本理财产品前，请仔细阅读理财产品销售文件，包括理财产品销售总协议、理财</w:delText>
        </w:r>
      </w:del>
      <w:del w:id="138" w:author="陈晨" w:date="2023-02-27T16:46:37Z">
        <w:r>
          <w:rPr>
            <w:rFonts w:ascii="楷体_GB2312" w:hAnsi="Arial" w:eastAsia="楷体_GB2312" w:cs="楷体_GB2312"/>
          </w:rPr>
          <w:delText>产品</w:delText>
        </w:r>
      </w:del>
      <w:del w:id="139" w:author="陈晨" w:date="2023-02-27T16:46:37Z">
        <w:r>
          <w:rPr>
            <w:rFonts w:hint="eastAsia" w:ascii="楷体_GB2312" w:hAnsi="Arial" w:eastAsia="楷体_GB2312" w:cs="楷体_GB2312"/>
          </w:rPr>
          <w:delText>投资协议书</w:delText>
        </w:r>
      </w:del>
      <w:del w:id="140" w:author="陈晨" w:date="2023-02-27T16:46:37Z">
        <w:r>
          <w:rPr>
            <w:rFonts w:ascii="楷体_GB2312" w:hAnsi="Arial" w:eastAsia="楷体_GB2312" w:cs="楷体_GB2312"/>
          </w:rPr>
          <w:delText>、</w:delText>
        </w:r>
      </w:del>
      <w:del w:id="141" w:author="陈晨" w:date="2023-02-27T16:46:37Z">
        <w:r>
          <w:rPr>
            <w:rFonts w:hint="eastAsia" w:ascii="楷体_GB2312" w:hAnsi="Arial" w:eastAsia="楷体_GB2312" w:cs="楷体_GB2312"/>
          </w:rPr>
          <w:delText>理财产品说明书、风险揭示书及客户权益须知等，了解本理财产品具体情况</w:delText>
        </w:r>
      </w:del>
      <w:del w:id="142" w:author="陈晨" w:date="2023-02-27T16:46:37Z">
        <w:r>
          <w:rPr>
            <w:rFonts w:hint="eastAsia" w:ascii="楷体_GB2312" w:hAnsi="Arial" w:eastAsia="楷体_GB2312" w:cs="楷体_GB2312"/>
            <w:b/>
            <w:bCs/>
          </w:rPr>
          <w:delText>。</w:delText>
        </w:r>
      </w:del>
    </w:p>
    <w:p>
      <w:pPr>
        <w:ind w:firstLine="480" w:firstLineChars="200"/>
        <w:jc w:val="both"/>
        <w:rPr>
          <w:del w:id="143" w:author="陈晨" w:date="2023-02-27T16:46:37Z"/>
          <w:rFonts w:ascii="楷体_GB2312" w:eastAsia="楷体_GB2312"/>
        </w:rPr>
      </w:pPr>
    </w:p>
    <w:p>
      <w:pPr>
        <w:spacing w:line="300" w:lineRule="exact"/>
        <w:ind w:firstLine="480" w:firstLineChars="200"/>
        <w:jc w:val="both"/>
        <w:rPr>
          <w:del w:id="144" w:author="陈晨" w:date="2023-02-27T16:46:37Z"/>
          <w:rFonts w:ascii="楷体_GB2312" w:hAnsi="Arial" w:eastAsia="楷体_GB2312" w:cs="楷体_GB2312"/>
        </w:rPr>
      </w:pPr>
      <w:del w:id="145" w:author="陈晨" w:date="2023-02-27T16:46:37Z">
        <w:r>
          <w:rPr>
            <w:rFonts w:hint="eastAsia" w:ascii="Arial" w:hAnsi="Arial" w:eastAsia="楷体_GB2312" w:cs="楷体_GB2312"/>
          </w:rPr>
          <w:delText>本理财产品名称为</w:delText>
        </w:r>
      </w:del>
      <w:del w:id="146" w:author="陈晨" w:date="2023-02-27T16:46:37Z">
        <w:r>
          <w:rPr>
            <w:rFonts w:hint="eastAsia" w:ascii="楷体_GB2312" w:hAnsi="楷体_GB2312" w:eastAsia="楷体_GB2312" w:cs="楷体_GB2312"/>
            <w:b/>
            <w:bCs/>
          </w:rPr>
          <w:delText>【信银理财同盈象固收稳健浙江共富共创一年封闭1号理财产品</w:delText>
        </w:r>
      </w:del>
      <w:del w:id="147" w:author="陈晨" w:date="2023-02-27T16:46:37Z">
        <w:r>
          <w:rPr>
            <w:rFonts w:ascii="楷体_GB2312" w:hAnsi="楷体_GB2312" w:eastAsia="楷体_GB2312" w:cs="楷体_GB2312"/>
            <w:b/>
            <w:bCs/>
          </w:rPr>
          <w:delText>】</w:delText>
        </w:r>
      </w:del>
      <w:del w:id="148" w:author="陈晨" w:date="2023-02-27T16:46:37Z">
        <w:r>
          <w:rPr>
            <w:rFonts w:hint="eastAsia" w:ascii="楷体_GB2312" w:hAnsi="Arial" w:eastAsia="楷体_GB2312" w:cs="楷体_GB2312"/>
          </w:rPr>
          <w:delText>，产品代码为【</w:delText>
        </w:r>
      </w:del>
      <w:del w:id="149" w:author="陈晨" w:date="2023-02-27T16:46:37Z">
        <w:r>
          <w:rPr>
            <w:rFonts w:ascii="楷体_GB2312" w:hAnsi="Arial" w:eastAsia="楷体_GB2312" w:cs="楷体_GB2312"/>
          </w:rPr>
          <w:delText>AF231599</w:delText>
        </w:r>
      </w:del>
      <w:del w:id="150" w:author="陈晨" w:date="2023-02-27T16:46:37Z">
        <w:r>
          <w:rPr>
            <w:rFonts w:hint="eastAsia" w:ascii="楷体_GB2312" w:hAnsi="Arial" w:eastAsia="楷体_GB2312" w:cs="楷体_GB2312"/>
          </w:rPr>
          <w:delText>】，类型为【公募】、【固定收益类</w:delText>
        </w:r>
      </w:del>
      <w:del w:id="151" w:author="陈晨" w:date="2023-02-27T16:46:37Z">
        <w:r>
          <w:rPr>
            <w:rFonts w:ascii="楷体_GB2312" w:hAnsi="Arial" w:eastAsia="楷体_GB2312" w:cs="楷体_GB2312"/>
          </w:rPr>
          <w:delText>】</w:delText>
        </w:r>
      </w:del>
      <w:del w:id="152" w:author="陈晨" w:date="2023-02-27T16:46:37Z">
        <w:r>
          <w:rPr>
            <w:rFonts w:hint="eastAsia" w:ascii="楷体_GB2312" w:hAnsi="Arial" w:eastAsia="楷体_GB2312" w:cs="楷体_GB2312"/>
          </w:rPr>
          <w:delText>、【封闭式】产品，期限为【</w:delText>
        </w:r>
      </w:del>
      <w:del w:id="153" w:author="陈晨" w:date="2023-02-27T16:46:37Z">
        <w:r>
          <w:rPr>
            <w:rFonts w:ascii="楷体_GB2312" w:hAnsi="Arial" w:eastAsia="楷体_GB2312" w:cs="楷体_GB2312"/>
          </w:rPr>
          <w:delText>377</w:delText>
        </w:r>
      </w:del>
      <w:del w:id="154" w:author="陈晨" w:date="2023-02-27T16:46:37Z">
        <w:r>
          <w:rPr>
            <w:rFonts w:hint="eastAsia" w:ascii="楷体_GB2312" w:hAnsi="Arial" w:eastAsia="楷体_GB2312" w:cs="楷体_GB2312"/>
          </w:rPr>
          <w:delText>】天，风险评级为【PR2】，适合购买客户为风险承受能力为 【稳健型】</w:delText>
        </w:r>
      </w:del>
      <w:del w:id="155" w:author="陈晨" w:date="2023-02-27T16:46:37Z">
        <w:r>
          <w:rPr>
            <w:rFonts w:ascii="楷体_GB2312" w:hAnsi="Arial" w:eastAsia="楷体_GB2312" w:cs="楷体_GB2312"/>
          </w:rPr>
          <w:delText xml:space="preserve"> </w:delText>
        </w:r>
      </w:del>
      <w:del w:id="156" w:author="陈晨" w:date="2023-02-27T16:46:37Z">
        <w:r>
          <w:rPr>
            <w:rFonts w:hint="eastAsia" w:ascii="楷体_GB2312" w:hAnsi="Arial" w:eastAsia="楷体_GB2312" w:cs="楷体_GB2312"/>
          </w:rPr>
          <w:delText>及以上的客户。</w:delText>
        </w:r>
      </w:del>
    </w:p>
    <w:p>
      <w:pPr>
        <w:spacing w:line="300" w:lineRule="exact"/>
        <w:ind w:firstLine="480" w:firstLineChars="200"/>
        <w:jc w:val="both"/>
        <w:rPr>
          <w:del w:id="157" w:author="陈晨" w:date="2023-02-27T16:46:37Z"/>
          <w:rFonts w:ascii="楷体_GB2312" w:hAnsi="Arial" w:eastAsia="楷体_GB2312"/>
        </w:rPr>
      </w:pPr>
      <w:del w:id="158" w:author="陈晨" w:date="2023-02-27T16:46:37Z">
        <w:r>
          <w:rPr>
            <w:rFonts w:hint="eastAsia" w:ascii="黑体" w:hAnsi="Times New Roman" w:eastAsia="黑体" w:cs="黑体"/>
          </w:rPr>
          <w:delText>重要提示</w:delText>
        </w:r>
      </w:del>
      <w:del w:id="159" w:author="陈晨" w:date="2023-02-27T16:46:37Z">
        <w:r>
          <w:rPr>
            <w:rFonts w:hint="eastAsia" w:ascii="楷体_GB2312" w:hAnsi="Arial" w:eastAsia="楷体_GB2312" w:cs="楷体_GB2312"/>
          </w:rPr>
          <w:delText>：信银理财</w:delText>
        </w:r>
      </w:del>
      <w:del w:id="160" w:author="陈晨" w:date="2023-02-27T16:46:37Z">
        <w:r>
          <w:rPr>
            <w:rFonts w:ascii="楷体_GB2312" w:hAnsi="Arial" w:eastAsia="楷体_GB2312" w:cs="楷体_GB2312"/>
          </w:rPr>
          <w:delText>作为本理财</w:delText>
        </w:r>
      </w:del>
      <w:del w:id="161" w:author="陈晨" w:date="2023-02-27T16:46:37Z">
        <w:r>
          <w:rPr>
            <w:rFonts w:hint="eastAsia" w:ascii="楷体_GB2312" w:hAnsi="Arial" w:eastAsia="楷体_GB2312" w:cs="楷体_GB2312"/>
          </w:rPr>
          <w:delText>产品</w:delText>
        </w:r>
      </w:del>
      <w:del w:id="162" w:author="陈晨" w:date="2023-02-27T16:46:37Z">
        <w:r>
          <w:rPr>
            <w:rFonts w:ascii="楷体_GB2312" w:hAnsi="Arial" w:eastAsia="楷体_GB2312" w:cs="楷体_GB2312"/>
          </w:rPr>
          <w:delText>管理人承诺以诚实守信、</w:delText>
        </w:r>
      </w:del>
      <w:del w:id="163" w:author="陈晨" w:date="2023-02-27T16:46:37Z">
        <w:r>
          <w:rPr>
            <w:rFonts w:hint="eastAsia" w:ascii="楷体_GB2312" w:hAnsi="Arial" w:eastAsia="楷体_GB2312" w:cs="楷体_GB2312"/>
          </w:rPr>
          <w:delText>勤勉</w:delText>
        </w:r>
      </w:del>
      <w:del w:id="164" w:author="陈晨" w:date="2023-02-27T16:46:37Z">
        <w:r>
          <w:rPr>
            <w:rFonts w:ascii="楷体_GB2312" w:hAnsi="Arial" w:eastAsia="楷体_GB2312" w:cs="楷体_GB2312"/>
          </w:rPr>
          <w:delText>尽职的原则管理和运用理财产品</w:delText>
        </w:r>
      </w:del>
      <w:del w:id="165" w:author="陈晨" w:date="2023-02-27T16:46:37Z">
        <w:r>
          <w:rPr>
            <w:rFonts w:hint="eastAsia" w:ascii="楷体_GB2312" w:hAnsi="Arial" w:eastAsia="楷体_GB2312" w:cs="楷体_GB2312"/>
          </w:rPr>
          <w:delText>资金</w:delText>
        </w:r>
      </w:del>
      <w:del w:id="166" w:author="陈晨" w:date="2023-02-27T16:46:37Z">
        <w:r>
          <w:rPr>
            <w:rFonts w:ascii="楷体_GB2312" w:hAnsi="Arial" w:eastAsia="楷体_GB2312" w:cs="楷体_GB2312"/>
          </w:rPr>
          <w:delText>，</w:delText>
        </w:r>
      </w:del>
      <w:del w:id="167" w:author="陈晨" w:date="2023-02-27T16:46:37Z">
        <w:r>
          <w:rPr>
            <w:rFonts w:hint="eastAsia" w:ascii="楷体_GB2312" w:hAnsi="Arial" w:eastAsia="楷体_GB2312" w:cs="楷体_GB2312"/>
          </w:rPr>
          <w:delText>但</w:delText>
        </w:r>
      </w:del>
      <w:del w:id="168" w:author="陈晨" w:date="2023-02-27T16:46:37Z">
        <w:r>
          <w:rPr>
            <w:rFonts w:ascii="楷体_GB2312" w:hAnsi="Arial" w:eastAsia="楷体_GB2312" w:cs="楷体_GB2312"/>
            <w:b/>
          </w:rPr>
          <w:delText>不保证</w:delText>
        </w:r>
      </w:del>
      <w:del w:id="169" w:author="陈晨" w:date="2023-02-27T16:46:37Z">
        <w:r>
          <w:rPr>
            <w:rFonts w:hint="eastAsia" w:ascii="楷体_GB2312" w:hAnsi="Arial" w:eastAsia="楷体_GB2312" w:cs="楷体_GB2312"/>
            <w:b/>
          </w:rPr>
          <w:delText>本金和</w:delText>
        </w:r>
      </w:del>
      <w:del w:id="170" w:author="陈晨" w:date="2023-02-27T16:46:37Z">
        <w:r>
          <w:rPr>
            <w:rFonts w:ascii="楷体_GB2312" w:hAnsi="Arial" w:eastAsia="楷体_GB2312" w:cs="楷体_GB2312"/>
            <w:b/>
          </w:rPr>
          <w:delText>收益，您可能因市场变动</w:delText>
        </w:r>
      </w:del>
      <w:del w:id="171" w:author="陈晨" w:date="2023-02-27T16:46:37Z">
        <w:r>
          <w:rPr>
            <w:rFonts w:hint="eastAsia" w:ascii="楷体_GB2312" w:hAnsi="Arial" w:eastAsia="楷体_GB2312" w:cs="楷体_GB2312"/>
            <w:b/>
          </w:rPr>
          <w:delText>而</w:delText>
        </w:r>
      </w:del>
      <w:del w:id="172" w:author="陈晨" w:date="2023-02-27T16:46:37Z">
        <w:r>
          <w:rPr>
            <w:rFonts w:ascii="楷体_GB2312" w:hAnsi="Arial" w:eastAsia="楷体_GB2312" w:cs="楷体_GB2312"/>
            <w:b/>
          </w:rPr>
          <w:delText>损失全部本金</w:delText>
        </w:r>
      </w:del>
      <w:del w:id="173" w:author="陈晨" w:date="2023-02-27T16:46:37Z">
        <w:r>
          <w:rPr>
            <w:rFonts w:hint="eastAsia" w:ascii="楷体_GB2312" w:hAnsi="Arial" w:eastAsia="楷体_GB2312" w:cs="楷体_GB2312"/>
            <w:b/>
          </w:rPr>
          <w:delText>且</w:delText>
        </w:r>
      </w:del>
      <w:del w:id="174" w:author="陈晨" w:date="2023-02-27T16:46:37Z">
        <w:r>
          <w:rPr>
            <w:rFonts w:ascii="楷体_GB2312" w:hAnsi="Arial" w:eastAsia="楷体_GB2312" w:cs="楷体_GB2312"/>
            <w:b/>
          </w:rPr>
          <w:delText>无法取得任何收益</w:delText>
        </w:r>
      </w:del>
      <w:del w:id="175" w:author="陈晨" w:date="2023-02-27T16:46:37Z">
        <w:r>
          <w:rPr>
            <w:rFonts w:hint="eastAsia" w:ascii="楷体_GB2312" w:hAnsi="Arial" w:eastAsia="楷体_GB2312" w:cs="楷体_GB2312"/>
          </w:rPr>
          <w:delText>。</w:delText>
        </w:r>
      </w:del>
      <w:del w:id="176" w:author="陈晨" w:date="2023-02-27T16:46:37Z">
        <w:r>
          <w:rPr>
            <w:rFonts w:hint="eastAsia" w:ascii="楷体" w:hAnsi="楷体" w:eastAsia="楷体"/>
            <w:b/>
          </w:rPr>
          <w:delText>理财产品过往业绩不代表其未来表现，不等于理财产品实际收益，投资须谨慎。</w:delText>
        </w:r>
      </w:del>
      <w:del w:id="177" w:author="陈晨" w:date="2023-02-27T16:46:37Z">
        <w:r>
          <w:rPr>
            <w:rFonts w:ascii="楷体_GB2312" w:hAnsi="Arial" w:eastAsia="楷体_GB2312" w:cs="楷体_GB2312"/>
          </w:rPr>
          <w:delText>信银理财</w:delText>
        </w:r>
      </w:del>
      <w:del w:id="178" w:author="陈晨" w:date="2023-02-27T16:46:37Z">
        <w:r>
          <w:rPr>
            <w:rFonts w:hint="eastAsia" w:ascii="楷体_GB2312" w:hAnsi="Arial" w:eastAsia="楷体_GB2312" w:cs="楷体_GB2312"/>
          </w:rPr>
          <w:delText>提醒您</w:delText>
        </w:r>
      </w:del>
      <w:del w:id="179" w:author="陈晨" w:date="2023-02-27T16:46:37Z">
        <w:r>
          <w:rPr>
            <w:rFonts w:ascii="楷体_GB2312" w:hAnsi="Arial" w:eastAsia="楷体_GB2312" w:cs="楷体_GB2312"/>
          </w:rPr>
          <w:delText>理财</w:delText>
        </w:r>
      </w:del>
      <w:del w:id="180" w:author="陈晨" w:date="2023-02-27T16:46:37Z">
        <w:r>
          <w:rPr>
            <w:rFonts w:hint="eastAsia" w:ascii="楷体_GB2312" w:hAnsi="Arial" w:eastAsia="楷体_GB2312" w:cs="楷体_GB2312"/>
          </w:rPr>
          <w:delText>产品</w:delText>
        </w:r>
      </w:del>
      <w:del w:id="181" w:author="陈晨" w:date="2023-02-27T16:46:37Z">
        <w:r>
          <w:rPr>
            <w:rFonts w:ascii="楷体_GB2312" w:hAnsi="Arial" w:eastAsia="楷体_GB2312" w:cs="楷体_GB2312"/>
          </w:rPr>
          <w:delText>投资</w:delText>
        </w:r>
      </w:del>
      <w:del w:id="182" w:author="陈晨" w:date="2023-02-27T16:46:37Z">
        <w:r>
          <w:rPr>
            <w:rFonts w:hint="eastAsia" w:ascii="楷体_GB2312" w:hAnsi="Arial" w:eastAsia="楷体_GB2312" w:cs="楷体_GB2312"/>
          </w:rPr>
          <w:delText>风险</w:delText>
        </w:r>
      </w:del>
      <w:del w:id="183" w:author="陈晨" w:date="2023-02-27T16:46:37Z">
        <w:r>
          <w:rPr>
            <w:rFonts w:ascii="楷体_GB2312" w:hAnsi="Arial" w:eastAsia="楷体_GB2312" w:cs="楷体_GB2312"/>
          </w:rPr>
          <w:delText>由</w:delText>
        </w:r>
      </w:del>
      <w:del w:id="184" w:author="陈晨" w:date="2023-02-27T16:46:37Z">
        <w:r>
          <w:rPr>
            <w:rFonts w:hint="eastAsia" w:ascii="楷体_GB2312" w:hAnsi="Arial" w:eastAsia="楷体_GB2312" w:cs="楷体_GB2312"/>
          </w:rPr>
          <w:delText>买者自负</w:delText>
        </w:r>
      </w:del>
      <w:del w:id="185" w:author="陈晨" w:date="2023-02-27T16:46:37Z">
        <w:r>
          <w:rPr>
            <w:rFonts w:ascii="楷体_GB2312" w:hAnsi="Arial" w:eastAsia="楷体_GB2312" w:cs="楷体_GB2312"/>
          </w:rPr>
          <w:delText>，</w:delText>
        </w:r>
      </w:del>
      <w:del w:id="186" w:author="陈晨" w:date="2023-02-27T16:46:37Z">
        <w:r>
          <w:rPr>
            <w:rFonts w:hint="eastAsia" w:ascii="楷体_GB2312" w:hAnsi="Arial" w:eastAsia="楷体_GB2312" w:cs="楷体_GB2312"/>
          </w:rPr>
          <w:delText>您应充分认识投资风险，谨慎投资！</w:delText>
        </w:r>
      </w:del>
      <w:del w:id="187" w:author="陈晨" w:date="2023-02-27T16:46:37Z">
        <w:r>
          <w:rPr>
            <w:rFonts w:ascii="楷体_GB2312" w:hAnsi="Arial" w:eastAsia="楷体_GB2312"/>
          </w:rPr>
          <w:delText> </w:delText>
        </w:r>
      </w:del>
    </w:p>
    <w:p>
      <w:pPr>
        <w:spacing w:line="300" w:lineRule="exact"/>
        <w:ind w:firstLine="480" w:firstLineChars="200"/>
        <w:jc w:val="both"/>
        <w:rPr>
          <w:del w:id="188" w:author="陈晨" w:date="2023-02-27T16:46:37Z"/>
          <w:rFonts w:ascii="楷体_GB2312" w:hAnsi="Arial" w:eastAsia="楷体_GB2312"/>
        </w:rPr>
      </w:pPr>
    </w:p>
    <w:p>
      <w:pPr>
        <w:spacing w:line="300" w:lineRule="exact"/>
        <w:ind w:firstLine="482" w:firstLineChars="200"/>
        <w:jc w:val="both"/>
        <w:rPr>
          <w:del w:id="189" w:author="陈晨" w:date="2023-02-27T16:46:37Z"/>
          <w:rFonts w:ascii="楷体_GB2312" w:hAnsi="楷体_GB2312" w:eastAsia="楷体_GB2312" w:cs="楷体_GB2312"/>
          <w:b/>
          <w:bCs/>
        </w:rPr>
      </w:pPr>
      <w:del w:id="190" w:author="陈晨" w:date="2023-02-27T16:46:37Z">
        <w:r>
          <w:rPr>
            <w:rFonts w:hint="eastAsia" w:ascii="楷体_GB2312" w:hAnsi="楷体_GB2312" w:eastAsia="楷体_GB2312" w:cs="楷体_GB2312"/>
            <w:b/>
            <w:bCs/>
          </w:rPr>
          <w:delText>【示例】：若投资者购买本理财产品，假设理财产品本金为</w:delText>
        </w:r>
      </w:del>
      <w:del w:id="191" w:author="陈晨" w:date="2023-02-27T16:46:37Z">
        <w:r>
          <w:rPr>
            <w:rFonts w:ascii="楷体_GB2312" w:hAnsi="楷体_GB2312" w:eastAsia="楷体_GB2312" w:cs="楷体_GB2312"/>
            <w:b/>
            <w:bCs/>
          </w:rPr>
          <w:delText>1</w:delText>
        </w:r>
      </w:del>
      <w:del w:id="192" w:author="陈晨" w:date="2023-02-27T16:46:37Z">
        <w:r>
          <w:rPr>
            <w:rFonts w:hint="eastAsia" w:ascii="楷体_GB2312" w:hAnsi="楷体_GB2312" w:eastAsia="楷体_GB2312" w:cs="楷体_GB2312"/>
            <w:b/>
            <w:bCs/>
          </w:rPr>
          <w:delText>.00亿元，在最不利情况下，理财本金及收益全部损失。</w:delText>
        </w:r>
      </w:del>
    </w:p>
    <w:p>
      <w:pPr>
        <w:jc w:val="both"/>
        <w:rPr>
          <w:del w:id="193" w:author="陈晨" w:date="2023-02-27T16:46:37Z"/>
          <w:rFonts w:ascii="楷体_GB2312" w:hAnsi="楷体_GB2312" w:eastAsia="楷体_GB2312" w:cs="楷体_GB2312"/>
          <w:b/>
          <w:bCs/>
        </w:rPr>
      </w:pPr>
    </w:p>
    <w:p>
      <w:pPr>
        <w:ind w:firstLine="482" w:firstLineChars="200"/>
        <w:jc w:val="both"/>
        <w:rPr>
          <w:del w:id="194" w:author="陈晨" w:date="2023-02-27T16:46:37Z"/>
          <w:rFonts w:ascii="黑体" w:hAnsi="黑体" w:eastAsia="黑体"/>
          <w:b/>
        </w:rPr>
      </w:pPr>
      <w:del w:id="195" w:author="陈晨" w:date="2023-02-27T16:46:37Z">
        <w:r>
          <w:rPr>
            <w:rFonts w:hint="eastAsia" w:ascii="黑体" w:hAnsi="黑体" w:eastAsia="黑体"/>
            <w:b/>
          </w:rPr>
          <w:delText>理财非存款</w:delText>
        </w:r>
      </w:del>
      <w:del w:id="196" w:author="陈晨" w:date="2023-02-27T16:46:37Z">
        <w:r>
          <w:rPr>
            <w:rFonts w:ascii="黑体" w:hAnsi="黑体" w:eastAsia="黑体"/>
            <w:b/>
          </w:rPr>
          <w:delText>、产品</w:delText>
        </w:r>
      </w:del>
      <w:del w:id="197" w:author="陈晨" w:date="2023-02-27T16:46:37Z">
        <w:r>
          <w:rPr>
            <w:rFonts w:hint="eastAsia" w:ascii="黑体" w:hAnsi="黑体" w:eastAsia="黑体"/>
            <w:b/>
          </w:rPr>
          <w:delText>有</w:delText>
        </w:r>
      </w:del>
      <w:del w:id="198" w:author="陈晨" w:date="2023-02-27T16:46:37Z">
        <w:r>
          <w:rPr>
            <w:rFonts w:ascii="黑体" w:hAnsi="黑体" w:eastAsia="黑体"/>
            <w:b/>
          </w:rPr>
          <w:delText>风险、投资须谨慎</w:delText>
        </w:r>
      </w:del>
      <w:del w:id="199" w:author="陈晨" w:date="2023-02-27T16:46:37Z">
        <w:r>
          <w:rPr>
            <w:rFonts w:hint="eastAsia" w:ascii="黑体" w:hAnsi="黑体" w:eastAsia="黑体"/>
            <w:b/>
          </w:rPr>
          <w:delText>！</w:delText>
        </w:r>
      </w:del>
    </w:p>
    <w:p>
      <w:pPr>
        <w:ind w:firstLine="482" w:firstLineChars="200"/>
        <w:jc w:val="both"/>
        <w:rPr>
          <w:del w:id="200" w:author="陈晨" w:date="2023-02-27T16:46:37Z"/>
          <w:rFonts w:ascii="黑体" w:hAnsi="黑体" w:eastAsia="黑体"/>
          <w:b/>
        </w:rPr>
      </w:pPr>
    </w:p>
    <w:p>
      <w:pPr>
        <w:ind w:firstLine="480" w:firstLineChars="200"/>
        <w:jc w:val="both"/>
        <w:rPr>
          <w:del w:id="201" w:author="陈晨" w:date="2023-02-27T16:46:37Z"/>
          <w:rFonts w:ascii="楷体_GB2312" w:eastAsia="楷体_GB2312"/>
        </w:rPr>
      </w:pPr>
      <w:del w:id="202" w:author="陈晨" w:date="2023-02-27T16:46:37Z">
        <w:r>
          <w:rPr>
            <w:rFonts w:hint="eastAsia" w:ascii="楷体_GB2312" w:hAnsi="Arial" w:eastAsia="楷体_GB2312" w:cs="楷体_GB2312"/>
          </w:rPr>
          <w:delText>如影响您风险承受能力的因素发生变化，请及时告知信银理财或</w:delText>
        </w:r>
      </w:del>
      <w:del w:id="203" w:author="陈晨" w:date="2023-02-27T16:46:37Z">
        <w:r>
          <w:rPr>
            <w:rFonts w:ascii="楷体_GB2312" w:hAnsi="Arial" w:eastAsia="楷体_GB2312" w:cs="楷体_GB2312"/>
          </w:rPr>
          <w:delText>代销机构</w:delText>
        </w:r>
      </w:del>
      <w:del w:id="204" w:author="陈晨" w:date="2023-02-27T16:46:37Z">
        <w:r>
          <w:rPr>
            <w:rFonts w:hint="eastAsia" w:ascii="楷体_GB2312" w:hAnsi="Arial" w:eastAsia="楷体_GB2312" w:cs="楷体_GB2312"/>
          </w:rPr>
          <w:delText>并重新进行风险承受能力评估。</w:delText>
        </w:r>
      </w:del>
      <w:del w:id="205" w:author="陈晨" w:date="2023-02-27T16:46:37Z">
        <w:r>
          <w:rPr>
            <w:rFonts w:ascii="楷体_GB2312" w:hAnsi="Arial" w:eastAsia="楷体_GB2312" w:cs="楷体_GB2312"/>
          </w:rPr>
          <w:delText xml:space="preserve"> </w:delText>
        </w:r>
      </w:del>
    </w:p>
    <w:p>
      <w:pPr>
        <w:jc w:val="right"/>
        <w:rPr>
          <w:del w:id="206" w:author="陈晨" w:date="2023-02-27T16:46:37Z"/>
          <w:rFonts w:ascii="楷体_GB2312" w:eastAsia="楷体_GB2312"/>
        </w:rPr>
      </w:pPr>
      <w:del w:id="207" w:author="陈晨" w:date="2023-02-27T16:46:37Z">
        <w:r>
          <w:rPr>
            <w:rFonts w:hint="eastAsia" w:ascii="楷体_GB2312" w:hAnsi="Arial" w:eastAsia="楷体_GB2312" w:cs="楷体_GB2312"/>
          </w:rPr>
          <w:delText>风险揭示方：</w:delText>
        </w:r>
      </w:del>
      <w:del w:id="208" w:author="陈晨" w:date="2023-02-27T16:46:37Z">
        <w:r>
          <w:rPr>
            <w:rFonts w:ascii="楷体_GB2312" w:hAnsi="Arial" w:eastAsia="楷体_GB2312" w:cs="楷体_GB2312"/>
          </w:rPr>
          <w:delText xml:space="preserve"> </w:delText>
        </w:r>
      </w:del>
      <w:del w:id="209" w:author="陈晨" w:date="2023-02-27T16:46:37Z">
        <w:r>
          <w:rPr>
            <w:rFonts w:hint="eastAsia" w:ascii="楷体_GB2312" w:hAnsi="Arial" w:eastAsia="楷体_GB2312" w:cs="楷体_GB2312"/>
          </w:rPr>
          <w:delText>信银理财有限责任公司</w:delText>
        </w:r>
      </w:del>
    </w:p>
    <w:p>
      <w:pPr>
        <w:jc w:val="center"/>
        <w:rPr>
          <w:del w:id="210" w:author="陈晨" w:date="2023-02-27T16:46:37Z"/>
          <w:rFonts w:ascii="楷体_GB2312" w:hAnsi="Arial" w:eastAsia="楷体_GB2312" w:cs="楷体_GB2312"/>
          <w:b/>
          <w:bCs/>
          <w:u w:val="single"/>
        </w:rPr>
      </w:pPr>
    </w:p>
    <w:p>
      <w:pPr>
        <w:jc w:val="center"/>
        <w:rPr>
          <w:del w:id="211" w:author="陈晨" w:date="2023-02-27T16:46:37Z"/>
          <w:rFonts w:ascii="楷体_GB2312" w:hAnsi="Arial" w:eastAsia="楷体_GB2312" w:cs="楷体_GB2312"/>
          <w:b/>
          <w:bCs/>
          <w:u w:val="single"/>
        </w:rPr>
      </w:pPr>
    </w:p>
    <w:p>
      <w:pPr>
        <w:jc w:val="center"/>
        <w:rPr>
          <w:del w:id="212" w:author="陈晨" w:date="2023-02-27T16:46:37Z"/>
          <w:rFonts w:ascii="楷体_GB2312" w:hAnsi="Arial" w:eastAsia="楷体_GB2312" w:cs="楷体_GB2312"/>
          <w:b/>
          <w:bCs/>
          <w:u w:val="single"/>
        </w:rPr>
      </w:pPr>
    </w:p>
    <w:p>
      <w:pPr>
        <w:jc w:val="center"/>
        <w:rPr>
          <w:del w:id="213" w:author="陈晨" w:date="2023-02-27T16:46:37Z"/>
          <w:rFonts w:ascii="楷体_GB2312" w:hAnsi="Arial" w:eastAsia="楷体_GB2312" w:cs="楷体_GB2312"/>
          <w:b/>
          <w:bCs/>
          <w:u w:val="single"/>
        </w:rPr>
      </w:pPr>
    </w:p>
    <w:p>
      <w:pPr>
        <w:jc w:val="center"/>
        <w:rPr>
          <w:del w:id="214" w:author="陈晨" w:date="2023-02-27T16:46:37Z"/>
          <w:rFonts w:ascii="楷体_GB2312" w:eastAsia="楷体_GB2312"/>
        </w:rPr>
      </w:pPr>
      <w:del w:id="215" w:author="陈晨" w:date="2023-02-27T16:46:37Z">
        <w:r>
          <w:rPr>
            <w:rFonts w:hint="eastAsia" w:ascii="楷体_GB2312" w:hAnsi="Arial" w:eastAsia="楷体_GB2312" w:cs="楷体_GB2312"/>
            <w:b/>
            <w:bCs/>
            <w:u w:val="single"/>
          </w:rPr>
          <w:delText>客</w:delText>
        </w:r>
      </w:del>
      <w:del w:id="216" w:author="陈晨" w:date="2023-02-27T16:46:37Z">
        <w:r>
          <w:rPr>
            <w:rFonts w:ascii="楷体_GB2312" w:hAnsi="Arial" w:eastAsia="楷体_GB2312" w:cs="楷体_GB2312"/>
            <w:b/>
            <w:bCs/>
            <w:u w:val="single"/>
          </w:rPr>
          <w:delText xml:space="preserve"> </w:delText>
        </w:r>
      </w:del>
      <w:del w:id="217" w:author="陈晨" w:date="2023-02-27T16:46:37Z">
        <w:r>
          <w:rPr>
            <w:rFonts w:hint="eastAsia" w:ascii="楷体_GB2312" w:hAnsi="Arial" w:eastAsia="楷体_GB2312" w:cs="楷体_GB2312"/>
            <w:b/>
            <w:bCs/>
            <w:u w:val="single"/>
          </w:rPr>
          <w:delText>户</w:delText>
        </w:r>
      </w:del>
      <w:del w:id="218" w:author="陈晨" w:date="2023-02-27T16:46:37Z">
        <w:r>
          <w:rPr>
            <w:rFonts w:ascii="楷体_GB2312" w:hAnsi="Arial" w:eastAsia="楷体_GB2312" w:cs="楷体_GB2312"/>
            <w:b/>
            <w:bCs/>
            <w:u w:val="single"/>
          </w:rPr>
          <w:delText xml:space="preserve"> </w:delText>
        </w:r>
      </w:del>
      <w:del w:id="219" w:author="陈晨" w:date="2023-02-27T16:46:37Z">
        <w:r>
          <w:rPr>
            <w:rFonts w:hint="eastAsia" w:ascii="楷体_GB2312" w:hAnsi="Arial" w:eastAsia="楷体_GB2312" w:cs="楷体_GB2312"/>
            <w:b/>
            <w:bCs/>
            <w:u w:val="single"/>
          </w:rPr>
          <w:delText>确</w:delText>
        </w:r>
      </w:del>
      <w:del w:id="220" w:author="陈晨" w:date="2023-02-27T16:46:37Z">
        <w:r>
          <w:rPr>
            <w:rFonts w:ascii="楷体_GB2312" w:hAnsi="Arial" w:eastAsia="楷体_GB2312" w:cs="楷体_GB2312"/>
            <w:b/>
            <w:bCs/>
            <w:u w:val="single"/>
          </w:rPr>
          <w:delText xml:space="preserve"> </w:delText>
        </w:r>
      </w:del>
      <w:del w:id="221" w:author="陈晨" w:date="2023-02-27T16:46:37Z">
        <w:r>
          <w:rPr>
            <w:rFonts w:hint="eastAsia" w:ascii="楷体_GB2312" w:hAnsi="Arial" w:eastAsia="楷体_GB2312" w:cs="楷体_GB2312"/>
            <w:b/>
            <w:bCs/>
            <w:u w:val="single"/>
          </w:rPr>
          <w:delText>认</w:delText>
        </w:r>
      </w:del>
      <w:del w:id="222" w:author="陈晨" w:date="2023-02-27T16:46:37Z">
        <w:r>
          <w:rPr>
            <w:rFonts w:ascii="楷体_GB2312" w:hAnsi="Arial" w:eastAsia="楷体_GB2312" w:cs="楷体_GB2312"/>
            <w:b/>
            <w:bCs/>
            <w:u w:val="single"/>
          </w:rPr>
          <w:delText xml:space="preserve"> </w:delText>
        </w:r>
      </w:del>
      <w:del w:id="223" w:author="陈晨" w:date="2023-02-27T16:46:37Z">
        <w:r>
          <w:rPr>
            <w:rFonts w:hint="eastAsia" w:ascii="楷体_GB2312" w:hAnsi="Arial" w:eastAsia="楷体_GB2312" w:cs="楷体_GB2312"/>
            <w:b/>
            <w:bCs/>
            <w:u w:val="single"/>
          </w:rPr>
          <w:delText>栏</w:delText>
        </w:r>
      </w:del>
    </w:p>
    <w:p>
      <w:pPr>
        <w:ind w:firstLine="480" w:firstLineChars="200"/>
        <w:jc w:val="both"/>
        <w:rPr>
          <w:del w:id="224" w:author="陈晨" w:date="2023-02-27T16:46:37Z"/>
          <w:rFonts w:ascii="楷体_GB2312" w:eastAsia="楷体_GB2312"/>
        </w:rPr>
      </w:pPr>
      <w:del w:id="225" w:author="陈晨" w:date="2023-02-27T16:46:37Z">
        <w:r>
          <w:rPr>
            <w:rFonts w:hint="eastAsia" w:ascii="楷体_GB2312" w:hAnsi="Arial" w:eastAsia="楷体_GB2312" w:cs="楷体_GB2312"/>
          </w:rPr>
          <w:delText>本人/本单位确认，本人/本单位购买该理财产品为本人/本单位真实的意思表示</w:delText>
        </w:r>
      </w:del>
      <w:del w:id="226" w:author="陈晨" w:date="2023-02-27T16:46:37Z">
        <w:r>
          <w:rPr>
            <w:rFonts w:ascii="楷体_GB2312" w:hAnsi="Arial" w:eastAsia="楷体_GB2312" w:cs="楷体_GB2312"/>
          </w:rPr>
          <w:delText>,</w:delText>
        </w:r>
      </w:del>
      <w:del w:id="227" w:author="陈晨" w:date="2023-02-27T16:46:37Z">
        <w:r>
          <w:rPr>
            <w:rFonts w:hint="eastAsia" w:ascii="楷体_GB2312" w:hAnsi="Arial" w:eastAsia="楷体_GB2312" w:cs="楷体_GB2312"/>
          </w:rPr>
          <w:delText>并认为该理财产品完全适合本人/本单位的投资目标、投资预期以及风险承受能力，本人/本单位自愿承担由此带来的一切后果。本人/本单位确认信银理财或</w:delText>
        </w:r>
      </w:del>
      <w:del w:id="228" w:author="陈晨" w:date="2023-02-27T16:46:37Z">
        <w:r>
          <w:rPr>
            <w:rFonts w:ascii="楷体_GB2312" w:hAnsi="Arial" w:eastAsia="楷体_GB2312" w:cs="楷体_GB2312"/>
          </w:rPr>
          <w:delText>代销机构</w:delText>
        </w:r>
      </w:del>
      <w:del w:id="229" w:author="陈晨" w:date="2023-02-27T16:46:37Z">
        <w:r>
          <w:rPr>
            <w:rFonts w:hint="eastAsia" w:ascii="楷体_GB2312" w:hAnsi="Arial" w:eastAsia="楷体_GB2312" w:cs="楷体_GB2312"/>
          </w:rPr>
          <w:delText>相关业务人员对于理财产品销售文件中限制或排除本人/本单位权利、增加或加重本人/本单位义务以及有关免除或减轻信银理财责任或信银理财单方面拥有某些权利的条款已向本人/本</w:delText>
        </w:r>
      </w:del>
      <w:del w:id="230" w:author="陈晨" w:date="2023-02-27T16:46:37Z">
        <w:r>
          <w:rPr>
            <w:rFonts w:ascii="楷体_GB2312" w:hAnsi="Arial" w:eastAsia="楷体_GB2312" w:cs="楷体_GB2312"/>
          </w:rPr>
          <w:delText>单位</w:delText>
        </w:r>
      </w:del>
      <w:del w:id="231" w:author="陈晨" w:date="2023-02-27T16:46:37Z">
        <w:r>
          <w:rPr>
            <w:rFonts w:hint="eastAsia" w:ascii="楷体_GB2312" w:hAnsi="Arial" w:eastAsia="楷体_GB2312" w:cs="楷体_GB2312"/>
          </w:rPr>
          <w:delText>予以说明，本人/本单位已完全理解并自愿接受。</w:delText>
        </w:r>
      </w:del>
      <w:del w:id="232" w:author="陈晨" w:date="2023-02-27T16:46:37Z">
        <w:r>
          <w:rPr>
            <w:rFonts w:ascii="楷体_GB2312" w:hAnsi="Arial" w:eastAsia="楷体_GB2312" w:cs="楷体_GB2312"/>
          </w:rPr>
          <w:delText xml:space="preserve"> </w:delText>
        </w:r>
      </w:del>
    </w:p>
    <w:p>
      <w:pPr>
        <w:pStyle w:val="19"/>
        <w:ind w:firstLine="480" w:firstLineChars="0"/>
        <w:jc w:val="both"/>
        <w:rPr>
          <w:del w:id="233" w:author="陈晨" w:date="2023-02-27T16:46:37Z"/>
          <w:rFonts w:ascii="楷体_GB2312" w:eastAsia="楷体_GB2312"/>
        </w:rPr>
      </w:pPr>
    </w:p>
    <w:p>
      <w:pPr>
        <w:pStyle w:val="19"/>
        <w:ind w:firstLine="480" w:firstLineChars="0"/>
        <w:jc w:val="both"/>
        <w:rPr>
          <w:del w:id="234" w:author="陈晨" w:date="2023-02-27T16:46:37Z"/>
          <w:rFonts w:ascii="楷体_GB2312" w:eastAsia="楷体_GB2312"/>
          <w:b/>
        </w:rPr>
      </w:pPr>
      <w:del w:id="235" w:author="陈晨" w:date="2023-02-27T16:46:37Z">
        <w:r>
          <w:rPr>
            <w:rFonts w:hint="eastAsia" w:ascii="楷体_GB2312" w:eastAsia="楷体_GB2312"/>
            <w:b/>
          </w:rPr>
          <w:delText>本人</w:delText>
        </w:r>
      </w:del>
      <w:del w:id="236" w:author="陈晨" w:date="2023-02-27T16:46:37Z">
        <w:r>
          <w:rPr>
            <w:rFonts w:hint="eastAsia" w:ascii="楷体_GB2312" w:hAnsi="Arial" w:eastAsia="楷体_GB2312" w:cs="楷体_GB2312"/>
            <w:b/>
          </w:rPr>
          <w:delText>/本单位</w:delText>
        </w:r>
      </w:del>
      <w:del w:id="237" w:author="陈晨" w:date="2023-02-27T16:46:37Z">
        <w:r>
          <w:rPr>
            <w:rFonts w:hint="eastAsia" w:ascii="楷体_GB2312" w:eastAsia="楷体_GB2312"/>
            <w:b/>
          </w:rPr>
          <w:delText>确认，将向本理财产品销售机构真实提供信息，自主作出认购等决定，独立对销售文件进行签字</w:delText>
        </w:r>
      </w:del>
      <w:del w:id="238" w:author="陈晨" w:date="2023-02-27T16:46:37Z">
        <w:r>
          <w:rPr>
            <w:rFonts w:ascii="楷体_GB2312" w:eastAsia="楷体_GB2312"/>
            <w:b/>
          </w:rPr>
          <w:delText>/盖章确认，自主承担投资风险。本人</w:delText>
        </w:r>
      </w:del>
      <w:del w:id="239" w:author="陈晨" w:date="2023-02-27T16:46:37Z">
        <w:r>
          <w:rPr>
            <w:rFonts w:hint="eastAsia" w:ascii="楷体_GB2312" w:eastAsia="楷体_GB2312"/>
            <w:b/>
          </w:rPr>
          <w:delText>/本单位</w:delText>
        </w:r>
      </w:del>
      <w:del w:id="240" w:author="陈晨" w:date="2023-02-27T16:46:37Z">
        <w:r>
          <w:rPr>
            <w:rFonts w:ascii="楷体_GB2312" w:eastAsia="楷体_GB2312"/>
            <w:b/>
          </w:rPr>
          <w:delText>拒绝向销售机构提供或者未按照要求提供信息的，销售机构有权告知本人</w:delText>
        </w:r>
      </w:del>
      <w:del w:id="241" w:author="陈晨" w:date="2023-02-27T16:46:37Z">
        <w:r>
          <w:rPr>
            <w:rFonts w:hint="eastAsia" w:ascii="楷体_GB2312" w:eastAsia="楷体_GB2312"/>
            <w:b/>
          </w:rPr>
          <w:delText>/本单位</w:delText>
        </w:r>
      </w:del>
      <w:del w:id="242" w:author="陈晨" w:date="2023-02-27T16:46:37Z">
        <w:r>
          <w:rPr>
            <w:rFonts w:ascii="楷体_GB2312" w:eastAsia="楷体_GB2312"/>
            <w:b/>
          </w:rPr>
          <w:delText>相应的后果和责任，并有权拒绝向本人</w:delText>
        </w:r>
      </w:del>
      <w:del w:id="243" w:author="陈晨" w:date="2023-02-27T16:46:37Z">
        <w:r>
          <w:rPr>
            <w:rFonts w:hint="eastAsia" w:ascii="楷体_GB2312" w:eastAsia="楷体_GB2312"/>
            <w:b/>
          </w:rPr>
          <w:delText>/本单位</w:delText>
        </w:r>
      </w:del>
      <w:del w:id="244" w:author="陈晨" w:date="2023-02-27T16:46:37Z">
        <w:r>
          <w:rPr>
            <w:rFonts w:ascii="楷体_GB2312" w:eastAsia="楷体_GB2312"/>
            <w:b/>
          </w:rPr>
          <w:delText>提供销售服务。</w:delText>
        </w:r>
      </w:del>
    </w:p>
    <w:p>
      <w:pPr>
        <w:pStyle w:val="19"/>
        <w:ind w:firstLine="480" w:firstLineChars="0"/>
        <w:jc w:val="both"/>
        <w:rPr>
          <w:del w:id="245" w:author="陈晨" w:date="2023-02-27T16:46:37Z"/>
          <w:rFonts w:ascii="楷体_GB2312" w:eastAsia="楷体_GB2312"/>
        </w:rPr>
      </w:pPr>
      <w:del w:id="246" w:author="陈晨" w:date="2023-02-27T16:46:37Z">
        <w:r>
          <w:rPr>
            <w:rFonts w:hint="eastAsia" w:ascii="楷体_GB2312" w:eastAsia="楷体_GB2312"/>
          </w:rPr>
          <w:delText>本人</w:delText>
        </w:r>
      </w:del>
      <w:del w:id="247" w:author="陈晨" w:date="2023-02-27T16:46:37Z">
        <w:r>
          <w:rPr>
            <w:rFonts w:hint="eastAsia" w:ascii="楷体_GB2312" w:hAnsi="Arial" w:eastAsia="楷体_GB2312" w:cs="楷体_GB2312"/>
          </w:rPr>
          <w:delText>/本单位</w:delText>
        </w:r>
      </w:del>
      <w:del w:id="248" w:author="陈晨" w:date="2023-02-27T16:46:37Z">
        <w:r>
          <w:rPr>
            <w:rFonts w:hint="eastAsia" w:ascii="楷体_GB2312" w:eastAsia="楷体_GB2312"/>
          </w:rPr>
          <w:delText>确认</w:delText>
        </w:r>
      </w:del>
      <w:del w:id="249" w:author="陈晨" w:date="2023-02-27T16:46:37Z">
        <w:r>
          <w:rPr>
            <w:rFonts w:ascii="楷体_GB2312" w:eastAsia="楷体_GB2312"/>
          </w:rPr>
          <w:delText>，</w:delText>
        </w:r>
      </w:del>
      <w:del w:id="250" w:author="陈晨" w:date="2023-02-27T16:46:37Z">
        <w:r>
          <w:rPr>
            <w:rFonts w:hint="eastAsia" w:ascii="楷体_GB2312" w:eastAsia="楷体_GB2312"/>
          </w:rPr>
          <w:delText>投资</w:delText>
        </w:r>
      </w:del>
      <w:del w:id="251" w:author="陈晨" w:date="2023-02-27T16:46:37Z">
        <w:r>
          <w:rPr>
            <w:rFonts w:ascii="楷体_GB2312" w:eastAsia="楷体_GB2312"/>
          </w:rPr>
          <w:delText>本理财产品的</w:delText>
        </w:r>
      </w:del>
      <w:del w:id="252" w:author="陈晨" w:date="2023-02-27T16:46:37Z">
        <w:r>
          <w:rPr>
            <w:rFonts w:hint="eastAsia" w:ascii="楷体_GB2312" w:eastAsia="楷体_GB2312"/>
          </w:rPr>
          <w:delText>资金非贷款</w:delText>
        </w:r>
      </w:del>
      <w:del w:id="253" w:author="陈晨" w:date="2023-02-27T16:46:37Z">
        <w:r>
          <w:rPr>
            <w:rFonts w:ascii="楷体_GB2312" w:eastAsia="楷体_GB2312"/>
          </w:rPr>
          <w:delText>、发行债券等募集的非自有资金。</w:delText>
        </w:r>
      </w:del>
    </w:p>
    <w:p>
      <w:pPr>
        <w:ind w:firstLine="480" w:firstLineChars="200"/>
        <w:jc w:val="both"/>
        <w:rPr>
          <w:del w:id="254" w:author="陈晨" w:date="2023-02-27T16:46:37Z"/>
          <w:rFonts w:ascii="楷体_GB2312" w:hAnsi="Arial" w:eastAsia="楷体_GB2312" w:cs="楷体_GB2312"/>
        </w:rPr>
      </w:pPr>
      <w:del w:id="255" w:author="陈晨" w:date="2023-02-27T16:46:37Z">
        <w:r>
          <w:rPr>
            <w:rFonts w:hint="eastAsia" w:ascii="楷体_GB2312" w:hAnsi="Arial" w:eastAsia="楷体_GB2312" w:cs="楷体_GB2312"/>
          </w:rPr>
          <w:delText>本人/本单位确认已阅知客户权益须知，完全清楚理财产品购买流程、风险评估、产品评级含义、信息披露方式及渠道、信银</w:delText>
        </w:r>
      </w:del>
      <w:del w:id="256" w:author="陈晨" w:date="2023-02-27T16:46:37Z">
        <w:r>
          <w:rPr>
            <w:rFonts w:ascii="楷体_GB2312" w:hAnsi="Arial" w:eastAsia="楷体_GB2312" w:cs="楷体_GB2312"/>
          </w:rPr>
          <w:delText>理财及代销机构</w:delText>
        </w:r>
      </w:del>
      <w:del w:id="257" w:author="陈晨" w:date="2023-02-27T16:46:37Z">
        <w:r>
          <w:rPr>
            <w:rFonts w:hint="eastAsia" w:ascii="楷体_GB2312" w:hAnsi="Arial" w:eastAsia="楷体_GB2312" w:cs="楷体_GB2312"/>
          </w:rPr>
          <w:delText>的联系方式及投诉程序等内容。</w:delText>
        </w:r>
      </w:del>
    </w:p>
    <w:p>
      <w:pPr>
        <w:ind w:firstLine="480" w:firstLineChars="200"/>
        <w:jc w:val="both"/>
        <w:rPr>
          <w:del w:id="258" w:author="陈晨" w:date="2023-02-27T16:46:37Z"/>
          <w:rFonts w:ascii="楷体_GB2312" w:hAnsi="Arial" w:eastAsia="楷体_GB2312" w:cs="楷体_GB2312"/>
        </w:rPr>
      </w:pPr>
    </w:p>
    <w:p>
      <w:pPr>
        <w:ind w:firstLine="480" w:firstLineChars="200"/>
        <w:jc w:val="both"/>
        <w:rPr>
          <w:del w:id="259" w:author="陈晨" w:date="2023-02-27T16:46:37Z"/>
        </w:rPr>
      </w:pPr>
    </w:p>
    <w:p>
      <w:pPr>
        <w:ind w:firstLine="480" w:firstLineChars="200"/>
        <w:rPr>
          <w:del w:id="260" w:author="陈晨" w:date="2023-02-27T16:46:37Z"/>
          <w:rFonts w:ascii="楷体_GB2312" w:hAnsi="Arial" w:eastAsia="楷体_GB2312" w:cs="楷体_GB2312"/>
        </w:rPr>
      </w:pPr>
      <w:del w:id="261" w:author="陈晨" w:date="2023-02-27T16:46:37Z">
        <w:r>
          <w:rPr>
            <w:rFonts w:hint="eastAsia" w:ascii="楷体_GB2312" w:hAnsi="Arial" w:eastAsia="楷体_GB2312" w:cs="楷体_GB2312"/>
          </w:rPr>
          <w:delText>本人/本单位确认如下：</w:delText>
        </w:r>
      </w:del>
      <w:del w:id="262" w:author="陈晨" w:date="2023-02-27T16:46:37Z">
        <w:r>
          <w:rPr>
            <w:rFonts w:ascii="楷体_GB2312" w:hAnsi="Arial" w:eastAsia="楷体_GB2312" w:cs="楷体_GB2312"/>
          </w:rPr>
          <w:delText xml:space="preserve"> </w:delText>
        </w:r>
      </w:del>
    </w:p>
    <w:p>
      <w:pPr>
        <w:ind w:firstLine="480" w:firstLineChars="200"/>
        <w:jc w:val="both"/>
        <w:rPr>
          <w:del w:id="263" w:author="陈晨" w:date="2023-02-27T16:46:37Z"/>
          <w:rFonts w:ascii="楷体_GB2312" w:hAnsi="Arial" w:eastAsia="楷体_GB2312" w:cs="楷体_GB2312"/>
        </w:rPr>
      </w:pPr>
    </w:p>
    <w:p>
      <w:pPr>
        <w:rPr>
          <w:del w:id="264" w:author="陈晨" w:date="2023-02-27T16:46:37Z"/>
          <w:rFonts w:ascii="楷体_GB2312" w:eastAsia="楷体_GB2312"/>
        </w:rPr>
      </w:pPr>
    </w:p>
    <w:p>
      <w:pPr>
        <w:ind w:firstLine="480" w:firstLineChars="200"/>
        <w:jc w:val="both"/>
        <w:rPr>
          <w:del w:id="265" w:author="陈晨" w:date="2023-02-27T16:46:37Z"/>
          <w:rFonts w:ascii="楷体_GB2312" w:eastAsia="楷体_GB2312"/>
        </w:rPr>
      </w:pPr>
      <w:del w:id="266" w:author="陈晨" w:date="2023-02-27T16:46:37Z">
        <w:r>
          <w:rPr>
            <w:rFonts w:hint="eastAsia" w:ascii="楷体_GB2312" w:hAnsi="Arial" w:eastAsia="楷体_GB2312" w:cs="楷体_GB2312"/>
          </w:rPr>
          <w:delText>本人/本单位风险承受能力评级为（由个人客户本人/机构客户授权经办人填写）：</w:delText>
        </w:r>
      </w:del>
      <w:del w:id="267" w:author="陈晨" w:date="2023-02-27T16:46:37Z">
        <w:r>
          <w:rPr>
            <w:rFonts w:ascii="楷体_GB2312" w:hAnsi="Arial" w:eastAsia="楷体_GB2312"/>
          </w:rPr>
          <w:delText> </w:delText>
        </w:r>
      </w:del>
      <w:del w:id="268" w:author="陈晨" w:date="2023-02-27T16:46:37Z">
        <w:r>
          <w:rPr>
            <w:rFonts w:ascii="Arial" w:hAnsi="Arial" w:cs="Arial"/>
            <w:sz w:val="18"/>
            <w:szCs w:val="18"/>
          </w:rPr>
          <w:delText> </w:delText>
        </w:r>
      </w:del>
    </w:p>
    <w:p>
      <w:pPr>
        <w:snapToGrid w:val="0"/>
        <w:jc w:val="both"/>
        <w:rPr>
          <w:del w:id="269" w:author="陈晨" w:date="2023-02-27T16:46:37Z"/>
          <w:rFonts w:ascii="楷体_GB2312" w:eastAsia="楷体_GB2312" w:cs="楷体_GB2312"/>
        </w:rPr>
      </w:pPr>
      <w:del w:id="270" w:author="陈晨" w:date="2023-02-27T16:46:37Z">
        <w:r>
          <w:rPr>
            <w:rFonts w:hint="eastAsia" w:ascii="楷体_GB2312" w:eastAsia="楷体_GB2312" w:cs="楷体_GB2312"/>
          </w:rPr>
          <w:delText>（</w:delText>
        </w:r>
      </w:del>
      <w:del w:id="271" w:author="陈晨" w:date="2023-02-27T16:46:37Z">
        <w:r>
          <w:rPr>
            <w:rFonts w:hint="eastAsia" w:ascii="楷体_GB2312" w:hAnsi="Arial" w:eastAsia="楷体_GB2312" w:cs="楷体_GB2312"/>
          </w:rPr>
          <w:delText>个人客户本人/机构客户授权经办人需全文抄录以下文字以完成确认</w:delText>
        </w:r>
      </w:del>
      <w:del w:id="272" w:author="陈晨" w:date="2023-02-27T16:46:37Z">
        <w:r>
          <w:rPr>
            <w:rFonts w:hint="eastAsia" w:ascii="楷体_GB2312" w:eastAsia="楷体_GB2312" w:cs="楷体_GB2312"/>
          </w:rPr>
          <w:delText>：</w:delText>
        </w:r>
      </w:del>
      <w:del w:id="273" w:author="陈晨" w:date="2023-02-27T16:46:37Z">
        <w:r>
          <w:rPr>
            <w:rFonts w:hint="eastAsia" w:ascii="楷体_GB2312" w:eastAsia="楷体_GB2312" w:cs="楷体_GB2312"/>
            <w:b/>
            <w:bCs/>
          </w:rPr>
          <w:delText>本人/本单位已经阅读风险揭示，愿意承担投资风险</w:delText>
        </w:r>
      </w:del>
      <w:del w:id="274" w:author="陈晨" w:date="2023-02-27T16:46:37Z">
        <w:r>
          <w:rPr>
            <w:rFonts w:hint="eastAsia" w:ascii="楷体_GB2312" w:eastAsia="楷体_GB2312" w:cs="楷体_GB2312"/>
          </w:rPr>
          <w:delText>。）</w:delText>
        </w:r>
      </w:del>
      <w:del w:id="275" w:author="陈晨" w:date="2023-02-27T16:46:37Z">
        <w:r>
          <w:rPr>
            <w:rFonts w:ascii="楷体_GB2312" w:eastAsia="楷体_GB2312" w:cs="楷体_GB2312"/>
          </w:rPr>
          <w:delText xml:space="preserve"> </w:delText>
        </w:r>
      </w:del>
    </w:p>
    <w:p>
      <w:pPr>
        <w:snapToGrid w:val="0"/>
        <w:jc w:val="both"/>
        <w:rPr>
          <w:del w:id="276" w:author="陈晨" w:date="2023-02-27T16:46:37Z"/>
          <w:rFonts w:ascii="楷体_GB2312" w:eastAsia="楷体_GB2312"/>
        </w:rPr>
      </w:pPr>
    </w:p>
    <w:p>
      <w:pPr>
        <w:snapToGrid w:val="0"/>
        <w:jc w:val="both"/>
        <w:rPr>
          <w:del w:id="277" w:author="陈晨" w:date="2023-02-27T16:46:37Z"/>
          <w:rFonts w:ascii="楷体_GB2312" w:eastAsia="楷体_GB2312"/>
        </w:rPr>
      </w:pPr>
    </w:p>
    <w:p>
      <w:pPr>
        <w:snapToGrid w:val="0"/>
        <w:rPr>
          <w:del w:id="278" w:author="陈晨" w:date="2023-02-27T16:46:37Z"/>
          <w:rFonts w:ascii="楷体_GB2312" w:eastAsia="楷体_GB2312"/>
        </w:rPr>
      </w:pPr>
      <w:del w:id="279" w:author="陈晨" w:date="2023-02-27T16:46:37Z">
        <w:r>
          <w:rPr>
            <w:rFonts w:ascii="楷体_GB2312" w:eastAsia="楷体_GB2312"/>
            <w:u w:val="single"/>
          </w:rPr>
          <w:delText>                                 </w:delText>
        </w:r>
      </w:del>
    </w:p>
    <w:p>
      <w:pPr>
        <w:snapToGrid w:val="0"/>
        <w:ind w:right="440"/>
        <w:rPr>
          <w:del w:id="280" w:author="陈晨" w:date="2023-02-27T16:46:37Z"/>
          <w:rFonts w:ascii="黑体" w:hAnsi="Times New Roman" w:eastAsia="黑体" w:cs="Arial"/>
        </w:rPr>
      </w:pPr>
    </w:p>
    <w:p>
      <w:pPr>
        <w:snapToGrid w:val="0"/>
        <w:ind w:right="440"/>
        <w:rPr>
          <w:del w:id="281" w:author="陈晨" w:date="2023-02-27T16:46:37Z"/>
          <w:rFonts w:ascii="楷体_GB2312" w:eastAsia="楷体_GB2312" w:cs="楷体_GB2312"/>
        </w:rPr>
      </w:pPr>
      <w:del w:id="282" w:author="陈晨" w:date="2023-02-27T16:46:37Z">
        <w:r>
          <w:rPr>
            <w:rFonts w:hint="eastAsia" w:ascii="黑体" w:hAnsi="Times New Roman" w:eastAsia="黑体" w:cs="Arial"/>
          </w:rPr>
          <w:delText>个人客户（签字）：             机构客户（盖章）：</w:delText>
        </w:r>
      </w:del>
    </w:p>
    <w:p>
      <w:pPr>
        <w:snapToGrid w:val="0"/>
        <w:ind w:left="-426" w:right="440"/>
        <w:rPr>
          <w:del w:id="283" w:author="陈晨" w:date="2023-02-27T16:46:37Z"/>
          <w:rFonts w:ascii="黑体" w:hAnsi="Times New Roman" w:eastAsia="黑体" w:cs="Arial"/>
        </w:rPr>
      </w:pPr>
      <w:del w:id="284" w:author="陈晨" w:date="2023-02-27T16:46:37Z">
        <w:r>
          <w:rPr>
            <w:rFonts w:hint="eastAsia" w:ascii="黑体" w:hAnsi="Times New Roman" w:eastAsia="黑体" w:cs="Arial"/>
          </w:rPr>
          <w:delText xml:space="preserve">                               </w:delText>
        </w:r>
      </w:del>
    </w:p>
    <w:p>
      <w:pPr>
        <w:snapToGrid w:val="0"/>
        <w:ind w:left="-426" w:right="440" w:firstLine="720" w:firstLineChars="300"/>
        <w:rPr>
          <w:del w:id="285" w:author="陈晨" w:date="2023-02-27T16:46:37Z"/>
          <w:rFonts w:ascii="黑体" w:hAnsi="Times New Roman" w:eastAsia="黑体" w:cs="Arial"/>
        </w:rPr>
      </w:pPr>
    </w:p>
    <w:p>
      <w:pPr>
        <w:snapToGrid w:val="0"/>
        <w:ind w:left="-426" w:right="440" w:firstLine="4080" w:firstLineChars="1700"/>
        <w:rPr>
          <w:del w:id="286" w:author="陈晨" w:date="2023-02-27T16:46:37Z"/>
        </w:rPr>
      </w:pPr>
      <w:del w:id="287" w:author="陈晨" w:date="2023-02-27T16:46:37Z">
        <w:r>
          <w:rPr>
            <w:rFonts w:hint="eastAsia" w:ascii="黑体" w:hAnsi="Times New Roman" w:eastAsia="黑体" w:cs="Arial"/>
          </w:rPr>
          <w:delText>法定代表人或负责人（签字或签章）：</w:delText>
        </w:r>
      </w:del>
    </w:p>
    <w:p>
      <w:pPr>
        <w:snapToGrid w:val="0"/>
        <w:ind w:right="440"/>
        <w:rPr>
          <w:del w:id="288" w:author="陈晨" w:date="2023-02-27T16:46:37Z"/>
        </w:rPr>
      </w:pPr>
      <w:del w:id="289" w:author="陈晨" w:date="2023-02-27T16:46:37Z">
        <w:r>
          <w:rPr/>
          <w:delText> </w:delText>
        </w:r>
      </w:del>
    </w:p>
    <w:p>
      <w:pPr>
        <w:snapToGrid w:val="0"/>
        <w:ind w:right="440"/>
        <w:rPr>
          <w:del w:id="290" w:author="陈晨" w:date="2023-02-27T16:46:37Z"/>
          <w:rFonts w:ascii="黑体" w:hAnsi="Times New Roman" w:eastAsia="黑体" w:cs="Arial"/>
        </w:rPr>
      </w:pPr>
    </w:p>
    <w:p>
      <w:pPr>
        <w:snapToGrid w:val="0"/>
        <w:ind w:right="440"/>
        <w:rPr>
          <w:del w:id="291" w:author="陈晨" w:date="2023-02-27T16:46:37Z"/>
          <w:rFonts w:ascii="黑体" w:hAnsi="Times New Roman" w:eastAsia="黑体" w:cs="Arial"/>
        </w:rPr>
      </w:pPr>
      <w:del w:id="292" w:author="陈晨" w:date="2023-02-27T16:46:37Z">
        <w:r>
          <w:rPr>
            <w:rFonts w:hint="eastAsia" w:ascii="黑体" w:hAnsi="Times New Roman" w:eastAsia="黑体" w:cs="Arial"/>
          </w:rPr>
          <w:delText>日期：年 月 日                 日期：年 月 日</w:delText>
        </w:r>
      </w:del>
    </w:p>
    <w:p>
      <w:pPr>
        <w:snapToGrid w:val="0"/>
        <w:ind w:right="440"/>
        <w:rPr>
          <w:del w:id="293" w:author="陈晨" w:date="2023-02-27T16:46:37Z"/>
        </w:rPr>
      </w:pPr>
    </w:p>
    <w:p>
      <w:pPr>
        <w:spacing w:line="300" w:lineRule="exact"/>
        <w:ind w:right="-792" w:rightChars="-330"/>
        <w:jc w:val="center"/>
        <w:rPr>
          <w:del w:id="294" w:author="陈晨" w:date="2023-02-27T16:46:37Z"/>
          <w:rFonts w:ascii="黑体" w:eastAsia="黑体"/>
          <w:b/>
          <w:bCs/>
        </w:rPr>
      </w:pPr>
    </w:p>
    <w:p>
      <w:pPr>
        <w:rPr>
          <w:del w:id="295" w:author="陈晨" w:date="2023-02-27T16:46:37Z"/>
          <w:rFonts w:ascii="黑体" w:eastAsia="黑体" w:cs="黑体"/>
          <w:b/>
          <w:bCs/>
        </w:rPr>
        <w:sectPr>
          <w:headerReference r:id="rId3" w:type="default"/>
          <w:footerReference r:id="rId4" w:type="default"/>
          <w:pgSz w:w="11906" w:h="16838"/>
          <w:pgMar w:top="1440" w:right="1800" w:bottom="1440" w:left="1800" w:header="851" w:footer="992" w:gutter="0"/>
          <w:cols w:space="720" w:num="1"/>
          <w:docGrid w:linePitch="312" w:charSpace="0"/>
        </w:sectPr>
      </w:pPr>
    </w:p>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Z7002623000063】</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【信银理财同盈象固收稳健浙江共富共创一年封闭1号理财产品】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：【AF231599】</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5.</w:t>
      </w:r>
      <w:r>
        <w:rPr>
          <w:rFonts w:hint="eastAsia" w:ascii="黑体" w:hAnsi="Times New Roman" w:eastAsia="黑体" w:cs="黑体"/>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11"/>
        <w:tblW w:w="7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1180" w:type="dxa"/>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4206"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本产品采用直接投资与委外投资相结合的模式，主要投资固收类资产，策略包括持有到期策略、杠杆策略、骑乘策略、波段交易、衍生品套保等策略。本产品不低于</w:t>
      </w:r>
      <w:r>
        <w:rPr>
          <w:rFonts w:ascii="楷体_GB2312" w:eastAsia="楷体_GB2312"/>
          <w:sz w:val="20"/>
          <w:szCs w:val="20"/>
        </w:rPr>
        <w:t>80%投资标的投资于浙江省内的资产。</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11"/>
        <w:tblW w:w="62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5"/>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18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【8</w:t>
            </w:r>
            <w:r>
              <w:rPr>
                <w:rFonts w:ascii="楷体" w:hAnsi="楷体" w:eastAsia="楷体"/>
                <w:sz w:val="20"/>
                <w:szCs w:val="20"/>
              </w:rPr>
              <w:t>0%-100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49</w:t>
            </w:r>
            <w:r>
              <w:rPr>
                <w:rFonts w:hint="eastAsia" w:ascii="楷体" w:hAnsi="楷体" w:eastAsia="楷体"/>
                <w:sz w:val="20"/>
                <w:szCs w:val="20"/>
              </w:rPr>
              <w:t>%</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hint="eastAsia" w:ascii="Times New Roman" w:hAnsi="Times New Roman" w:eastAsia="楷体_GB2312" w:cs="楷体_GB2312"/>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7.</w:t>
      </w:r>
      <w:r>
        <w:rPr>
          <w:rFonts w:hint="eastAsia" w:ascii="Times New Roman" w:hAnsi="Times New Roman" w:eastAsia="楷体_GB2312" w:cs="楷体_GB2312"/>
          <w:sz w:val="20"/>
          <w:szCs w:val="20"/>
        </w:rPr>
        <w:t>本产品可投资于非标准化债权类资产，信银理财将按照监管规定，向投资者披露产品投资每笔非标准化债权类资产的融资客户、项目名称、剩余融资期限、到期收益分配、交易结构、风险状况等资产信息。</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7008" w:type="dxa"/>
            <w:vAlign w:val="center"/>
          </w:tcPr>
          <w:p>
            <w:pPr>
              <w:spacing w:line="300" w:lineRule="exact"/>
              <w:ind w:left="-2" w:leftChars="-1" w:right="36" w:rightChars="15"/>
            </w:pPr>
            <w:r>
              <w:rPr>
                <w:rFonts w:hint="eastAsia" w:ascii="楷体_GB2312" w:eastAsia="楷体_GB2312" w:cs="楷体_GB2312"/>
                <w:sz w:val="20"/>
                <w:szCs w:val="20"/>
              </w:rPr>
              <w:t>【信银理财同盈象固收稳健浙江共富共创一年封闭1号理财产品】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cs="楷体_GB2312"/>
                <w:sz w:val="20"/>
                <w:szCs w:val="20"/>
              </w:rPr>
              <w:t>Z7002623000063</w:t>
            </w:r>
            <w:r>
              <w:rPr>
                <w:rFonts w:ascii="楷体_GB2312" w:eastAsia="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AF231599】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A</w:t>
            </w:r>
            <w:r>
              <w:rPr>
                <w:rFonts w:ascii="楷体_GB2312" w:eastAsia="楷体_GB2312" w:cs="楷体_GB2312"/>
                <w:sz w:val="20"/>
                <w:szCs w:val="20"/>
              </w:rPr>
              <w:t>类份额：</w:t>
            </w:r>
            <w:r>
              <w:rPr>
                <w:rFonts w:hint="eastAsia" w:ascii="楷体_GB2312" w:eastAsia="楷体_GB2312" w:cs="楷体_GB2312"/>
                <w:sz w:val="20"/>
                <w:szCs w:val="20"/>
              </w:rPr>
              <w:t>份额</w:t>
            </w:r>
            <w:r>
              <w:rPr>
                <w:rFonts w:ascii="楷体_GB2312" w:eastAsia="楷体_GB2312" w:cs="楷体_GB2312"/>
                <w:sz w:val="20"/>
                <w:szCs w:val="20"/>
              </w:rPr>
              <w:t>代码【AF231599A】</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D类份额：</w:t>
            </w:r>
            <w:r>
              <w:rPr>
                <w:rFonts w:hint="eastAsia" w:ascii="楷体_GB2312" w:eastAsia="楷体_GB2312" w:cs="楷体_GB2312"/>
                <w:sz w:val="20"/>
                <w:szCs w:val="20"/>
              </w:rPr>
              <w:t>份额</w:t>
            </w:r>
            <w:r>
              <w:rPr>
                <w:rFonts w:ascii="楷体_GB2312" w:eastAsia="楷体_GB2312" w:cs="楷体_GB2312"/>
                <w:sz w:val="20"/>
                <w:szCs w:val="20"/>
              </w:rPr>
              <w:t>代码【AF231599D】</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C类份额：</w:t>
            </w:r>
            <w:r>
              <w:rPr>
                <w:rFonts w:hint="eastAsia" w:ascii="楷体_GB2312" w:eastAsia="楷体_GB2312" w:cs="楷体_GB2312"/>
                <w:sz w:val="20"/>
                <w:szCs w:val="20"/>
              </w:rPr>
              <w:t>份额</w:t>
            </w:r>
            <w:r>
              <w:rPr>
                <w:rFonts w:ascii="楷体_GB2312" w:eastAsia="楷体_GB2312" w:cs="楷体_GB2312"/>
                <w:sz w:val="20"/>
                <w:szCs w:val="20"/>
              </w:rPr>
              <w:t>代码【AF231599C】</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代码【AF231599B】</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7008" w:type="dxa"/>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7008" w:type="dxa"/>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【3】</w:t>
            </w:r>
            <w:r>
              <w:rPr>
                <w:rFonts w:hint="eastAsia" w:ascii="楷体_GB2312" w:eastAsia="楷体_GB2312" w:cs="楷体_GB2312"/>
                <w:sz w:val="20"/>
                <w:szCs w:val="20"/>
              </w:rPr>
              <w:t>月</w:t>
            </w:r>
            <w:r>
              <w:rPr>
                <w:rFonts w:ascii="楷体_GB2312" w:eastAsia="楷体_GB2312" w:cs="楷体_GB2312"/>
                <w:sz w:val="20"/>
                <w:szCs w:val="20"/>
              </w:rPr>
              <w:t>【9】</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【6】</w:t>
            </w:r>
            <w:r>
              <w:rPr>
                <w:rFonts w:hint="eastAsia" w:ascii="楷体_GB2312" w:eastAsia="楷体_GB2312" w:cs="楷体_GB2312"/>
                <w:sz w:val="20"/>
                <w:szCs w:val="20"/>
              </w:rPr>
              <w:t>月</w:t>
            </w:r>
            <w:r>
              <w:rPr>
                <w:rFonts w:ascii="楷体_GB2312" w:eastAsia="楷体_GB2312" w:cs="楷体_GB2312"/>
                <w:sz w:val="20"/>
                <w:szCs w:val="20"/>
              </w:rPr>
              <w:t>【8】</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7008" w:type="dxa"/>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A</w:t>
            </w:r>
            <w:r>
              <w:rPr>
                <w:rFonts w:hint="eastAsia" w:ascii="楷体_GB2312" w:eastAsia="楷体_GB2312" w:cs="楷体_GB2312"/>
                <w:sz w:val="20"/>
                <w:szCs w:val="20"/>
              </w:rPr>
              <w:t>类份额：【3.</w:t>
            </w:r>
            <w:r>
              <w:rPr>
                <w:rFonts w:ascii="楷体_GB2312" w:eastAsia="楷体_GB2312" w:cs="楷体_GB2312"/>
                <w:sz w:val="20"/>
                <w:szCs w:val="20"/>
              </w:rPr>
              <w:t>7</w:t>
            </w:r>
            <w:r>
              <w:rPr>
                <w:rFonts w:hint="eastAsia" w:ascii="楷体_GB2312" w:eastAsia="楷体_GB2312" w:cs="楷体_GB2312"/>
                <w:sz w:val="20"/>
                <w:szCs w:val="20"/>
              </w:rPr>
              <w:t>0%-</w:t>
            </w:r>
            <w:r>
              <w:rPr>
                <w:rFonts w:ascii="楷体_GB2312" w:eastAsia="楷体_GB2312" w:cs="楷体_GB2312"/>
                <w:sz w:val="20"/>
                <w:szCs w:val="20"/>
              </w:rPr>
              <w:t>3.90</w:t>
            </w:r>
            <w:r>
              <w:rPr>
                <w:rFonts w:hint="eastAsia"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D类份额：【</w:t>
            </w:r>
            <w:r>
              <w:rPr>
                <w:rFonts w:hint="eastAsia" w:ascii="楷体_GB2312" w:eastAsia="楷体_GB2312" w:cs="楷体_GB2312"/>
                <w:sz w:val="20"/>
                <w:szCs w:val="20"/>
              </w:rPr>
              <w:t>3.</w:t>
            </w:r>
            <w:r>
              <w:rPr>
                <w:rFonts w:ascii="楷体_GB2312" w:eastAsia="楷体_GB2312" w:cs="楷体_GB2312"/>
                <w:sz w:val="20"/>
                <w:szCs w:val="20"/>
              </w:rPr>
              <w:t>7</w:t>
            </w:r>
            <w:r>
              <w:rPr>
                <w:rFonts w:hint="eastAsia" w:ascii="楷体_GB2312" w:eastAsia="楷体_GB2312" w:cs="楷体_GB2312"/>
                <w:sz w:val="20"/>
                <w:szCs w:val="20"/>
              </w:rPr>
              <w:t>5%-</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95</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C</w:t>
            </w:r>
            <w:r>
              <w:rPr>
                <w:rFonts w:ascii="楷体_GB2312" w:eastAsia="楷体_GB2312" w:cs="楷体_GB2312"/>
                <w:sz w:val="20"/>
                <w:szCs w:val="20"/>
              </w:rPr>
              <w:t>类份额：【</w:t>
            </w:r>
            <w:r>
              <w:rPr>
                <w:rFonts w:hint="eastAsia" w:ascii="楷体_GB2312" w:eastAsia="楷体_GB2312" w:cs="楷体_GB2312"/>
                <w:sz w:val="20"/>
                <w:szCs w:val="20"/>
              </w:rPr>
              <w:t>3.85%-</w:t>
            </w:r>
            <w:r>
              <w:rPr>
                <w:rFonts w:ascii="楷体_GB2312" w:eastAsia="楷体_GB2312" w:cs="楷体_GB2312"/>
                <w:sz w:val="20"/>
                <w:szCs w:val="20"/>
              </w:rPr>
              <w:t>4</w:t>
            </w:r>
            <w:r>
              <w:rPr>
                <w:rFonts w:hint="eastAsia" w:ascii="楷体_GB2312" w:eastAsia="楷体_GB2312" w:cs="楷体_GB2312"/>
                <w:sz w:val="20"/>
                <w:szCs w:val="20"/>
              </w:rPr>
              <w:t>.</w:t>
            </w:r>
            <w:r>
              <w:rPr>
                <w:rFonts w:ascii="楷体_GB2312" w:eastAsia="楷体_GB2312" w:cs="楷体_GB2312"/>
                <w:sz w:val="20"/>
                <w:szCs w:val="20"/>
              </w:rPr>
              <w:t>05</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3.70%-</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90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【目前同盈象系列理财产品属性为固收类产品，底仓主要投资非标准化债权类资产、银行间短融中票、</w:t>
            </w:r>
            <w:r>
              <w:rPr>
                <w:rFonts w:ascii="楷体_GB2312" w:eastAsia="楷体_GB2312" w:cs="楷体_GB2312"/>
                <w:sz w:val="20"/>
                <w:szCs w:val="20"/>
              </w:rPr>
              <w:t>PPN、交易所非公开公司债和少量同业存单等。根据当前市场利率水平、组合目标久期、可投资债券的静态收益率、债券杠杆操作等因素作为测算依据，扣除相关税费成本后，综合得出产品的业绩基准，该业绩比较基准不等于理财产品未来实际收益，不作为未来产品收益的业绩保证。】</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本产品认购交易时间为【8：30-15：30】（信银理财有权变更交易时间，且无需另行通知；如果投资者通过信银</w:t>
            </w:r>
            <w:r>
              <w:rPr>
                <w:rFonts w:ascii="楷体_GB2312" w:eastAsia="楷体_GB2312" w:cs="楷体_GB2312"/>
                <w:sz w:val="20"/>
                <w:szCs w:val="20"/>
              </w:rPr>
              <w:t>理财营业场所</w:t>
            </w:r>
            <w:r>
              <w:rPr>
                <w:rFonts w:hint="eastAsia" w:ascii="楷体_GB2312" w:eastAsia="楷体_GB2312" w:cs="楷体_GB2312"/>
                <w:sz w:val="20"/>
                <w:szCs w:val="20"/>
              </w:rPr>
              <w:t>购买，则交易时间以营业</w:t>
            </w:r>
            <w:r>
              <w:rPr>
                <w:rFonts w:ascii="楷体_GB2312" w:eastAsia="楷体_GB2312" w:cs="楷体_GB2312"/>
                <w:sz w:val="20"/>
                <w:szCs w:val="20"/>
              </w:rPr>
              <w:t>场所</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为准，且必须在【8：30-15：30】内）；募集期内，信银理财在交易时间内受理投资者的认购申请。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w:t>
            </w:r>
            <w:r>
              <w:rPr>
                <w:rFonts w:ascii="楷体_GB2312" w:eastAsia="楷体_GB2312" w:cs="楷体_GB2312"/>
                <w:sz w:val="20"/>
                <w:szCs w:val="20"/>
              </w:rPr>
              <w:t>交易时间</w:t>
            </w:r>
            <w:r>
              <w:rPr>
                <w:rFonts w:hint="eastAsia" w:ascii="楷体_GB2312" w:eastAsia="楷体_GB2312" w:cs="楷体_GB2312"/>
                <w:sz w:val="20"/>
                <w:szCs w:val="20"/>
              </w:rPr>
              <w:t>必须</w:t>
            </w:r>
            <w:r>
              <w:rPr>
                <w:rFonts w:ascii="楷体_GB2312" w:eastAsia="楷体_GB2312" w:cs="楷体_GB2312"/>
                <w:sz w:val="20"/>
                <w:szCs w:val="20"/>
              </w:rPr>
              <w:t>在</w:t>
            </w:r>
            <w:r>
              <w:rPr>
                <w:rFonts w:hint="eastAsia" w:ascii="楷体_GB2312" w:eastAsia="楷体_GB2312" w:cs="楷体_GB2312"/>
                <w:sz w:val="20"/>
                <w:szCs w:val="20"/>
              </w:rPr>
              <w:t>【8：30-15：30】内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A类份额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D类份额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【100</w:t>
            </w:r>
            <w:r>
              <w:rPr>
                <w:rFonts w:hint="eastAsia" w:ascii="楷体_GB2312" w:eastAsia="楷体_GB2312" w:cs="楷体_GB2312"/>
                <w:sz w:val="20"/>
                <w:szCs w:val="20"/>
              </w:rPr>
              <w:t>】万元，以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C</w:t>
            </w:r>
            <w:r>
              <w:rPr>
                <w:rFonts w:ascii="楷体_GB2312" w:eastAsia="楷体_GB2312" w:cs="楷体_GB2312"/>
                <w:sz w:val="20"/>
                <w:szCs w:val="20"/>
              </w:rPr>
              <w:t>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【10</w:t>
            </w:r>
            <w:r>
              <w:rPr>
                <w:rFonts w:hint="eastAsia" w:ascii="楷体_GB2312" w:eastAsia="楷体_GB2312" w:cs="楷体_GB2312"/>
                <w:sz w:val="20"/>
                <w:szCs w:val="20"/>
              </w:rPr>
              <w:t>】万元，以</w:t>
            </w:r>
            <w:r>
              <w:rPr>
                <w:rFonts w:hint="eastAsia" w:ascii="楷体_GB2312" w:eastAsia="楷体_GB2312"/>
                <w:sz w:val="20"/>
                <w:szCs w:val="20"/>
              </w:rPr>
              <w:t>【人民币】【1000】</w:t>
            </w:r>
            <w:r>
              <w:rPr>
                <w:rFonts w:hint="eastAsia" w:ascii="楷体_GB2312" w:eastAsia="楷体_GB2312" w:cs="楷体_GB2312"/>
                <w:sz w:val="20"/>
                <w:szCs w:val="20"/>
              </w:rPr>
              <w:t>元的整数倍增加。追加认购金额不低于【人民币】【</w:t>
            </w:r>
            <w:r>
              <w:rPr>
                <w:rFonts w:hint="eastAsia" w:ascii="楷体_GB2312" w:eastAsia="楷体_GB2312"/>
                <w:sz w:val="20"/>
                <w:szCs w:val="20"/>
              </w:rPr>
              <w:t>1000</w:t>
            </w:r>
            <w:r>
              <w:rPr>
                <w:rFonts w:hint="eastAsia" w:ascii="楷体_GB2312" w:eastAsia="楷体_GB2312" w:cs="楷体_GB2312"/>
                <w:sz w:val="20"/>
                <w:szCs w:val="20"/>
              </w:rPr>
              <w:t>】元，以</w:t>
            </w:r>
            <w:r>
              <w:rPr>
                <w:rFonts w:hint="eastAsia" w:ascii="楷体_GB2312" w:eastAsia="楷体_GB2312"/>
                <w:sz w:val="20"/>
                <w:szCs w:val="20"/>
              </w:rPr>
              <w:t>【人民币】【1000】</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7008" w:type="dxa"/>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7008" w:type="dxa"/>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A类份额</w:t>
            </w:r>
            <w:r>
              <w:rPr>
                <w:rFonts w:hint="eastAsia" w:ascii="楷体_GB2312" w:eastAsia="楷体_GB2312" w:cs="楷体_GB2312"/>
                <w:b/>
                <w:sz w:val="20"/>
                <w:szCs w:val="20"/>
              </w:rPr>
              <w:t>不收取认购费，</w:t>
            </w:r>
            <w:r>
              <w:rPr>
                <w:rFonts w:ascii="楷体_GB2312" w:eastAsia="楷体_GB2312"/>
                <w:b/>
                <w:sz w:val="20"/>
                <w:szCs w:val="20"/>
              </w:rPr>
              <w:t>D类份额</w:t>
            </w:r>
            <w:r>
              <w:rPr>
                <w:rFonts w:hint="eastAsia" w:ascii="楷体_GB2312" w:eastAsia="楷体_GB2312" w:cs="楷体_GB2312"/>
                <w:b/>
                <w:sz w:val="20"/>
                <w:szCs w:val="20"/>
              </w:rPr>
              <w:t>不收取认购费，</w:t>
            </w:r>
            <w:r>
              <w:rPr>
                <w:rFonts w:ascii="楷体_GB2312" w:eastAsia="楷体_GB2312"/>
                <w:b/>
                <w:sz w:val="20"/>
                <w:szCs w:val="20"/>
              </w:rPr>
              <w:t>C类份额</w:t>
            </w:r>
            <w:r>
              <w:rPr>
                <w:rFonts w:hint="eastAsia" w:ascii="楷体_GB2312" w:eastAsia="楷体_GB2312" w:cs="楷体_GB2312"/>
                <w:b/>
                <w:sz w:val="20"/>
                <w:szCs w:val="20"/>
              </w:rPr>
              <w:t>不收取认购费，</w:t>
            </w:r>
            <w:r>
              <w:rPr>
                <w:rFonts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left="-2" w:leftChars="-1" w:right="53" w:rightChars="22"/>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A类份额</w:t>
            </w:r>
            <w:r>
              <w:rPr>
                <w:rFonts w:hint="eastAsia" w:ascii="楷体_GB2312" w:eastAsia="楷体_GB2312" w:cs="楷体_GB2312"/>
                <w:b/>
                <w:sz w:val="20"/>
                <w:szCs w:val="20"/>
              </w:rPr>
              <w:t>费率【</w:t>
            </w:r>
            <w:r>
              <w:rPr>
                <w:rFonts w:ascii="楷体_GB2312" w:eastAsia="楷体_GB2312" w:cs="楷体_GB2312"/>
                <w:b/>
                <w:sz w:val="20"/>
                <w:szCs w:val="20"/>
              </w:rPr>
              <w:t>0.20%】/年</w:t>
            </w:r>
            <w:r>
              <w:rPr>
                <w:rFonts w:hint="eastAsia" w:ascii="楷体_GB2312" w:eastAsia="楷体_GB2312" w:cs="楷体_GB2312"/>
                <w:b/>
                <w:sz w:val="20"/>
                <w:szCs w:val="20"/>
              </w:rPr>
              <w:t>,</w:t>
            </w:r>
            <w:r>
              <w:rPr>
                <w:rFonts w:ascii="楷体_GB2312" w:eastAsia="楷体_GB2312" w:cs="楷体_GB2312"/>
                <w:b/>
                <w:sz w:val="20"/>
                <w:szCs w:val="20"/>
              </w:rPr>
              <w:t xml:space="preserve"> D类份额</w:t>
            </w:r>
            <w:r>
              <w:rPr>
                <w:rFonts w:hint="eastAsia" w:ascii="楷体_GB2312" w:eastAsia="楷体_GB2312" w:cs="楷体_GB2312"/>
                <w:b/>
                <w:sz w:val="20"/>
                <w:szCs w:val="20"/>
              </w:rPr>
              <w:t>费率【</w:t>
            </w:r>
            <w:r>
              <w:rPr>
                <w:rFonts w:ascii="楷体_GB2312" w:eastAsia="楷体_GB2312" w:cs="楷体_GB2312"/>
                <w:b/>
                <w:sz w:val="20"/>
                <w:szCs w:val="20"/>
              </w:rPr>
              <w:t>0.15%】/年，C类份额</w:t>
            </w:r>
            <w:r>
              <w:rPr>
                <w:rFonts w:hint="eastAsia" w:ascii="楷体_GB2312" w:eastAsia="楷体_GB2312" w:cs="楷体_GB2312"/>
                <w:b/>
                <w:sz w:val="20"/>
                <w:szCs w:val="20"/>
              </w:rPr>
              <w:t>费率【</w:t>
            </w:r>
            <w:r>
              <w:rPr>
                <w:rFonts w:ascii="楷体_GB2312" w:eastAsia="楷体_GB2312" w:cs="楷体_GB2312"/>
                <w:b/>
                <w:sz w:val="20"/>
                <w:szCs w:val="20"/>
              </w:rPr>
              <w:t>0.05%】/年，</w:t>
            </w:r>
            <w:r>
              <w:rPr>
                <w:rFonts w:hint="eastAsia" w:ascii="楷体_GB2312" w:eastAsia="楷体_GB2312" w:cs="楷体_GB2312"/>
                <w:b/>
                <w:sz w:val="20"/>
                <w:szCs w:val="20"/>
              </w:rPr>
              <w:t>B</w:t>
            </w:r>
            <w:r>
              <w:rPr>
                <w:rFonts w:ascii="楷体_GB2312" w:eastAsia="楷体_GB2312" w:cs="楷体_GB2312"/>
                <w:b/>
                <w:sz w:val="20"/>
                <w:szCs w:val="20"/>
              </w:rPr>
              <w:t>类份额</w:t>
            </w:r>
            <w:r>
              <w:rPr>
                <w:rFonts w:hint="eastAsia" w:ascii="楷体_GB2312" w:eastAsia="楷体_GB2312" w:cs="楷体_GB2312"/>
                <w:b/>
                <w:sz w:val="20"/>
                <w:szCs w:val="20"/>
              </w:rPr>
              <w:t>费率【</w:t>
            </w:r>
            <w:r>
              <w:rPr>
                <w:rFonts w:ascii="楷体_GB2312" w:eastAsia="楷体_GB2312" w:cs="楷体_GB2312"/>
                <w:b/>
                <w:sz w:val="20"/>
                <w:szCs w:val="20"/>
              </w:rPr>
              <w:t>0.20%】/年</w:t>
            </w:r>
            <w:r>
              <w:rPr>
                <w:rFonts w:hint="eastAsia" w:ascii="楷体_GB2312" w:eastAsia="楷体_GB2312" w:cs="楷体_GB2312"/>
                <w:b/>
                <w:sz w:val="20"/>
                <w:szCs w:val="20"/>
              </w:rPr>
              <w:t>。</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w:t>
            </w:r>
            <w:r>
              <w:rPr>
                <w:rFonts w:hint="eastAsia" w:ascii="楷体_GB2312" w:eastAsia="楷体_GB2312" w:cs="楷体_GB2312"/>
                <w:b/>
                <w:sz w:val="20"/>
                <w:szCs w:val="20"/>
              </w:rPr>
              <w:t>/年。</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0.20%】/年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b/>
                <w:sz w:val="20"/>
                <w:szCs w:val="20"/>
              </w:rPr>
              <w:t>A类份额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w:t>
            </w:r>
            <w:r>
              <w:rPr>
                <w:rFonts w:hint="eastAsia" w:ascii="楷体_GB2312" w:eastAsia="楷体_GB2312"/>
                <w:b/>
                <w:sz w:val="20"/>
                <w:szCs w:val="20"/>
              </w:rPr>
              <w:t>.</w:t>
            </w:r>
            <w:r>
              <w:rPr>
                <w:rFonts w:ascii="楷体_GB2312" w:eastAsia="楷体_GB2312"/>
                <w:b/>
                <w:sz w:val="20"/>
                <w:szCs w:val="20"/>
              </w:rPr>
              <w:t>80</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b/>
                <w:sz w:val="20"/>
                <w:szCs w:val="20"/>
              </w:rPr>
              <w:t>D类份额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3.85</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b/>
                <w:sz w:val="20"/>
                <w:szCs w:val="20"/>
              </w:rPr>
              <w:t>C类份额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3.95</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b/>
                <w:sz w:val="20"/>
                <w:szCs w:val="20"/>
              </w:rPr>
              <w:t>B类份额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3.80</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p>
          <w:p>
            <w:pPr>
              <w:snapToGrid w:val="0"/>
              <w:spacing w:line="300" w:lineRule="exact"/>
              <w:ind w:right="53" w:rightChars="22"/>
              <w:jc w:val="both"/>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7008" w:type="dxa"/>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A类份额（份额代码【AF231599A】）</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1.企业名称：【中信银行股份有限公司】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91110000101690725E】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住所：【北京市朝阳区光华路</w:t>
            </w:r>
            <w:r>
              <w:rPr>
                <w:rFonts w:ascii="楷体_GB2312" w:eastAsia="楷体_GB2312" w:cs="楷体_GB2312"/>
                <w:sz w:val="20"/>
                <w:szCs w:val="20"/>
              </w:rPr>
              <w:t>10号中信大厦】</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95558】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D类份额（份额代码【AF231599D】）</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1.企业名称：【中信银行股份有限公司】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91110000101690725E】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住所：【北京市朝阳区光华路</w:t>
            </w:r>
            <w:r>
              <w:rPr>
                <w:rFonts w:ascii="楷体_GB2312" w:eastAsia="楷体_GB2312" w:cs="楷体_GB2312"/>
                <w:sz w:val="20"/>
                <w:szCs w:val="20"/>
              </w:rPr>
              <w:t>10号中信大厦】</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95558】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C类份额（份额代码【AF231599C】）</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1.企业名称：【中信银行股份有限公司】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91110000101690725E】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住所：【北京市朝阳区光华路</w:t>
            </w:r>
            <w:r>
              <w:rPr>
                <w:rFonts w:ascii="楷体_GB2312" w:eastAsia="楷体_GB2312" w:cs="楷体_GB2312"/>
                <w:sz w:val="20"/>
                <w:szCs w:val="20"/>
              </w:rPr>
              <w:t>10号中信大厦】</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95558】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B类份额（份额代码【AF231599B】）</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6.企业名称：【浙江江山农村商业银行股份有限公司】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7.企业名称：【浙江台州路桥农村商业银行股份有限公司】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8.企业名称：【浙江舟山普陀农村商业银行股份有限公司】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9.企业名称：【浙江德清农村商业银行股份有限公司】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10.企业名称：【浙江永康农村商业银行股份有限公司】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 xml:space="preserve"> 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 xml:space="preserve"> 企业名称：【</w:t>
            </w:r>
            <w:r>
              <w:rPr>
                <w:rFonts w:ascii="楷体_GB2312" w:eastAsia="楷体_GB2312" w:cs="楷体_GB2312"/>
                <w:sz w:val="20"/>
                <w:szCs w:val="20"/>
              </w:rPr>
              <w:t>浙江丽水莲都农村商业银行股份有限公司</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 xml:space="preserve"> 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 xml:space="preserve"> 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 xml:space="preserve"> 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 xml:space="preserve"> 企业名称：【</w:t>
            </w:r>
            <w:r>
              <w:rPr>
                <w:rFonts w:ascii="楷体_GB2312" w:eastAsia="楷体_GB2312" w:cs="楷体_GB2312"/>
                <w:sz w:val="20"/>
                <w:szCs w:val="20"/>
              </w:rPr>
              <w:t>宁波北仑农村商业银行股份有限公司</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w:t>
            </w:r>
            <w:r>
              <w:rPr>
                <w:rFonts w:hint="eastAsia" w:ascii="微软雅黑" w:hAnsi="微软雅黑" w:eastAsia="微软雅黑" w:cs="微软雅黑"/>
                <w:sz w:val="20"/>
                <w:szCs w:val="20"/>
              </w:rPr>
              <w:t>碶</w:t>
            </w:r>
            <w:r>
              <w:rPr>
                <w:rFonts w:hint="eastAsia" w:ascii="楷体_GB2312" w:hAnsi="楷体_GB2312" w:eastAsia="楷体_GB2312" w:cs="楷体_GB2312"/>
                <w:sz w:val="20"/>
                <w:szCs w:val="20"/>
              </w:rPr>
              <w:t>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 xml:space="preserve"> 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 xml:space="preserve"> 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 xml:space="preserve"> 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 xml:space="preserve"> 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 xml:space="preserve"> 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 xml:space="preserve"> 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 xml:space="preserve"> 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 xml:space="preserve"> 企业名称：【</w:t>
            </w:r>
            <w:r>
              <w:rPr>
                <w:rFonts w:ascii="楷体_GB2312" w:eastAsia="楷体_GB2312" w:cs="楷体_GB2312"/>
                <w:sz w:val="20"/>
                <w:szCs w:val="20"/>
              </w:rPr>
              <w:t>浙江富阳农村商业银行股份有限公司</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 xml:space="preserve"> 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 xml:space="preserve"> 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 xml:space="preserve"> 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【中信银行股份有限公司】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社会信用代码：【91110000101690725E】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：【91110000101690725E】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【朱鹤新</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【北京市朝阳区光华路</w:t>
            </w:r>
            <w:r>
              <w:rPr>
                <w:rFonts w:ascii="楷体_GB2312" w:eastAsia="楷体_GB2312" w:cs="楷体_GB2312"/>
                <w:sz w:val="20"/>
                <w:szCs w:val="20"/>
              </w:rPr>
              <w:t>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7008" w:type="dxa"/>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三、理财</w:t>
      </w:r>
      <w:r>
        <w:rPr>
          <w:rFonts w:ascii="黑体" w:hAnsi="Times New Roman" w:eastAsia="黑体" w:cs="黑体"/>
          <w:sz w:val="20"/>
          <w:szCs w:val="20"/>
        </w:rPr>
        <w:t>产品管理人</w:t>
      </w:r>
    </w:p>
    <w:p>
      <w:pPr>
        <w:spacing w:line="300" w:lineRule="exact"/>
        <w:ind w:left="-2" w:leftChars="-1"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sz w:val="20"/>
          <w:szCs w:val="20"/>
        </w:rPr>
        <w:t>在此授权并同意信银理财享有以下权利：</w:t>
      </w:r>
    </w:p>
    <w:p>
      <w:pPr>
        <w:spacing w:line="300" w:lineRule="exact"/>
        <w:ind w:firstLine="400" w:firstLineChars="200"/>
        <w:jc w:val="both"/>
        <w:rPr>
          <w:rFonts w:ascii="Times New Roman" w:hAnsi="Times New Roman" w:eastAsia="楷体_GB2312" w:cs="楷体_GB2312"/>
          <w:sz w:val="20"/>
          <w:szCs w:val="20"/>
        </w:rPr>
      </w:pPr>
      <w:r>
        <w:rPr>
          <w:rFonts w:ascii="Times New Roman" w:hAnsi="Times New Roman" w:eastAsia="楷体_GB2312"/>
          <w:sz w:val="20"/>
          <w:szCs w:val="20"/>
        </w:rPr>
        <w:t>1.</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的约定，管理、运用和处分理财资金；</w:t>
      </w:r>
    </w:p>
    <w:p>
      <w:pPr>
        <w:spacing w:line="300" w:lineRule="exact"/>
        <w:ind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代表</w:t>
      </w:r>
      <w:r>
        <w:rPr>
          <w:rFonts w:ascii="Times New Roman" w:hAnsi="Times New Roman" w:eastAsia="楷体_GB2312" w:cs="楷体_GB2312"/>
          <w:sz w:val="20"/>
          <w:szCs w:val="20"/>
        </w:rPr>
        <w:t>理财产品</w:t>
      </w:r>
      <w:r>
        <w:rPr>
          <w:rFonts w:hint="eastAsia" w:ascii="Times New Roman" w:hAnsi="Times New Roman" w:eastAsia="楷体_GB2312" w:cs="楷体_GB2312"/>
          <w:sz w:val="20"/>
          <w:szCs w:val="20"/>
        </w:rPr>
        <w:t>签订投资和资产管理过程中涉及到的协议、合同等文本；</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sz w:val="20"/>
          <w:szCs w:val="20"/>
        </w:rPr>
        <w:t>/</w:t>
      </w:r>
      <w:r>
        <w:rPr>
          <w:rFonts w:hint="eastAsia" w:ascii="Times New Roman" w:hAnsi="Times New Roman" w:eastAsia="楷体_GB2312"/>
          <w:sz w:val="20"/>
          <w:szCs w:val="20"/>
        </w:rPr>
        <w:t>企业等各类投资对象行使出资人</w:t>
      </w:r>
      <w:r>
        <w:rPr>
          <w:rFonts w:ascii="Times New Roman" w:hAnsi="Times New Roman" w:eastAsia="楷体_GB2312"/>
          <w:sz w:val="20"/>
          <w:szCs w:val="20"/>
        </w:rPr>
        <w:t>/</w:t>
      </w:r>
      <w:r>
        <w:rPr>
          <w:rFonts w:hint="eastAsia" w:ascii="Times New Roman" w:hAnsi="Times New Roman" w:eastAsia="楷体_GB2312"/>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4.</w:t>
      </w:r>
      <w:r>
        <w:rPr>
          <w:rFonts w:hint="eastAsia" w:ascii="Times New Roman" w:hAnsi="Times New Roman" w:eastAsia="楷体_GB2312"/>
          <w:sz w:val="20"/>
          <w:szCs w:val="20"/>
        </w:rPr>
        <w:t>以理财产品</w:t>
      </w:r>
      <w:r>
        <w:rPr>
          <w:rFonts w:ascii="Times New Roman" w:hAnsi="Times New Roman" w:eastAsia="楷体_GB2312"/>
          <w:sz w:val="20"/>
          <w:szCs w:val="20"/>
        </w:rPr>
        <w:t>投资管理人的名义，依照法律法规相关规定以及代表理财</w:t>
      </w:r>
      <w:r>
        <w:rPr>
          <w:rFonts w:hint="eastAsia" w:ascii="Times New Roman" w:hAnsi="Times New Roman" w:eastAsia="楷体_GB2312"/>
          <w:sz w:val="20"/>
          <w:szCs w:val="20"/>
        </w:rPr>
        <w:t>产品投资者</w:t>
      </w:r>
      <w:r>
        <w:rPr>
          <w:rFonts w:ascii="Times New Roman" w:hAnsi="Times New Roman" w:eastAsia="楷体_GB2312"/>
          <w:sz w:val="20"/>
          <w:szCs w:val="20"/>
        </w:rPr>
        <w:t>的利益行使代为追索的权利</w:t>
      </w:r>
      <w:r>
        <w:rPr>
          <w:rFonts w:hint="eastAsia" w:ascii="Times New Roman" w:hAnsi="Times New Roman" w:eastAsia="楷体_GB2312"/>
          <w:sz w:val="20"/>
          <w:szCs w:val="20"/>
        </w:rPr>
        <w:t>（包括</w:t>
      </w:r>
      <w:r>
        <w:rPr>
          <w:rFonts w:ascii="Times New Roman" w:hAnsi="Times New Roman" w:eastAsia="楷体_GB2312"/>
          <w:sz w:val="20"/>
          <w:szCs w:val="20"/>
        </w:rPr>
        <w:t>但不限于提起诉讼</w:t>
      </w:r>
      <w:r>
        <w:rPr>
          <w:rFonts w:hint="eastAsia" w:ascii="Times New Roman" w:hAnsi="Times New Roman" w:eastAsia="楷体_GB2312"/>
          <w:sz w:val="20"/>
          <w:szCs w:val="20"/>
        </w:rPr>
        <w:t>/仲裁</w:t>
      </w:r>
      <w:r>
        <w:rPr>
          <w:rFonts w:ascii="Times New Roman" w:hAnsi="Times New Roman" w:eastAsia="楷体_GB2312"/>
          <w:sz w:val="20"/>
          <w:szCs w:val="20"/>
        </w:rPr>
        <w:t>、申请保全</w:t>
      </w:r>
      <w:r>
        <w:rPr>
          <w:rFonts w:hint="eastAsia" w:ascii="Times New Roman" w:hAnsi="Times New Roman" w:eastAsia="楷体_GB2312"/>
          <w:sz w:val="20"/>
          <w:szCs w:val="20"/>
        </w:rPr>
        <w:t>/执行</w:t>
      </w:r>
      <w:r>
        <w:rPr>
          <w:rFonts w:ascii="Times New Roman" w:hAnsi="Times New Roman" w:eastAsia="楷体_GB2312"/>
          <w:sz w:val="20"/>
          <w:szCs w:val="20"/>
        </w:rPr>
        <w:t>的权利）或者实施</w:t>
      </w:r>
      <w:r>
        <w:rPr>
          <w:rFonts w:hint="eastAsia" w:ascii="Times New Roman" w:hAnsi="Times New Roman" w:eastAsia="楷体_GB2312"/>
          <w:sz w:val="20"/>
          <w:szCs w:val="20"/>
        </w:rPr>
        <w:t>风险处置，行使、放弃、变更相关权利义务等其他</w:t>
      </w:r>
      <w:r>
        <w:rPr>
          <w:rFonts w:ascii="Times New Roman" w:hAnsi="Times New Roman" w:eastAsia="楷体_GB2312"/>
          <w:sz w:val="20"/>
          <w:szCs w:val="20"/>
        </w:rPr>
        <w:t>法律行为</w:t>
      </w:r>
      <w:r>
        <w:rPr>
          <w:rFonts w:hint="eastAsia" w:ascii="Times New Roman" w:hAnsi="Times New Roman" w:eastAsia="楷体_GB2312"/>
          <w:sz w:val="20"/>
          <w:szCs w:val="20"/>
        </w:rPr>
        <w:t>，</w:t>
      </w:r>
      <w:r>
        <w:rPr>
          <w:rFonts w:ascii="Times New Roman" w:hAnsi="Times New Roman" w:eastAsia="楷体_GB2312"/>
          <w:sz w:val="20"/>
          <w:szCs w:val="20"/>
        </w:rPr>
        <w:t>产生的合理费用由理财产品承担</w:t>
      </w:r>
      <w:r>
        <w:rPr>
          <w:rFonts w:hint="eastAsia" w:ascii="Times New Roman" w:hAnsi="Times New Roman" w:eastAsia="楷体_GB2312"/>
          <w:sz w:val="20"/>
          <w:szCs w:val="20"/>
        </w:rPr>
        <w:t>；</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5.</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的约定，及时、足额获得投资管理费和本产品说明书约定的其他费用（如有）；</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6.</w:t>
      </w:r>
      <w:r>
        <w:rPr>
          <w:rFonts w:hint="eastAsia" w:ascii="Times New Roman" w:hAnsi="Times New Roman" w:eastAsia="楷体_GB2312"/>
          <w:sz w:val="20"/>
          <w:szCs w:val="20"/>
        </w:rPr>
        <w:t>管理人以其固有财产先行垫付因处理本理财产品相关事务所支出的费用及税费的，对理财产品资金享有优先受偿的权利；</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7.</w:t>
      </w:r>
      <w:r>
        <w:rPr>
          <w:rFonts w:hint="eastAsia" w:ascii="Times New Roman" w:hAnsi="Times New Roman" w:eastAsia="楷体_GB2312"/>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日为认购份额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ascii="楷体_GB2312" w:eastAsia="楷体_GB2312"/>
          <w:b/>
          <w:sz w:val="20"/>
          <w:szCs w:val="20"/>
        </w:rPr>
        <w:t>A类份额</w:t>
      </w:r>
      <w:r>
        <w:rPr>
          <w:rFonts w:hint="eastAsia" w:ascii="楷体_GB2312" w:eastAsia="楷体_GB2312" w:cs="楷体_GB2312"/>
          <w:b/>
          <w:sz w:val="20"/>
          <w:szCs w:val="20"/>
        </w:rPr>
        <w:t>不收取认购费，</w:t>
      </w:r>
      <w:r>
        <w:rPr>
          <w:rFonts w:ascii="楷体_GB2312" w:eastAsia="楷体_GB2312"/>
          <w:b/>
          <w:sz w:val="20"/>
          <w:szCs w:val="20"/>
        </w:rPr>
        <w:t>D类份额</w:t>
      </w:r>
      <w:r>
        <w:rPr>
          <w:rFonts w:hint="eastAsia" w:ascii="楷体_GB2312" w:eastAsia="楷体_GB2312" w:cs="楷体_GB2312"/>
          <w:b/>
          <w:sz w:val="20"/>
          <w:szCs w:val="20"/>
        </w:rPr>
        <w:t>不收取认购费，</w:t>
      </w:r>
      <w:r>
        <w:rPr>
          <w:rFonts w:ascii="楷体_GB2312" w:eastAsia="楷体_GB2312"/>
          <w:b/>
          <w:sz w:val="20"/>
          <w:szCs w:val="20"/>
        </w:rPr>
        <w:t>C类份额</w:t>
      </w:r>
      <w:r>
        <w:rPr>
          <w:rFonts w:hint="eastAsia" w:ascii="楷体_GB2312" w:eastAsia="楷体_GB2312" w:cs="楷体_GB2312"/>
          <w:b/>
          <w:sz w:val="20"/>
          <w:szCs w:val="20"/>
        </w:rPr>
        <w:t>不收取认购费，</w:t>
      </w:r>
      <w:r>
        <w:rPr>
          <w:rFonts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ascii="楷体_GB2312" w:eastAsia="楷体_GB2312" w:cs="楷体_GB2312"/>
          <w:b/>
          <w:sz w:val="20"/>
          <w:szCs w:val="20"/>
        </w:rPr>
        <w:t>A类份额</w:t>
      </w:r>
      <w:r>
        <w:rPr>
          <w:rFonts w:hint="eastAsia" w:ascii="楷体_GB2312" w:eastAsia="楷体_GB2312" w:cs="楷体_GB2312"/>
          <w:b/>
          <w:sz w:val="20"/>
          <w:szCs w:val="20"/>
        </w:rPr>
        <w:t>费率【</w:t>
      </w:r>
      <w:r>
        <w:rPr>
          <w:rFonts w:ascii="楷体_GB2312" w:eastAsia="楷体_GB2312" w:cs="楷体_GB2312"/>
          <w:b/>
          <w:sz w:val="20"/>
          <w:szCs w:val="20"/>
        </w:rPr>
        <w:t>0.20%】/年</w:t>
      </w:r>
      <w:r>
        <w:rPr>
          <w:rFonts w:hint="eastAsia" w:ascii="楷体_GB2312" w:eastAsia="楷体_GB2312" w:cs="楷体_GB2312"/>
          <w:b/>
          <w:sz w:val="20"/>
          <w:szCs w:val="20"/>
        </w:rPr>
        <w:t>,</w:t>
      </w:r>
      <w:r>
        <w:rPr>
          <w:rFonts w:ascii="楷体_GB2312" w:eastAsia="楷体_GB2312" w:cs="楷体_GB2312"/>
          <w:b/>
          <w:sz w:val="20"/>
          <w:szCs w:val="20"/>
        </w:rPr>
        <w:t xml:space="preserve"> D类份额</w:t>
      </w:r>
      <w:r>
        <w:rPr>
          <w:rFonts w:hint="eastAsia" w:ascii="楷体_GB2312" w:eastAsia="楷体_GB2312" w:cs="楷体_GB2312"/>
          <w:b/>
          <w:sz w:val="20"/>
          <w:szCs w:val="20"/>
        </w:rPr>
        <w:t>费率【</w:t>
      </w:r>
      <w:r>
        <w:rPr>
          <w:rFonts w:ascii="楷体_GB2312" w:eastAsia="楷体_GB2312" w:cs="楷体_GB2312"/>
          <w:b/>
          <w:sz w:val="20"/>
          <w:szCs w:val="20"/>
        </w:rPr>
        <w:t>0.15%】/年，C类份额</w:t>
      </w:r>
      <w:r>
        <w:rPr>
          <w:rFonts w:hint="eastAsia" w:ascii="楷体_GB2312" w:eastAsia="楷体_GB2312" w:cs="楷体_GB2312"/>
          <w:b/>
          <w:sz w:val="20"/>
          <w:szCs w:val="20"/>
        </w:rPr>
        <w:t>费率【</w:t>
      </w:r>
      <w:r>
        <w:rPr>
          <w:rFonts w:ascii="楷体_GB2312" w:eastAsia="楷体_GB2312" w:cs="楷体_GB2312"/>
          <w:b/>
          <w:sz w:val="20"/>
          <w:szCs w:val="20"/>
        </w:rPr>
        <w:t>0.05%】/年，</w:t>
      </w:r>
      <w:r>
        <w:rPr>
          <w:rFonts w:hint="eastAsia" w:ascii="楷体_GB2312" w:eastAsia="楷体_GB2312" w:cs="楷体_GB2312"/>
          <w:b/>
          <w:sz w:val="20"/>
          <w:szCs w:val="20"/>
        </w:rPr>
        <w:t>B</w:t>
      </w:r>
      <w:r>
        <w:rPr>
          <w:rFonts w:ascii="楷体_GB2312" w:eastAsia="楷体_GB2312" w:cs="楷体_GB2312"/>
          <w:b/>
          <w:sz w:val="20"/>
          <w:szCs w:val="20"/>
        </w:rPr>
        <w:t>类份额</w:t>
      </w:r>
      <w:r>
        <w:rPr>
          <w:rFonts w:hint="eastAsia" w:ascii="楷体_GB2312" w:eastAsia="楷体_GB2312" w:cs="楷体_GB2312"/>
          <w:b/>
          <w:sz w:val="20"/>
          <w:szCs w:val="20"/>
        </w:rPr>
        <w:t>费率【</w:t>
      </w:r>
      <w:r>
        <w:rPr>
          <w:rFonts w:ascii="楷体_GB2312" w:eastAsia="楷体_GB2312" w:cs="楷体_GB2312"/>
          <w:b/>
          <w:sz w:val="20"/>
          <w:szCs w:val="20"/>
        </w:rPr>
        <w:t>0.20%】/年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0.20%】/年，计算方式为【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cs="楷体_GB2312"/>
          <w:b/>
          <w:sz w:val="20"/>
          <w:szCs w:val="20"/>
        </w:rPr>
      </w:pPr>
      <w:r>
        <w:rPr>
          <w:rFonts w:ascii="楷体_GB2312" w:eastAsia="楷体_GB2312"/>
          <w:b/>
          <w:sz w:val="20"/>
          <w:szCs w:val="20"/>
        </w:rPr>
        <w:t>A类份额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w:t>
      </w:r>
      <w:r>
        <w:rPr>
          <w:rFonts w:hint="eastAsia" w:ascii="楷体_GB2312" w:eastAsia="楷体_GB2312"/>
          <w:b/>
          <w:sz w:val="20"/>
          <w:szCs w:val="20"/>
        </w:rPr>
        <w:t>.</w:t>
      </w:r>
      <w:r>
        <w:rPr>
          <w:rFonts w:ascii="楷体_GB2312" w:eastAsia="楷体_GB2312"/>
          <w:b/>
          <w:sz w:val="20"/>
          <w:szCs w:val="20"/>
        </w:rPr>
        <w:t>80</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firstLine="402" w:firstLineChars="200"/>
        <w:outlineLvl w:val="0"/>
        <w:rPr>
          <w:rFonts w:ascii="楷体_GB2312" w:eastAsia="楷体_GB2312" w:cs="楷体_GB2312"/>
          <w:b/>
          <w:sz w:val="20"/>
          <w:szCs w:val="20"/>
        </w:rPr>
      </w:pPr>
      <w:r>
        <w:rPr>
          <w:rFonts w:ascii="楷体_GB2312" w:eastAsia="楷体_GB2312"/>
          <w:b/>
          <w:sz w:val="20"/>
          <w:szCs w:val="20"/>
        </w:rPr>
        <w:t>D类份额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3.85</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firstLine="402" w:firstLineChars="200"/>
        <w:outlineLvl w:val="0"/>
        <w:rPr>
          <w:rFonts w:ascii="楷体_GB2312" w:eastAsia="楷体_GB2312" w:cs="楷体_GB2312"/>
          <w:b/>
          <w:sz w:val="20"/>
          <w:szCs w:val="20"/>
        </w:rPr>
      </w:pPr>
      <w:r>
        <w:rPr>
          <w:rFonts w:ascii="楷体_GB2312" w:eastAsia="楷体_GB2312"/>
          <w:b/>
          <w:sz w:val="20"/>
          <w:szCs w:val="20"/>
        </w:rPr>
        <w:t>C类份额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3.95</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firstLine="402" w:firstLineChars="200"/>
        <w:outlineLvl w:val="0"/>
        <w:rPr>
          <w:rFonts w:ascii="楷体_GB2312" w:eastAsia="楷体_GB2312" w:cs="楷体_GB2312"/>
          <w:b/>
          <w:sz w:val="20"/>
          <w:szCs w:val="20"/>
        </w:rPr>
      </w:pPr>
      <w:r>
        <w:rPr>
          <w:rFonts w:ascii="楷体_GB2312" w:eastAsia="楷体_GB2312"/>
          <w:b/>
          <w:sz w:val="20"/>
          <w:szCs w:val="20"/>
        </w:rPr>
        <w:t>B类份额</w:t>
      </w:r>
      <w:r>
        <w:rPr>
          <w:rFonts w:hint="eastAsia" w:ascii="楷体_GB2312" w:eastAsia="楷体_GB2312"/>
          <w:b/>
          <w:sz w:val="20"/>
          <w:szCs w:val="20"/>
        </w:rPr>
        <w:t>设立业绩比较基准，在产品到期日或提前终止日时，如计提浮动管理费前年化收益率超过</w:t>
      </w:r>
      <w:r>
        <w:rPr>
          <w:rFonts w:ascii="楷体_GB2312" w:eastAsia="楷体_GB2312"/>
          <w:b/>
          <w:sz w:val="20"/>
          <w:szCs w:val="20"/>
        </w:rPr>
        <w:t>3.80</w:t>
      </w:r>
      <w:r>
        <w:rPr>
          <w:rFonts w:hint="eastAsia" w:ascii="楷体_GB2312" w:eastAsia="楷体_GB2312"/>
          <w:b/>
          <w:sz w:val="20"/>
          <w:szCs w:val="20"/>
        </w:rPr>
        <w:t>%的，管理人将收取超额部分的</w:t>
      </w:r>
      <w:r>
        <w:rPr>
          <w:rFonts w:ascii="楷体_GB2312" w:eastAsia="楷体_GB2312"/>
          <w:b/>
          <w:sz w:val="20"/>
          <w:szCs w:val="20"/>
        </w:rPr>
        <w:t>30%作为浮动管理费</w:t>
      </w:r>
      <w:r>
        <w:rPr>
          <w:rFonts w:ascii="楷体_GB2312" w:eastAsia="楷体_GB2312" w:cs="楷体_GB2312"/>
          <w:b/>
          <w:sz w:val="20"/>
          <w:szCs w:val="20"/>
        </w:rPr>
        <w:t>。</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hint="eastAsia" w:ascii="楷体_GB2312" w:eastAsia="楷体_GB2312" w:cs="楷体_GB2312"/>
          <w:b/>
          <w:sz w:val="20"/>
          <w:szCs w:val="20"/>
        </w:rPr>
        <w:t>浮动管理费到期日或提前终止日计提，由管理人向托管人发送指令，托管人复核后到期从资产中一次性支付。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hint="eastAsia" w:ascii="楷体_GB2312" w:eastAsia="楷体_GB2312" w:cs="楷体_GB2312"/>
          <w:b/>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开放日、到期日或提前终止日计提核算的数值为准。</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十四、保密</w:t>
      </w:r>
      <w:r>
        <w:rPr>
          <w:rFonts w:ascii="黑体" w:eastAsia="黑体" w:cs="黑体"/>
          <w:sz w:val="20"/>
          <w:szCs w:val="20"/>
        </w:rPr>
        <w:t>条款</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sz w:val="20"/>
          <w:szCs w:val="20"/>
        </w:rPr>
        <w:t>，或</w:t>
      </w:r>
      <w:r>
        <w:rPr>
          <w:rFonts w:hint="eastAsia" w:ascii="Times New Roman" w:hAnsi="Times New Roman" w:eastAsia="楷体_GB2312" w:cs="楷体_GB2312"/>
          <w:sz w:val="20"/>
          <w:szCs w:val="20"/>
        </w:rPr>
        <w:t>应监管机构及其他有权机关的要求，或与投资者另有约定外，不向第三方披露。</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）向与本次投资有关而需要获知以上信息并受保密协议约束的律师、会计师、顾问和咨询人员披露的；（</w:t>
      </w: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）根据适用的法律法规的要求，向有关政府部门、监管机构或者管理机构（包括证券交易所）披露的；（</w:t>
      </w:r>
      <w:r>
        <w:rPr>
          <w:rFonts w:ascii="Times New Roman" w:hAnsi="Times New Roman" w:eastAsia="楷体_GB2312" w:cs="楷体_GB2312"/>
          <w:sz w:val="20"/>
          <w:szCs w:val="20"/>
        </w:rPr>
        <w:t>3</w:t>
      </w:r>
      <w:r>
        <w:rPr>
          <w:rFonts w:hint="eastAsia" w:ascii="Times New Roman" w:hAnsi="Times New Roman" w:eastAsia="楷体_GB2312" w:cs="楷体_GB2312"/>
          <w:sz w:val="20"/>
          <w:szCs w:val="20"/>
        </w:rPr>
        <w:t>）本产品说明书另有约定的。前述保密义务不因本理财产品销售文件或相关协议的无效、被撤销、终止而受影响。</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为更好地服务理财投资者，信银理财将【租用</w:t>
      </w:r>
      <w:r>
        <w:rPr>
          <w:rFonts w:ascii="Times New Roman" w:hAnsi="Times New Roman" w:eastAsia="楷体_GB2312" w:cs="楷体_GB2312"/>
          <w:sz w:val="20"/>
          <w:szCs w:val="20"/>
        </w:rPr>
        <w:t>/购买】第三方供应商【上海鸿联九五信息技术有限公司】公司提供的【九五云客服系统】系统（联系方式：【021-65085089】），用于向理财投资者提供客服服务，提供客服服务的过程将被录音，录音将会被暂时存储在【九五云客服系统】系统中，因提供客服服务过程中可能不可避免的涉及到投资者的个人身份信息、持仓信息、交易信息等，上述信息可能包含于被储存的录音当中，录音仅用于【事后追溯客服过程，保护投资者权益】。信银理财不会将上述被记录和存储的信息用于任何其他目的，也不会向任何其他第</w:t>
      </w:r>
      <w:r>
        <w:rPr>
          <w:rFonts w:hint="eastAsia" w:ascii="Times New Roman" w:hAnsi="Times New Roman" w:eastAsia="楷体_GB2312" w:cs="楷体_GB2312"/>
          <w:sz w:val="20"/>
          <w:szCs w:val="20"/>
        </w:rPr>
        <w:t>三方提供，同时将要求供应商履行同样义务，并在与供应商结束合作后要求其删除上述信息数据。投资者知悉并同意上述情况。如消费者不同意信银理财通过上述系统向其提供客服服务，可通过信银理财客服邮箱（</w:t>
      </w:r>
      <w:r>
        <w:rPr>
          <w:rFonts w:ascii="Times New Roman" w:hAnsi="Times New Roman" w:eastAsia="楷体_GB2312" w:cs="楷体_GB2312"/>
          <w:sz w:val="20"/>
          <w:szCs w:val="20"/>
        </w:rPr>
        <w:t>customerservice@citic-wealth.com）联系信银理财。</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0" w:firstLineChars="200"/>
        <w:jc w:val="both"/>
        <w:rPr>
          <w:rFonts w:ascii="楷体_GB2312" w:eastAsia="楷体_GB2312"/>
          <w:sz w:val="20"/>
          <w:szCs w:val="20"/>
        </w:rPr>
      </w:pPr>
      <w:r>
        <w:rPr>
          <w:rFonts w:hint="eastAsia" w:ascii="黑体" w:hAnsi="Times New Roman" w:eastAsia="黑体" w:cs="黑体"/>
          <w:sz w:val="20"/>
          <w:szCs w:val="20"/>
        </w:rPr>
        <w:t>十五、特别提示</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本产品面临的风险包括信用风险、市场风险、流动性风险、提前终止风险、政策风险、信息传递风险、管理风险、延期清算风险、产品</w:t>
      </w:r>
      <w:r>
        <w:rPr>
          <w:rFonts w:ascii="楷体_GB2312" w:eastAsia="楷体_GB2312" w:cs="楷体_GB2312"/>
          <w:sz w:val="20"/>
          <w:szCs w:val="20"/>
        </w:rPr>
        <w:t>不成立风险、</w:t>
      </w:r>
      <w:r>
        <w:rPr>
          <w:rFonts w:hint="eastAsia" w:ascii="楷体_GB2312" w:eastAsia="楷体_GB2312" w:cs="楷体_GB2312"/>
          <w:sz w:val="20"/>
          <w:szCs w:val="20"/>
        </w:rPr>
        <w:t>不可抗力及</w:t>
      </w:r>
      <w:r>
        <w:rPr>
          <w:rFonts w:ascii="楷体_GB2312" w:eastAsia="楷体_GB2312" w:cs="楷体_GB2312"/>
          <w:sz w:val="20"/>
          <w:szCs w:val="20"/>
        </w:rPr>
        <w:t>意外事件</w:t>
      </w:r>
      <w:r>
        <w:rPr>
          <w:rFonts w:hint="eastAsia" w:ascii="楷体_GB2312" w:eastAsia="楷体_GB2312" w:cs="楷体_GB2312"/>
          <w:sz w:val="20"/>
          <w:szCs w:val="20"/>
        </w:rPr>
        <w:t>风险、</w:t>
      </w:r>
      <w:r>
        <w:rPr>
          <w:rFonts w:ascii="楷体_GB2312" w:eastAsia="楷体_GB2312" w:cs="楷体_GB2312"/>
          <w:sz w:val="20"/>
          <w:szCs w:val="20"/>
        </w:rPr>
        <w:t>关联交易风险</w:t>
      </w:r>
      <w:r>
        <w:rPr>
          <w:rFonts w:hint="eastAsia" w:ascii="楷体_GB2312" w:eastAsia="楷体_GB2312" w:cs="楷体_GB2312"/>
          <w:sz w:val="20"/>
          <w:szCs w:val="20"/>
        </w:rPr>
        <w:t>、合作销售机构风险、</w:t>
      </w:r>
      <w:r>
        <w:rPr>
          <w:rFonts w:ascii="楷体_GB2312" w:eastAsia="楷体_GB2312" w:cs="楷体_GB2312"/>
          <w:sz w:val="20"/>
          <w:szCs w:val="20"/>
        </w:rPr>
        <w:t>操作风险</w:t>
      </w:r>
      <w:r>
        <w:rPr>
          <w:rFonts w:hint="eastAsia" w:ascii="楷体_GB2312" w:eastAsia="楷体_GB2312" w:cs="楷体_GB2312"/>
          <w:sz w:val="20"/>
          <w:szCs w:val="20"/>
        </w:rPr>
        <w:t>等风险，将可能导致投资者无法</w:t>
      </w:r>
      <w:r>
        <w:rPr>
          <w:rFonts w:ascii="楷体_GB2312" w:eastAsia="楷体_GB2312" w:cs="楷体_GB2312"/>
          <w:sz w:val="20"/>
          <w:szCs w:val="20"/>
        </w:rPr>
        <w:t>取得收益，甚至</w:t>
      </w:r>
      <w:r>
        <w:rPr>
          <w:rFonts w:hint="eastAsia" w:ascii="楷体_GB2312" w:eastAsia="楷体_GB2312" w:cs="楷体_GB2312"/>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sz w:val="20"/>
          <w:szCs w:val="20"/>
        </w:rPr>
        <w:t xml:space="preserve">  </w:t>
      </w:r>
    </w:p>
    <w:p>
      <w:pPr>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关于费用</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1）双方确认：本产品说明书约定的收费标准经双方协商确定，双方均认可该收费标准。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限制与例外条款：信银理财承诺不得单方面提高本产品说明书约定的收费标准，但根据相关法律法规、规范性文件的规定提高收费标准的除外。若因上述原因信银理财确需提高本产品说明书项下收费标准的，应以本产品说明书约定方式提前通知投资者。投资者不接受调整后的收费标准的，有权提前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p>
    <w:p>
      <w:pPr>
        <w:spacing w:line="300" w:lineRule="exact"/>
        <w:ind w:left="-2" w:firstLine="400" w:firstLineChars="200"/>
        <w:jc w:val="both"/>
        <w:rPr>
          <w:rFonts w:ascii="楷体_GB2312" w:eastAsia="楷体_GB2312"/>
          <w:sz w:val="20"/>
          <w:szCs w:val="20"/>
        </w:rPr>
      </w:pPr>
      <w:r>
        <w:rPr>
          <w:rFonts w:ascii="楷体_GB2312" w:eastAsia="楷体_GB2312"/>
          <w:sz w:val="20"/>
          <w:szCs w:val="20"/>
        </w:rPr>
        <w:t>4.</w:t>
      </w:r>
      <w:r>
        <w:rPr>
          <w:rFonts w:hint="eastAsia" w:ascii="楷体_GB2312" w:eastAsia="楷体_GB2312"/>
          <w:sz w:val="20"/>
          <w:szCs w:val="20"/>
        </w:rPr>
        <w:t>咨询与投诉</w:t>
      </w:r>
      <w:r>
        <w:rPr>
          <w:rFonts w:ascii="楷体_GB2312" w:eastAsia="楷体_GB2312"/>
          <w:sz w:val="20"/>
          <w:szCs w:val="20"/>
        </w:rPr>
        <w:t>：</w:t>
      </w:r>
      <w:r>
        <w:rPr>
          <w:rFonts w:hint="eastAsia" w:ascii="楷体_GB2312" w:eastAsia="楷体_GB2312"/>
          <w:sz w:val="20"/>
          <w:szCs w:val="20"/>
        </w:rPr>
        <w:t>投资者对</w:t>
      </w:r>
      <w:r>
        <w:rPr>
          <w:rFonts w:ascii="楷体_GB2312" w:eastAsia="楷体_GB2312"/>
          <w:sz w:val="20"/>
          <w:szCs w:val="20"/>
        </w:rPr>
        <w:t>本理财产品</w:t>
      </w:r>
      <w:r>
        <w:rPr>
          <w:rFonts w:hint="eastAsia" w:ascii="楷体_GB2312" w:eastAsia="楷体_GB2312"/>
          <w:sz w:val="20"/>
          <w:szCs w:val="20"/>
        </w:rPr>
        <w:t>有</w:t>
      </w:r>
      <w:r>
        <w:rPr>
          <w:rFonts w:ascii="楷体_GB2312" w:eastAsia="楷体_GB2312"/>
          <w:sz w:val="20"/>
          <w:szCs w:val="20"/>
        </w:rPr>
        <w:t>任何</w:t>
      </w:r>
      <w:r>
        <w:rPr>
          <w:rFonts w:hint="eastAsia" w:ascii="楷体_GB2312" w:eastAsia="楷体_GB2312"/>
          <w:sz w:val="20"/>
          <w:szCs w:val="20"/>
        </w:rPr>
        <w:t>建议</w:t>
      </w:r>
      <w:r>
        <w:rPr>
          <w:rFonts w:ascii="楷体_GB2312" w:eastAsia="楷体_GB2312"/>
          <w:sz w:val="20"/>
          <w:szCs w:val="20"/>
        </w:rPr>
        <w:t>、意见或投诉</w:t>
      </w:r>
      <w:r>
        <w:rPr>
          <w:rFonts w:hint="eastAsia" w:ascii="楷体_GB2312" w:eastAsia="楷体_GB2312"/>
          <w:sz w:val="20"/>
          <w:szCs w:val="20"/>
        </w:rPr>
        <w:t>，请</w:t>
      </w:r>
      <w:r>
        <w:rPr>
          <w:rFonts w:ascii="楷体_GB2312" w:eastAsia="楷体_GB2312"/>
          <w:sz w:val="20"/>
          <w:szCs w:val="20"/>
        </w:rPr>
        <w:t>联系信银理财理财经理</w:t>
      </w:r>
      <w:r>
        <w:rPr>
          <w:rFonts w:hint="eastAsia" w:ascii="楷体_GB2312" w:eastAsia="楷体_GB2312"/>
          <w:sz w:val="20"/>
          <w:szCs w:val="20"/>
        </w:rPr>
        <w:t>，或</w:t>
      </w:r>
      <w:r>
        <w:rPr>
          <w:rFonts w:ascii="楷体_GB2312" w:eastAsia="楷体_GB2312"/>
          <w:sz w:val="20"/>
          <w:szCs w:val="20"/>
        </w:rPr>
        <w:t>反馈至信银理财营业</w:t>
      </w:r>
      <w:r>
        <w:rPr>
          <w:rFonts w:hint="eastAsia" w:ascii="楷体_GB2312" w:eastAsia="楷体_GB2312"/>
          <w:sz w:val="20"/>
          <w:szCs w:val="20"/>
        </w:rPr>
        <w:t>场所，或拨打信银理财客户服务热线【</w:t>
      </w:r>
      <w:r>
        <w:rPr>
          <w:rFonts w:ascii="楷体_GB2312" w:eastAsia="楷体_GB2312"/>
          <w:sz w:val="20"/>
          <w:szCs w:val="20"/>
        </w:rPr>
        <w:t xml:space="preserve">950950，工作时间为工作日8：30-20：30】，登录信银理财网站【http://www.citic-wealth.com/】进行查询。 </w:t>
      </w:r>
      <w:r>
        <w:rPr>
          <w:rFonts w:hint="eastAsia" w:ascii="楷体_GB2312" w:eastAsia="楷体_GB2312"/>
          <w:sz w:val="20"/>
          <w:szCs w:val="20"/>
        </w:rPr>
        <w:t>信银理财将安排专人及时收集客户投诉，并在收到客户投诉的第一时间内与客户取得联系，及时处理并进行反馈。投资者</w:t>
      </w:r>
      <w:r>
        <w:rPr>
          <w:rFonts w:ascii="楷体_GB2312" w:eastAsia="楷体_GB2312"/>
          <w:sz w:val="20"/>
          <w:szCs w:val="20"/>
        </w:rPr>
        <w:t>通过代销机构购买理财产品的，可</w:t>
      </w:r>
      <w:r>
        <w:rPr>
          <w:rFonts w:hint="eastAsia" w:ascii="楷体_GB2312" w:eastAsia="楷体_GB2312"/>
          <w:sz w:val="20"/>
          <w:szCs w:val="20"/>
        </w:rPr>
        <w:t>按照</w:t>
      </w:r>
      <w:r>
        <w:rPr>
          <w:rFonts w:ascii="楷体_GB2312" w:eastAsia="楷体_GB2312"/>
          <w:sz w:val="20"/>
          <w:szCs w:val="20"/>
        </w:rPr>
        <w:t>代销机构提供的</w:t>
      </w:r>
      <w:r>
        <w:rPr>
          <w:rFonts w:hint="eastAsia" w:ascii="楷体_GB2312" w:eastAsia="楷体_GB2312"/>
          <w:sz w:val="20"/>
          <w:szCs w:val="20"/>
        </w:rPr>
        <w:t>联系</w:t>
      </w:r>
      <w:r>
        <w:rPr>
          <w:rFonts w:ascii="楷体_GB2312" w:eastAsia="楷体_GB2312"/>
          <w:sz w:val="20"/>
          <w:szCs w:val="20"/>
        </w:rPr>
        <w:t>方式</w:t>
      </w:r>
      <w:r>
        <w:rPr>
          <w:rFonts w:hint="eastAsia" w:ascii="楷体_GB2312" w:eastAsia="楷体_GB2312"/>
          <w:sz w:val="20"/>
          <w:szCs w:val="20"/>
        </w:rPr>
        <w:t>反馈</w:t>
      </w:r>
      <w:r>
        <w:rPr>
          <w:rFonts w:ascii="楷体_GB2312" w:eastAsia="楷体_GB2312"/>
          <w:sz w:val="20"/>
          <w:szCs w:val="20"/>
        </w:rPr>
        <w:t>信息、咨询和</w:t>
      </w:r>
      <w:r>
        <w:rPr>
          <w:rFonts w:hint="eastAsia" w:ascii="楷体_GB2312" w:eastAsia="楷体_GB2312"/>
          <w:sz w:val="20"/>
          <w:szCs w:val="20"/>
        </w:rPr>
        <w:t>投诉。</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5.本产品说明书中</w:t>
      </w:r>
      <w:r>
        <w:rPr>
          <w:rFonts w:hint="eastAsia" w:ascii="楷体_GB2312" w:eastAsia="楷体_GB2312"/>
          <w:sz w:val="20"/>
          <w:szCs w:val="20"/>
        </w:rPr>
        <w:t>关于</w:t>
      </w:r>
      <w:r>
        <w:rPr>
          <w:rFonts w:ascii="楷体_GB2312" w:eastAsia="楷体_GB2312"/>
          <w:sz w:val="20"/>
          <w:szCs w:val="20"/>
        </w:rPr>
        <w:t>时间</w:t>
      </w:r>
      <w:r>
        <w:rPr>
          <w:rFonts w:hint="eastAsia" w:ascii="楷体_GB2312" w:eastAsia="楷体_GB2312"/>
          <w:sz w:val="20"/>
          <w:szCs w:val="20"/>
        </w:rPr>
        <w:t>的</w:t>
      </w:r>
      <w:r>
        <w:rPr>
          <w:rFonts w:ascii="楷体_GB2312" w:eastAsia="楷体_GB2312"/>
          <w:sz w:val="20"/>
          <w:szCs w:val="20"/>
        </w:rPr>
        <w:t>标准</w:t>
      </w:r>
      <w:r>
        <w:rPr>
          <w:rFonts w:hint="eastAsia" w:ascii="楷体_GB2312" w:eastAsia="楷体_GB2312"/>
          <w:sz w:val="20"/>
          <w:szCs w:val="20"/>
        </w:rPr>
        <w:t>，</w:t>
      </w:r>
      <w:r>
        <w:rPr>
          <w:rFonts w:ascii="楷体_GB2312" w:eastAsia="楷体_GB2312"/>
          <w:sz w:val="20"/>
          <w:szCs w:val="20"/>
        </w:rPr>
        <w:t>以信银理财业务处理系统记录的北京时间为准。</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6.信银理财有权依法对本产品说明书进行</w:t>
      </w:r>
      <w:r>
        <w:rPr>
          <w:rFonts w:hint="eastAsia" w:ascii="楷体_GB2312" w:eastAsia="楷体_GB2312"/>
          <w:sz w:val="20"/>
          <w:szCs w:val="20"/>
        </w:rPr>
        <w:t>解释</w:t>
      </w:r>
      <w:r>
        <w:rPr>
          <w:rFonts w:ascii="楷体_GB2312" w:eastAsia="楷体_GB2312"/>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p>
    <w:p>
      <w:pPr>
        <w:spacing w:line="300" w:lineRule="exact"/>
        <w:ind w:left="400" w:firstLine="400" w:firstLineChars="200"/>
        <w:jc w:val="both"/>
        <w:rPr>
          <w:rFonts w:ascii="黑体" w:hAnsi="Times New Roman" w:eastAsia="黑体" w:cs="黑体"/>
          <w:sz w:val="20"/>
          <w:szCs w:val="20"/>
        </w:rPr>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sectPr>
      <w:headerReference r:id="rId5"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26</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revisionView w:markup="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0D44"/>
    <w:rsid w:val="00001C03"/>
    <w:rsid w:val="00001DC5"/>
    <w:rsid w:val="00003525"/>
    <w:rsid w:val="00004BEE"/>
    <w:rsid w:val="00006491"/>
    <w:rsid w:val="000112B7"/>
    <w:rsid w:val="000126B2"/>
    <w:rsid w:val="00014B73"/>
    <w:rsid w:val="000155CB"/>
    <w:rsid w:val="000160B3"/>
    <w:rsid w:val="00016C3A"/>
    <w:rsid w:val="00023A8D"/>
    <w:rsid w:val="0002679A"/>
    <w:rsid w:val="00027122"/>
    <w:rsid w:val="00032F3B"/>
    <w:rsid w:val="00033CE5"/>
    <w:rsid w:val="00035980"/>
    <w:rsid w:val="00035D4E"/>
    <w:rsid w:val="000363A0"/>
    <w:rsid w:val="00036A9C"/>
    <w:rsid w:val="000426F9"/>
    <w:rsid w:val="00043AA8"/>
    <w:rsid w:val="00044A7F"/>
    <w:rsid w:val="00044D26"/>
    <w:rsid w:val="00047F09"/>
    <w:rsid w:val="000512BB"/>
    <w:rsid w:val="0005210C"/>
    <w:rsid w:val="0005413C"/>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28B5"/>
    <w:rsid w:val="00074951"/>
    <w:rsid w:val="00074C93"/>
    <w:rsid w:val="00077050"/>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4FD4"/>
    <w:rsid w:val="00096806"/>
    <w:rsid w:val="00096A3A"/>
    <w:rsid w:val="000971E3"/>
    <w:rsid w:val="000A044F"/>
    <w:rsid w:val="000A327A"/>
    <w:rsid w:val="000A3596"/>
    <w:rsid w:val="000A3794"/>
    <w:rsid w:val="000A5B13"/>
    <w:rsid w:val="000A7618"/>
    <w:rsid w:val="000C04B7"/>
    <w:rsid w:val="000C0E92"/>
    <w:rsid w:val="000C0EBF"/>
    <w:rsid w:val="000C19F3"/>
    <w:rsid w:val="000C2603"/>
    <w:rsid w:val="000C33FA"/>
    <w:rsid w:val="000C3AF8"/>
    <w:rsid w:val="000C4C04"/>
    <w:rsid w:val="000C57C0"/>
    <w:rsid w:val="000C6FFC"/>
    <w:rsid w:val="000D0148"/>
    <w:rsid w:val="000D1511"/>
    <w:rsid w:val="000D2C6E"/>
    <w:rsid w:val="000D540C"/>
    <w:rsid w:val="000E10B6"/>
    <w:rsid w:val="000E1F6C"/>
    <w:rsid w:val="000E3008"/>
    <w:rsid w:val="000E380F"/>
    <w:rsid w:val="000E59C5"/>
    <w:rsid w:val="000E6792"/>
    <w:rsid w:val="000F1C10"/>
    <w:rsid w:val="000F26F4"/>
    <w:rsid w:val="000F412B"/>
    <w:rsid w:val="000F798A"/>
    <w:rsid w:val="00103F63"/>
    <w:rsid w:val="00104F74"/>
    <w:rsid w:val="0010616C"/>
    <w:rsid w:val="00110BCF"/>
    <w:rsid w:val="00110E7B"/>
    <w:rsid w:val="001114CE"/>
    <w:rsid w:val="00112931"/>
    <w:rsid w:val="00112CB3"/>
    <w:rsid w:val="00113152"/>
    <w:rsid w:val="001157E8"/>
    <w:rsid w:val="00117652"/>
    <w:rsid w:val="00122C68"/>
    <w:rsid w:val="00123C90"/>
    <w:rsid w:val="00125253"/>
    <w:rsid w:val="001260B9"/>
    <w:rsid w:val="001266EA"/>
    <w:rsid w:val="00126DB3"/>
    <w:rsid w:val="001275AC"/>
    <w:rsid w:val="00130901"/>
    <w:rsid w:val="00132E82"/>
    <w:rsid w:val="001339CB"/>
    <w:rsid w:val="0013467D"/>
    <w:rsid w:val="001353DA"/>
    <w:rsid w:val="00136105"/>
    <w:rsid w:val="0014090C"/>
    <w:rsid w:val="001425F3"/>
    <w:rsid w:val="00142C0C"/>
    <w:rsid w:val="00143455"/>
    <w:rsid w:val="001452EC"/>
    <w:rsid w:val="00151251"/>
    <w:rsid w:val="00151544"/>
    <w:rsid w:val="00151D12"/>
    <w:rsid w:val="001521EB"/>
    <w:rsid w:val="001549C8"/>
    <w:rsid w:val="00154E92"/>
    <w:rsid w:val="001550DA"/>
    <w:rsid w:val="00164277"/>
    <w:rsid w:val="001649F3"/>
    <w:rsid w:val="00167B0D"/>
    <w:rsid w:val="00170767"/>
    <w:rsid w:val="00170D13"/>
    <w:rsid w:val="00171827"/>
    <w:rsid w:val="00172A27"/>
    <w:rsid w:val="00172E18"/>
    <w:rsid w:val="00173536"/>
    <w:rsid w:val="00182E25"/>
    <w:rsid w:val="00184D24"/>
    <w:rsid w:val="00184DC0"/>
    <w:rsid w:val="001850A8"/>
    <w:rsid w:val="00186338"/>
    <w:rsid w:val="00186A62"/>
    <w:rsid w:val="00190A62"/>
    <w:rsid w:val="0019379B"/>
    <w:rsid w:val="00194DE7"/>
    <w:rsid w:val="00197081"/>
    <w:rsid w:val="001A10AA"/>
    <w:rsid w:val="001A2FFC"/>
    <w:rsid w:val="001A30BE"/>
    <w:rsid w:val="001A5283"/>
    <w:rsid w:val="001A71A7"/>
    <w:rsid w:val="001A720A"/>
    <w:rsid w:val="001A73B3"/>
    <w:rsid w:val="001A7BE3"/>
    <w:rsid w:val="001B01FF"/>
    <w:rsid w:val="001B2542"/>
    <w:rsid w:val="001B35C0"/>
    <w:rsid w:val="001B6029"/>
    <w:rsid w:val="001C1F96"/>
    <w:rsid w:val="001C2A78"/>
    <w:rsid w:val="001C36DA"/>
    <w:rsid w:val="001C3D71"/>
    <w:rsid w:val="001C4C70"/>
    <w:rsid w:val="001C4FAF"/>
    <w:rsid w:val="001C5D78"/>
    <w:rsid w:val="001C6F2B"/>
    <w:rsid w:val="001C72BC"/>
    <w:rsid w:val="001D51DA"/>
    <w:rsid w:val="001E1497"/>
    <w:rsid w:val="001E269C"/>
    <w:rsid w:val="001E6503"/>
    <w:rsid w:val="001E7C08"/>
    <w:rsid w:val="001F0D83"/>
    <w:rsid w:val="001F6640"/>
    <w:rsid w:val="001F6AE8"/>
    <w:rsid w:val="001F7597"/>
    <w:rsid w:val="001F76C8"/>
    <w:rsid w:val="001F77A5"/>
    <w:rsid w:val="0020078B"/>
    <w:rsid w:val="0020185E"/>
    <w:rsid w:val="00202368"/>
    <w:rsid w:val="0020290B"/>
    <w:rsid w:val="00202E2D"/>
    <w:rsid w:val="00202F47"/>
    <w:rsid w:val="00203EAD"/>
    <w:rsid w:val="0020493D"/>
    <w:rsid w:val="0020571D"/>
    <w:rsid w:val="00206FE3"/>
    <w:rsid w:val="00211658"/>
    <w:rsid w:val="002121B1"/>
    <w:rsid w:val="00212962"/>
    <w:rsid w:val="00214442"/>
    <w:rsid w:val="002153F5"/>
    <w:rsid w:val="00217805"/>
    <w:rsid w:val="0022225E"/>
    <w:rsid w:val="002255EE"/>
    <w:rsid w:val="00226CD2"/>
    <w:rsid w:val="00226ED1"/>
    <w:rsid w:val="00227275"/>
    <w:rsid w:val="00227A37"/>
    <w:rsid w:val="00227E5E"/>
    <w:rsid w:val="00233296"/>
    <w:rsid w:val="0023369F"/>
    <w:rsid w:val="00233AC8"/>
    <w:rsid w:val="00236C74"/>
    <w:rsid w:val="002370EE"/>
    <w:rsid w:val="0024115D"/>
    <w:rsid w:val="002465F7"/>
    <w:rsid w:val="0025002B"/>
    <w:rsid w:val="002502BE"/>
    <w:rsid w:val="00250C86"/>
    <w:rsid w:val="00253360"/>
    <w:rsid w:val="00253FDB"/>
    <w:rsid w:val="00254944"/>
    <w:rsid w:val="00254AB2"/>
    <w:rsid w:val="00255F6F"/>
    <w:rsid w:val="002605F2"/>
    <w:rsid w:val="0026099E"/>
    <w:rsid w:val="00262588"/>
    <w:rsid w:val="00263626"/>
    <w:rsid w:val="0026420B"/>
    <w:rsid w:val="00265466"/>
    <w:rsid w:val="00266948"/>
    <w:rsid w:val="00266F6D"/>
    <w:rsid w:val="00273BD6"/>
    <w:rsid w:val="002754B9"/>
    <w:rsid w:val="002761EB"/>
    <w:rsid w:val="0027693C"/>
    <w:rsid w:val="00277102"/>
    <w:rsid w:val="002808D0"/>
    <w:rsid w:val="00287256"/>
    <w:rsid w:val="00287DCD"/>
    <w:rsid w:val="00290755"/>
    <w:rsid w:val="00292667"/>
    <w:rsid w:val="00293163"/>
    <w:rsid w:val="00295A54"/>
    <w:rsid w:val="00296760"/>
    <w:rsid w:val="002A101B"/>
    <w:rsid w:val="002A118E"/>
    <w:rsid w:val="002A284E"/>
    <w:rsid w:val="002A37AD"/>
    <w:rsid w:val="002A3AB3"/>
    <w:rsid w:val="002A3FE3"/>
    <w:rsid w:val="002A448B"/>
    <w:rsid w:val="002A5E24"/>
    <w:rsid w:val="002A6FFD"/>
    <w:rsid w:val="002B17F0"/>
    <w:rsid w:val="002B195C"/>
    <w:rsid w:val="002B2EC5"/>
    <w:rsid w:val="002B53E3"/>
    <w:rsid w:val="002B68A0"/>
    <w:rsid w:val="002B7006"/>
    <w:rsid w:val="002B7859"/>
    <w:rsid w:val="002B7874"/>
    <w:rsid w:val="002C0721"/>
    <w:rsid w:val="002C07C8"/>
    <w:rsid w:val="002C0DAE"/>
    <w:rsid w:val="002C0DF5"/>
    <w:rsid w:val="002C17C9"/>
    <w:rsid w:val="002C348D"/>
    <w:rsid w:val="002C3870"/>
    <w:rsid w:val="002C3FC9"/>
    <w:rsid w:val="002C6C6D"/>
    <w:rsid w:val="002C6E82"/>
    <w:rsid w:val="002D0DD6"/>
    <w:rsid w:val="002D223E"/>
    <w:rsid w:val="002D3636"/>
    <w:rsid w:val="002D38B7"/>
    <w:rsid w:val="002D46D0"/>
    <w:rsid w:val="002D6E0E"/>
    <w:rsid w:val="002D7249"/>
    <w:rsid w:val="002E4E91"/>
    <w:rsid w:val="002E5746"/>
    <w:rsid w:val="002F0F28"/>
    <w:rsid w:val="002F14A9"/>
    <w:rsid w:val="002F1A8B"/>
    <w:rsid w:val="002F265B"/>
    <w:rsid w:val="002F28E8"/>
    <w:rsid w:val="002F320A"/>
    <w:rsid w:val="002F6BBC"/>
    <w:rsid w:val="002F7FA0"/>
    <w:rsid w:val="00301333"/>
    <w:rsid w:val="00304587"/>
    <w:rsid w:val="00306D2D"/>
    <w:rsid w:val="003075EA"/>
    <w:rsid w:val="00307DCB"/>
    <w:rsid w:val="00307EE8"/>
    <w:rsid w:val="00310EC2"/>
    <w:rsid w:val="00311784"/>
    <w:rsid w:val="00311FCF"/>
    <w:rsid w:val="0031212B"/>
    <w:rsid w:val="00312A2B"/>
    <w:rsid w:val="003133C9"/>
    <w:rsid w:val="0031533D"/>
    <w:rsid w:val="00316DEC"/>
    <w:rsid w:val="003175C8"/>
    <w:rsid w:val="00321CAD"/>
    <w:rsid w:val="00321ED4"/>
    <w:rsid w:val="003242D1"/>
    <w:rsid w:val="003259DD"/>
    <w:rsid w:val="003313E2"/>
    <w:rsid w:val="00332EB9"/>
    <w:rsid w:val="00335B1F"/>
    <w:rsid w:val="003361BF"/>
    <w:rsid w:val="003413CC"/>
    <w:rsid w:val="00344E13"/>
    <w:rsid w:val="003452C4"/>
    <w:rsid w:val="00345FAE"/>
    <w:rsid w:val="00346433"/>
    <w:rsid w:val="00354663"/>
    <w:rsid w:val="00354FAB"/>
    <w:rsid w:val="00356364"/>
    <w:rsid w:val="003563BB"/>
    <w:rsid w:val="003576A4"/>
    <w:rsid w:val="00362735"/>
    <w:rsid w:val="003636CD"/>
    <w:rsid w:val="00363912"/>
    <w:rsid w:val="00364049"/>
    <w:rsid w:val="0036565F"/>
    <w:rsid w:val="00365828"/>
    <w:rsid w:val="0036597B"/>
    <w:rsid w:val="00366351"/>
    <w:rsid w:val="00366A7F"/>
    <w:rsid w:val="00366D41"/>
    <w:rsid w:val="003709FB"/>
    <w:rsid w:val="00370AD9"/>
    <w:rsid w:val="003722EF"/>
    <w:rsid w:val="003735E5"/>
    <w:rsid w:val="00373CDD"/>
    <w:rsid w:val="0037708C"/>
    <w:rsid w:val="00380548"/>
    <w:rsid w:val="00381BBC"/>
    <w:rsid w:val="003822F0"/>
    <w:rsid w:val="00382F22"/>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A91"/>
    <w:rsid w:val="003A3EC5"/>
    <w:rsid w:val="003B3842"/>
    <w:rsid w:val="003B4081"/>
    <w:rsid w:val="003B4DB7"/>
    <w:rsid w:val="003B5259"/>
    <w:rsid w:val="003B62CB"/>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0148"/>
    <w:rsid w:val="003F10DD"/>
    <w:rsid w:val="003F2084"/>
    <w:rsid w:val="003F3C37"/>
    <w:rsid w:val="003F5C60"/>
    <w:rsid w:val="003F5CC9"/>
    <w:rsid w:val="003F7F7C"/>
    <w:rsid w:val="004025B0"/>
    <w:rsid w:val="00403F2B"/>
    <w:rsid w:val="0040426A"/>
    <w:rsid w:val="004057B9"/>
    <w:rsid w:val="00405B1C"/>
    <w:rsid w:val="00411E84"/>
    <w:rsid w:val="004120B5"/>
    <w:rsid w:val="00412EB7"/>
    <w:rsid w:val="00413B11"/>
    <w:rsid w:val="00415393"/>
    <w:rsid w:val="00415933"/>
    <w:rsid w:val="00415D0E"/>
    <w:rsid w:val="00420285"/>
    <w:rsid w:val="004202B4"/>
    <w:rsid w:val="004205C0"/>
    <w:rsid w:val="00420C90"/>
    <w:rsid w:val="004210C6"/>
    <w:rsid w:val="00421F37"/>
    <w:rsid w:val="004220BE"/>
    <w:rsid w:val="004243EB"/>
    <w:rsid w:val="00424486"/>
    <w:rsid w:val="00424F9E"/>
    <w:rsid w:val="00425606"/>
    <w:rsid w:val="00426ED5"/>
    <w:rsid w:val="00430677"/>
    <w:rsid w:val="00430E0F"/>
    <w:rsid w:val="00433133"/>
    <w:rsid w:val="004349AB"/>
    <w:rsid w:val="00435358"/>
    <w:rsid w:val="00436006"/>
    <w:rsid w:val="00441E3A"/>
    <w:rsid w:val="0044468D"/>
    <w:rsid w:val="00445495"/>
    <w:rsid w:val="00445508"/>
    <w:rsid w:val="00445F90"/>
    <w:rsid w:val="004468BE"/>
    <w:rsid w:val="0045444C"/>
    <w:rsid w:val="004600AE"/>
    <w:rsid w:val="00460930"/>
    <w:rsid w:val="00461A21"/>
    <w:rsid w:val="00463F1F"/>
    <w:rsid w:val="00465DE6"/>
    <w:rsid w:val="004702CE"/>
    <w:rsid w:val="0047057B"/>
    <w:rsid w:val="00470FB6"/>
    <w:rsid w:val="0047108F"/>
    <w:rsid w:val="004713F0"/>
    <w:rsid w:val="0047199F"/>
    <w:rsid w:val="00472722"/>
    <w:rsid w:val="00475B81"/>
    <w:rsid w:val="00475C7B"/>
    <w:rsid w:val="0048072D"/>
    <w:rsid w:val="00480B50"/>
    <w:rsid w:val="00480C2E"/>
    <w:rsid w:val="0048138C"/>
    <w:rsid w:val="0048246F"/>
    <w:rsid w:val="00482619"/>
    <w:rsid w:val="00487CC8"/>
    <w:rsid w:val="00491D21"/>
    <w:rsid w:val="00491EAE"/>
    <w:rsid w:val="004933E0"/>
    <w:rsid w:val="00493FBA"/>
    <w:rsid w:val="0049560E"/>
    <w:rsid w:val="00497A0F"/>
    <w:rsid w:val="004A045E"/>
    <w:rsid w:val="004A382D"/>
    <w:rsid w:val="004A3C1C"/>
    <w:rsid w:val="004A4CB6"/>
    <w:rsid w:val="004A61B7"/>
    <w:rsid w:val="004A73A9"/>
    <w:rsid w:val="004B0F38"/>
    <w:rsid w:val="004B26A9"/>
    <w:rsid w:val="004B2C85"/>
    <w:rsid w:val="004B3BD5"/>
    <w:rsid w:val="004B3E7F"/>
    <w:rsid w:val="004B49C4"/>
    <w:rsid w:val="004B4B7E"/>
    <w:rsid w:val="004B4E0C"/>
    <w:rsid w:val="004B683E"/>
    <w:rsid w:val="004B7645"/>
    <w:rsid w:val="004C0143"/>
    <w:rsid w:val="004C2BBE"/>
    <w:rsid w:val="004C2EB2"/>
    <w:rsid w:val="004C3474"/>
    <w:rsid w:val="004C46A4"/>
    <w:rsid w:val="004C49DC"/>
    <w:rsid w:val="004D1573"/>
    <w:rsid w:val="004D3168"/>
    <w:rsid w:val="004D351F"/>
    <w:rsid w:val="004D3982"/>
    <w:rsid w:val="004D41C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6A2"/>
    <w:rsid w:val="005029E8"/>
    <w:rsid w:val="005036F8"/>
    <w:rsid w:val="00503B4E"/>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7BAE"/>
    <w:rsid w:val="005301A0"/>
    <w:rsid w:val="0053502F"/>
    <w:rsid w:val="00537091"/>
    <w:rsid w:val="00540C44"/>
    <w:rsid w:val="0054134D"/>
    <w:rsid w:val="00542BD1"/>
    <w:rsid w:val="0054435B"/>
    <w:rsid w:val="0054504E"/>
    <w:rsid w:val="00545208"/>
    <w:rsid w:val="005530C9"/>
    <w:rsid w:val="00557038"/>
    <w:rsid w:val="00561499"/>
    <w:rsid w:val="005616A3"/>
    <w:rsid w:val="00562F86"/>
    <w:rsid w:val="0056311A"/>
    <w:rsid w:val="00566105"/>
    <w:rsid w:val="005677B6"/>
    <w:rsid w:val="00567895"/>
    <w:rsid w:val="00570679"/>
    <w:rsid w:val="00573B2A"/>
    <w:rsid w:val="005755E0"/>
    <w:rsid w:val="00575AA3"/>
    <w:rsid w:val="005769C1"/>
    <w:rsid w:val="00577699"/>
    <w:rsid w:val="00580CAC"/>
    <w:rsid w:val="00581BEA"/>
    <w:rsid w:val="005828C6"/>
    <w:rsid w:val="00582D53"/>
    <w:rsid w:val="00584A5D"/>
    <w:rsid w:val="005862B0"/>
    <w:rsid w:val="005865C3"/>
    <w:rsid w:val="0059646B"/>
    <w:rsid w:val="00597DBA"/>
    <w:rsid w:val="005A099D"/>
    <w:rsid w:val="005A0E20"/>
    <w:rsid w:val="005A20DA"/>
    <w:rsid w:val="005A2FE5"/>
    <w:rsid w:val="005A3C8F"/>
    <w:rsid w:val="005A5EC0"/>
    <w:rsid w:val="005A5EF2"/>
    <w:rsid w:val="005B0BE3"/>
    <w:rsid w:val="005B1608"/>
    <w:rsid w:val="005B1D91"/>
    <w:rsid w:val="005B26C0"/>
    <w:rsid w:val="005B2BD9"/>
    <w:rsid w:val="005B2FCA"/>
    <w:rsid w:val="005B4B89"/>
    <w:rsid w:val="005C1012"/>
    <w:rsid w:val="005C26A1"/>
    <w:rsid w:val="005C2BE9"/>
    <w:rsid w:val="005C3873"/>
    <w:rsid w:val="005C42A6"/>
    <w:rsid w:val="005C67EC"/>
    <w:rsid w:val="005C6EF7"/>
    <w:rsid w:val="005C7D77"/>
    <w:rsid w:val="005D039E"/>
    <w:rsid w:val="005D2357"/>
    <w:rsid w:val="005D25FF"/>
    <w:rsid w:val="005D45A1"/>
    <w:rsid w:val="005D756C"/>
    <w:rsid w:val="005E002C"/>
    <w:rsid w:val="005E0A11"/>
    <w:rsid w:val="005E2ABB"/>
    <w:rsid w:val="005E329C"/>
    <w:rsid w:val="005E4210"/>
    <w:rsid w:val="005E7116"/>
    <w:rsid w:val="005F076E"/>
    <w:rsid w:val="005F1399"/>
    <w:rsid w:val="005F16A2"/>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669"/>
    <w:rsid w:val="00621EF3"/>
    <w:rsid w:val="006222B7"/>
    <w:rsid w:val="006223DC"/>
    <w:rsid w:val="0062630B"/>
    <w:rsid w:val="00626BED"/>
    <w:rsid w:val="00627679"/>
    <w:rsid w:val="00627B39"/>
    <w:rsid w:val="00631B83"/>
    <w:rsid w:val="0063231F"/>
    <w:rsid w:val="006368D3"/>
    <w:rsid w:val="00637A0A"/>
    <w:rsid w:val="00640235"/>
    <w:rsid w:val="006412AE"/>
    <w:rsid w:val="00641AF2"/>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80BF4"/>
    <w:rsid w:val="00683ADB"/>
    <w:rsid w:val="00683FC3"/>
    <w:rsid w:val="006872FC"/>
    <w:rsid w:val="00687B21"/>
    <w:rsid w:val="0069257C"/>
    <w:rsid w:val="00692C48"/>
    <w:rsid w:val="0069652B"/>
    <w:rsid w:val="006975BC"/>
    <w:rsid w:val="006976C9"/>
    <w:rsid w:val="006A1119"/>
    <w:rsid w:val="006A19F9"/>
    <w:rsid w:val="006A7AC1"/>
    <w:rsid w:val="006B5645"/>
    <w:rsid w:val="006B7649"/>
    <w:rsid w:val="006C0090"/>
    <w:rsid w:val="006C0ABB"/>
    <w:rsid w:val="006C1134"/>
    <w:rsid w:val="006C284C"/>
    <w:rsid w:val="006C4FBC"/>
    <w:rsid w:val="006C5373"/>
    <w:rsid w:val="006C5D6D"/>
    <w:rsid w:val="006C774E"/>
    <w:rsid w:val="006D380D"/>
    <w:rsid w:val="006D621E"/>
    <w:rsid w:val="006D70AD"/>
    <w:rsid w:val="006D7DF5"/>
    <w:rsid w:val="006E0C09"/>
    <w:rsid w:val="006E0F1E"/>
    <w:rsid w:val="006E10CF"/>
    <w:rsid w:val="006E308C"/>
    <w:rsid w:val="006E30F2"/>
    <w:rsid w:val="006E3116"/>
    <w:rsid w:val="006E4B6F"/>
    <w:rsid w:val="006E4D8B"/>
    <w:rsid w:val="006E730A"/>
    <w:rsid w:val="006F04C3"/>
    <w:rsid w:val="006F04C6"/>
    <w:rsid w:val="006F166D"/>
    <w:rsid w:val="006F4028"/>
    <w:rsid w:val="006F415D"/>
    <w:rsid w:val="006F692A"/>
    <w:rsid w:val="00701D14"/>
    <w:rsid w:val="00701D1A"/>
    <w:rsid w:val="0070335C"/>
    <w:rsid w:val="00705D50"/>
    <w:rsid w:val="007069CD"/>
    <w:rsid w:val="0071213F"/>
    <w:rsid w:val="007146CC"/>
    <w:rsid w:val="007160F3"/>
    <w:rsid w:val="00716F0D"/>
    <w:rsid w:val="00720700"/>
    <w:rsid w:val="0072217D"/>
    <w:rsid w:val="0072328E"/>
    <w:rsid w:val="00724020"/>
    <w:rsid w:val="00726055"/>
    <w:rsid w:val="0073319B"/>
    <w:rsid w:val="007341D7"/>
    <w:rsid w:val="0073572E"/>
    <w:rsid w:val="00736C6D"/>
    <w:rsid w:val="007370B0"/>
    <w:rsid w:val="00742D4B"/>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42B"/>
    <w:rsid w:val="0077550E"/>
    <w:rsid w:val="007808F5"/>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153F"/>
    <w:rsid w:val="007929F7"/>
    <w:rsid w:val="00792E50"/>
    <w:rsid w:val="00796F6B"/>
    <w:rsid w:val="007A1863"/>
    <w:rsid w:val="007A1B0D"/>
    <w:rsid w:val="007A21A1"/>
    <w:rsid w:val="007A38A6"/>
    <w:rsid w:val="007A4008"/>
    <w:rsid w:val="007A792C"/>
    <w:rsid w:val="007A79D6"/>
    <w:rsid w:val="007A7B18"/>
    <w:rsid w:val="007B05FD"/>
    <w:rsid w:val="007B0FB2"/>
    <w:rsid w:val="007B16F7"/>
    <w:rsid w:val="007B37FA"/>
    <w:rsid w:val="007B5B47"/>
    <w:rsid w:val="007B7D9D"/>
    <w:rsid w:val="007C2C0B"/>
    <w:rsid w:val="007C2FC3"/>
    <w:rsid w:val="007C3128"/>
    <w:rsid w:val="007C3B98"/>
    <w:rsid w:val="007D0A11"/>
    <w:rsid w:val="007D1EC7"/>
    <w:rsid w:val="007D4752"/>
    <w:rsid w:val="007D7593"/>
    <w:rsid w:val="007E04C1"/>
    <w:rsid w:val="007E1068"/>
    <w:rsid w:val="007E29BB"/>
    <w:rsid w:val="007E3841"/>
    <w:rsid w:val="007E7634"/>
    <w:rsid w:val="007F094F"/>
    <w:rsid w:val="007F0B7D"/>
    <w:rsid w:val="007F287A"/>
    <w:rsid w:val="007F3EC4"/>
    <w:rsid w:val="007F52AA"/>
    <w:rsid w:val="007F6220"/>
    <w:rsid w:val="007F779B"/>
    <w:rsid w:val="0080146A"/>
    <w:rsid w:val="00803588"/>
    <w:rsid w:val="00803B53"/>
    <w:rsid w:val="00803C1D"/>
    <w:rsid w:val="008048AB"/>
    <w:rsid w:val="00805AE9"/>
    <w:rsid w:val="008069CD"/>
    <w:rsid w:val="0080753F"/>
    <w:rsid w:val="00807588"/>
    <w:rsid w:val="008077EC"/>
    <w:rsid w:val="00807CA4"/>
    <w:rsid w:val="00810BD4"/>
    <w:rsid w:val="00813BA5"/>
    <w:rsid w:val="00815CD7"/>
    <w:rsid w:val="00816DF3"/>
    <w:rsid w:val="00820B08"/>
    <w:rsid w:val="00821110"/>
    <w:rsid w:val="00821919"/>
    <w:rsid w:val="00822EB0"/>
    <w:rsid w:val="00824276"/>
    <w:rsid w:val="008247C2"/>
    <w:rsid w:val="0082485C"/>
    <w:rsid w:val="008248E5"/>
    <w:rsid w:val="00824EDA"/>
    <w:rsid w:val="008254B1"/>
    <w:rsid w:val="008276D5"/>
    <w:rsid w:val="0083053C"/>
    <w:rsid w:val="00830540"/>
    <w:rsid w:val="00831228"/>
    <w:rsid w:val="008328F6"/>
    <w:rsid w:val="00832BAC"/>
    <w:rsid w:val="00833340"/>
    <w:rsid w:val="008342FE"/>
    <w:rsid w:val="0083530F"/>
    <w:rsid w:val="00835642"/>
    <w:rsid w:val="008357D1"/>
    <w:rsid w:val="00837988"/>
    <w:rsid w:val="00837AA9"/>
    <w:rsid w:val="00837D0A"/>
    <w:rsid w:val="00842495"/>
    <w:rsid w:val="008437E9"/>
    <w:rsid w:val="00843864"/>
    <w:rsid w:val="008466DD"/>
    <w:rsid w:val="00847469"/>
    <w:rsid w:val="00847971"/>
    <w:rsid w:val="00850703"/>
    <w:rsid w:val="0085303E"/>
    <w:rsid w:val="008548FE"/>
    <w:rsid w:val="00860330"/>
    <w:rsid w:val="00860EDD"/>
    <w:rsid w:val="008619AD"/>
    <w:rsid w:val="00863ADD"/>
    <w:rsid w:val="00864636"/>
    <w:rsid w:val="00865BAE"/>
    <w:rsid w:val="0086720D"/>
    <w:rsid w:val="00867B11"/>
    <w:rsid w:val="008734E7"/>
    <w:rsid w:val="008802D9"/>
    <w:rsid w:val="008802E0"/>
    <w:rsid w:val="008829FC"/>
    <w:rsid w:val="00882FCC"/>
    <w:rsid w:val="0088574C"/>
    <w:rsid w:val="008859E1"/>
    <w:rsid w:val="008906E1"/>
    <w:rsid w:val="00890816"/>
    <w:rsid w:val="00890D1C"/>
    <w:rsid w:val="0089154C"/>
    <w:rsid w:val="00891A87"/>
    <w:rsid w:val="00897F01"/>
    <w:rsid w:val="008A0CA2"/>
    <w:rsid w:val="008A2CAA"/>
    <w:rsid w:val="008A2CDF"/>
    <w:rsid w:val="008A39D6"/>
    <w:rsid w:val="008A411C"/>
    <w:rsid w:val="008A6EBC"/>
    <w:rsid w:val="008A783D"/>
    <w:rsid w:val="008B06B0"/>
    <w:rsid w:val="008B1F4C"/>
    <w:rsid w:val="008B2747"/>
    <w:rsid w:val="008B4408"/>
    <w:rsid w:val="008B4CCC"/>
    <w:rsid w:val="008B52FB"/>
    <w:rsid w:val="008B5BC5"/>
    <w:rsid w:val="008B7931"/>
    <w:rsid w:val="008C2067"/>
    <w:rsid w:val="008C2EE0"/>
    <w:rsid w:val="008C390D"/>
    <w:rsid w:val="008C394C"/>
    <w:rsid w:val="008C5AA5"/>
    <w:rsid w:val="008C5B3C"/>
    <w:rsid w:val="008C6EB3"/>
    <w:rsid w:val="008D437D"/>
    <w:rsid w:val="008D6F47"/>
    <w:rsid w:val="008D742F"/>
    <w:rsid w:val="008E20B6"/>
    <w:rsid w:val="008E2351"/>
    <w:rsid w:val="008E3191"/>
    <w:rsid w:val="008E5E61"/>
    <w:rsid w:val="008E7AC3"/>
    <w:rsid w:val="008F1276"/>
    <w:rsid w:val="008F2FF3"/>
    <w:rsid w:val="008F473B"/>
    <w:rsid w:val="008F4E63"/>
    <w:rsid w:val="008F5554"/>
    <w:rsid w:val="00900C38"/>
    <w:rsid w:val="00902206"/>
    <w:rsid w:val="00903D64"/>
    <w:rsid w:val="00904330"/>
    <w:rsid w:val="00904916"/>
    <w:rsid w:val="009105DF"/>
    <w:rsid w:val="00911440"/>
    <w:rsid w:val="009128D9"/>
    <w:rsid w:val="00912939"/>
    <w:rsid w:val="00913291"/>
    <w:rsid w:val="00914357"/>
    <w:rsid w:val="00914462"/>
    <w:rsid w:val="009146B0"/>
    <w:rsid w:val="00916142"/>
    <w:rsid w:val="00916769"/>
    <w:rsid w:val="009216EC"/>
    <w:rsid w:val="00922284"/>
    <w:rsid w:val="009238E1"/>
    <w:rsid w:val="00924A90"/>
    <w:rsid w:val="009252A0"/>
    <w:rsid w:val="009252DC"/>
    <w:rsid w:val="00925A45"/>
    <w:rsid w:val="00925ABF"/>
    <w:rsid w:val="00927782"/>
    <w:rsid w:val="00931A97"/>
    <w:rsid w:val="00934714"/>
    <w:rsid w:val="00935DD4"/>
    <w:rsid w:val="009375D9"/>
    <w:rsid w:val="00940B4D"/>
    <w:rsid w:val="009421CA"/>
    <w:rsid w:val="009437CB"/>
    <w:rsid w:val="00944077"/>
    <w:rsid w:val="00944564"/>
    <w:rsid w:val="009450AF"/>
    <w:rsid w:val="0094593C"/>
    <w:rsid w:val="00951827"/>
    <w:rsid w:val="009525FD"/>
    <w:rsid w:val="009549AE"/>
    <w:rsid w:val="00955552"/>
    <w:rsid w:val="009561B3"/>
    <w:rsid w:val="00956597"/>
    <w:rsid w:val="00961F75"/>
    <w:rsid w:val="009647FC"/>
    <w:rsid w:val="0096558D"/>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FCB"/>
    <w:rsid w:val="00995489"/>
    <w:rsid w:val="00996D44"/>
    <w:rsid w:val="00997ADB"/>
    <w:rsid w:val="009A0937"/>
    <w:rsid w:val="009A18DB"/>
    <w:rsid w:val="009A303C"/>
    <w:rsid w:val="009A45FE"/>
    <w:rsid w:val="009A4690"/>
    <w:rsid w:val="009A489C"/>
    <w:rsid w:val="009B2AFA"/>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4B49"/>
    <w:rsid w:val="009E18BD"/>
    <w:rsid w:val="009E253B"/>
    <w:rsid w:val="009E6C2C"/>
    <w:rsid w:val="009E74E9"/>
    <w:rsid w:val="009F2387"/>
    <w:rsid w:val="009F3A6B"/>
    <w:rsid w:val="009F4DDF"/>
    <w:rsid w:val="009F63BA"/>
    <w:rsid w:val="009F7493"/>
    <w:rsid w:val="009F7E21"/>
    <w:rsid w:val="00A04383"/>
    <w:rsid w:val="00A05548"/>
    <w:rsid w:val="00A11C2A"/>
    <w:rsid w:val="00A123E3"/>
    <w:rsid w:val="00A13F92"/>
    <w:rsid w:val="00A1651C"/>
    <w:rsid w:val="00A167A3"/>
    <w:rsid w:val="00A16D0B"/>
    <w:rsid w:val="00A17DCA"/>
    <w:rsid w:val="00A21691"/>
    <w:rsid w:val="00A22514"/>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1891"/>
    <w:rsid w:val="00A52506"/>
    <w:rsid w:val="00A53B68"/>
    <w:rsid w:val="00A54BA1"/>
    <w:rsid w:val="00A55D36"/>
    <w:rsid w:val="00A56C74"/>
    <w:rsid w:val="00A61C27"/>
    <w:rsid w:val="00A632C2"/>
    <w:rsid w:val="00A6470A"/>
    <w:rsid w:val="00A65213"/>
    <w:rsid w:val="00A6533B"/>
    <w:rsid w:val="00A65C1B"/>
    <w:rsid w:val="00A7040A"/>
    <w:rsid w:val="00A719C9"/>
    <w:rsid w:val="00A74E7A"/>
    <w:rsid w:val="00A7596B"/>
    <w:rsid w:val="00A75EE9"/>
    <w:rsid w:val="00A7690D"/>
    <w:rsid w:val="00A77CC1"/>
    <w:rsid w:val="00A84324"/>
    <w:rsid w:val="00A8483D"/>
    <w:rsid w:val="00A87ABC"/>
    <w:rsid w:val="00A90F6A"/>
    <w:rsid w:val="00A91ECB"/>
    <w:rsid w:val="00A9276D"/>
    <w:rsid w:val="00A930C7"/>
    <w:rsid w:val="00A93BF6"/>
    <w:rsid w:val="00A956AD"/>
    <w:rsid w:val="00AA3BFD"/>
    <w:rsid w:val="00AA5CB2"/>
    <w:rsid w:val="00AA643C"/>
    <w:rsid w:val="00AB29D0"/>
    <w:rsid w:val="00AB3B1E"/>
    <w:rsid w:val="00AB4C0B"/>
    <w:rsid w:val="00AB5DF7"/>
    <w:rsid w:val="00AC2BE4"/>
    <w:rsid w:val="00AC37F5"/>
    <w:rsid w:val="00AC4A02"/>
    <w:rsid w:val="00AC71C0"/>
    <w:rsid w:val="00AD0D6B"/>
    <w:rsid w:val="00AD1722"/>
    <w:rsid w:val="00AD1FE5"/>
    <w:rsid w:val="00AD206B"/>
    <w:rsid w:val="00AD3163"/>
    <w:rsid w:val="00AD5938"/>
    <w:rsid w:val="00AD5C44"/>
    <w:rsid w:val="00AE158D"/>
    <w:rsid w:val="00AE1A21"/>
    <w:rsid w:val="00AE22BA"/>
    <w:rsid w:val="00AE3747"/>
    <w:rsid w:val="00AE4CD5"/>
    <w:rsid w:val="00AE6247"/>
    <w:rsid w:val="00AE6718"/>
    <w:rsid w:val="00AE6808"/>
    <w:rsid w:val="00AE7012"/>
    <w:rsid w:val="00AF0C5C"/>
    <w:rsid w:val="00AF2C00"/>
    <w:rsid w:val="00AF2D3A"/>
    <w:rsid w:val="00AF37FE"/>
    <w:rsid w:val="00AF3A2F"/>
    <w:rsid w:val="00AF3C89"/>
    <w:rsid w:val="00AF7872"/>
    <w:rsid w:val="00B00A25"/>
    <w:rsid w:val="00B03631"/>
    <w:rsid w:val="00B04414"/>
    <w:rsid w:val="00B04D83"/>
    <w:rsid w:val="00B07607"/>
    <w:rsid w:val="00B1183E"/>
    <w:rsid w:val="00B140C3"/>
    <w:rsid w:val="00B17FC5"/>
    <w:rsid w:val="00B200F6"/>
    <w:rsid w:val="00B20513"/>
    <w:rsid w:val="00B21109"/>
    <w:rsid w:val="00B230BA"/>
    <w:rsid w:val="00B24B2B"/>
    <w:rsid w:val="00B2555E"/>
    <w:rsid w:val="00B30613"/>
    <w:rsid w:val="00B331C0"/>
    <w:rsid w:val="00B3407C"/>
    <w:rsid w:val="00B35F6D"/>
    <w:rsid w:val="00B41274"/>
    <w:rsid w:val="00B41994"/>
    <w:rsid w:val="00B42CDD"/>
    <w:rsid w:val="00B43C2C"/>
    <w:rsid w:val="00B4465C"/>
    <w:rsid w:val="00B45671"/>
    <w:rsid w:val="00B51166"/>
    <w:rsid w:val="00B5193E"/>
    <w:rsid w:val="00B55E40"/>
    <w:rsid w:val="00B6066D"/>
    <w:rsid w:val="00B6170E"/>
    <w:rsid w:val="00B627D4"/>
    <w:rsid w:val="00B64EEB"/>
    <w:rsid w:val="00B673C1"/>
    <w:rsid w:val="00B67A4C"/>
    <w:rsid w:val="00B7025F"/>
    <w:rsid w:val="00B70682"/>
    <w:rsid w:val="00B72C4F"/>
    <w:rsid w:val="00B73D0C"/>
    <w:rsid w:val="00B76E5A"/>
    <w:rsid w:val="00B77E4F"/>
    <w:rsid w:val="00B80717"/>
    <w:rsid w:val="00B8302F"/>
    <w:rsid w:val="00B83367"/>
    <w:rsid w:val="00B844D7"/>
    <w:rsid w:val="00B8483F"/>
    <w:rsid w:val="00B90964"/>
    <w:rsid w:val="00B9298C"/>
    <w:rsid w:val="00B92D59"/>
    <w:rsid w:val="00B93577"/>
    <w:rsid w:val="00B9446C"/>
    <w:rsid w:val="00B95A27"/>
    <w:rsid w:val="00B96B8F"/>
    <w:rsid w:val="00B9728F"/>
    <w:rsid w:val="00BA03A6"/>
    <w:rsid w:val="00BA43AC"/>
    <w:rsid w:val="00BA707B"/>
    <w:rsid w:val="00BB0C5E"/>
    <w:rsid w:val="00BB1C90"/>
    <w:rsid w:val="00BB3AC1"/>
    <w:rsid w:val="00BB3D31"/>
    <w:rsid w:val="00BB7026"/>
    <w:rsid w:val="00BB78FE"/>
    <w:rsid w:val="00BB7B35"/>
    <w:rsid w:val="00BC2AC5"/>
    <w:rsid w:val="00BC4F45"/>
    <w:rsid w:val="00BC641A"/>
    <w:rsid w:val="00BC7731"/>
    <w:rsid w:val="00BC7AB3"/>
    <w:rsid w:val="00BD1B90"/>
    <w:rsid w:val="00BD4559"/>
    <w:rsid w:val="00BD4F2A"/>
    <w:rsid w:val="00BD6055"/>
    <w:rsid w:val="00BD60FE"/>
    <w:rsid w:val="00BE0C23"/>
    <w:rsid w:val="00BE159E"/>
    <w:rsid w:val="00BE3245"/>
    <w:rsid w:val="00BE5733"/>
    <w:rsid w:val="00BE6AF6"/>
    <w:rsid w:val="00BF06E1"/>
    <w:rsid w:val="00BF1BF1"/>
    <w:rsid w:val="00BF23C0"/>
    <w:rsid w:val="00BF272B"/>
    <w:rsid w:val="00BF29CC"/>
    <w:rsid w:val="00BF2FC4"/>
    <w:rsid w:val="00BF3DDB"/>
    <w:rsid w:val="00BF5419"/>
    <w:rsid w:val="00BF7602"/>
    <w:rsid w:val="00BF7E48"/>
    <w:rsid w:val="00C0010B"/>
    <w:rsid w:val="00C02A0B"/>
    <w:rsid w:val="00C03CF5"/>
    <w:rsid w:val="00C04640"/>
    <w:rsid w:val="00C04E3C"/>
    <w:rsid w:val="00C05C2D"/>
    <w:rsid w:val="00C06155"/>
    <w:rsid w:val="00C06E50"/>
    <w:rsid w:val="00C07363"/>
    <w:rsid w:val="00C10AA1"/>
    <w:rsid w:val="00C127EB"/>
    <w:rsid w:val="00C15EB3"/>
    <w:rsid w:val="00C169CF"/>
    <w:rsid w:val="00C2022D"/>
    <w:rsid w:val="00C2349F"/>
    <w:rsid w:val="00C2365D"/>
    <w:rsid w:val="00C238DE"/>
    <w:rsid w:val="00C23D14"/>
    <w:rsid w:val="00C24BE4"/>
    <w:rsid w:val="00C24C09"/>
    <w:rsid w:val="00C24C46"/>
    <w:rsid w:val="00C24E0C"/>
    <w:rsid w:val="00C250C7"/>
    <w:rsid w:val="00C26961"/>
    <w:rsid w:val="00C26F36"/>
    <w:rsid w:val="00C27CD0"/>
    <w:rsid w:val="00C32F38"/>
    <w:rsid w:val="00C42069"/>
    <w:rsid w:val="00C42220"/>
    <w:rsid w:val="00C43848"/>
    <w:rsid w:val="00C456AC"/>
    <w:rsid w:val="00C46031"/>
    <w:rsid w:val="00C476AD"/>
    <w:rsid w:val="00C47CDE"/>
    <w:rsid w:val="00C53A4A"/>
    <w:rsid w:val="00C54066"/>
    <w:rsid w:val="00C5434D"/>
    <w:rsid w:val="00C5458A"/>
    <w:rsid w:val="00C55661"/>
    <w:rsid w:val="00C57B42"/>
    <w:rsid w:val="00C617F7"/>
    <w:rsid w:val="00C63943"/>
    <w:rsid w:val="00C642FE"/>
    <w:rsid w:val="00C6515B"/>
    <w:rsid w:val="00C65322"/>
    <w:rsid w:val="00C66210"/>
    <w:rsid w:val="00C66250"/>
    <w:rsid w:val="00C67C43"/>
    <w:rsid w:val="00C710C7"/>
    <w:rsid w:val="00C76545"/>
    <w:rsid w:val="00C76FCE"/>
    <w:rsid w:val="00C8401A"/>
    <w:rsid w:val="00C86416"/>
    <w:rsid w:val="00C87A50"/>
    <w:rsid w:val="00C9016C"/>
    <w:rsid w:val="00C9083D"/>
    <w:rsid w:val="00C911BB"/>
    <w:rsid w:val="00C91DE8"/>
    <w:rsid w:val="00C9257D"/>
    <w:rsid w:val="00C92B5D"/>
    <w:rsid w:val="00C92F79"/>
    <w:rsid w:val="00C966AE"/>
    <w:rsid w:val="00CA0C12"/>
    <w:rsid w:val="00CA544C"/>
    <w:rsid w:val="00CA6D9A"/>
    <w:rsid w:val="00CA6E15"/>
    <w:rsid w:val="00CA7E73"/>
    <w:rsid w:val="00CB0E52"/>
    <w:rsid w:val="00CB3E45"/>
    <w:rsid w:val="00CB4E16"/>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113B"/>
    <w:rsid w:val="00CF3B5D"/>
    <w:rsid w:val="00CF473D"/>
    <w:rsid w:val="00CF5444"/>
    <w:rsid w:val="00CF5A8D"/>
    <w:rsid w:val="00CF60CB"/>
    <w:rsid w:val="00CF77C4"/>
    <w:rsid w:val="00D014B0"/>
    <w:rsid w:val="00D01A7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47AFC"/>
    <w:rsid w:val="00D505D6"/>
    <w:rsid w:val="00D50A1F"/>
    <w:rsid w:val="00D51402"/>
    <w:rsid w:val="00D52357"/>
    <w:rsid w:val="00D52608"/>
    <w:rsid w:val="00D52CAF"/>
    <w:rsid w:val="00D5357C"/>
    <w:rsid w:val="00D540C5"/>
    <w:rsid w:val="00D55D57"/>
    <w:rsid w:val="00D5799D"/>
    <w:rsid w:val="00D57FDC"/>
    <w:rsid w:val="00D60416"/>
    <w:rsid w:val="00D604D3"/>
    <w:rsid w:val="00D61DF1"/>
    <w:rsid w:val="00D64EE7"/>
    <w:rsid w:val="00D671C9"/>
    <w:rsid w:val="00D6722E"/>
    <w:rsid w:val="00D67640"/>
    <w:rsid w:val="00D70920"/>
    <w:rsid w:val="00D73B6B"/>
    <w:rsid w:val="00D74CDA"/>
    <w:rsid w:val="00D75115"/>
    <w:rsid w:val="00D762AE"/>
    <w:rsid w:val="00D807ED"/>
    <w:rsid w:val="00D817FB"/>
    <w:rsid w:val="00D81914"/>
    <w:rsid w:val="00D829E6"/>
    <w:rsid w:val="00D82DAE"/>
    <w:rsid w:val="00D83BE9"/>
    <w:rsid w:val="00D844A0"/>
    <w:rsid w:val="00D84DC1"/>
    <w:rsid w:val="00D854DF"/>
    <w:rsid w:val="00D86EBA"/>
    <w:rsid w:val="00D87850"/>
    <w:rsid w:val="00D904BD"/>
    <w:rsid w:val="00D91398"/>
    <w:rsid w:val="00D93976"/>
    <w:rsid w:val="00D94074"/>
    <w:rsid w:val="00D94E7D"/>
    <w:rsid w:val="00D95999"/>
    <w:rsid w:val="00D974F3"/>
    <w:rsid w:val="00DA0106"/>
    <w:rsid w:val="00DA1D20"/>
    <w:rsid w:val="00DA2A7E"/>
    <w:rsid w:val="00DA390A"/>
    <w:rsid w:val="00DA428A"/>
    <w:rsid w:val="00DA525D"/>
    <w:rsid w:val="00DA6001"/>
    <w:rsid w:val="00DA6080"/>
    <w:rsid w:val="00DA6E49"/>
    <w:rsid w:val="00DA7789"/>
    <w:rsid w:val="00DA7BC2"/>
    <w:rsid w:val="00DA7EED"/>
    <w:rsid w:val="00DB2C4A"/>
    <w:rsid w:val="00DB55DB"/>
    <w:rsid w:val="00DB58D6"/>
    <w:rsid w:val="00DB5B91"/>
    <w:rsid w:val="00DB6144"/>
    <w:rsid w:val="00DB6288"/>
    <w:rsid w:val="00DB6709"/>
    <w:rsid w:val="00DC1C26"/>
    <w:rsid w:val="00DC2073"/>
    <w:rsid w:val="00DC61EB"/>
    <w:rsid w:val="00DC6788"/>
    <w:rsid w:val="00DD187E"/>
    <w:rsid w:val="00DD36EA"/>
    <w:rsid w:val="00DD3AE7"/>
    <w:rsid w:val="00DD6DE2"/>
    <w:rsid w:val="00DE0389"/>
    <w:rsid w:val="00DE16EF"/>
    <w:rsid w:val="00DE30E5"/>
    <w:rsid w:val="00DE327B"/>
    <w:rsid w:val="00DE6648"/>
    <w:rsid w:val="00DE70C7"/>
    <w:rsid w:val="00DE72AB"/>
    <w:rsid w:val="00DE72C5"/>
    <w:rsid w:val="00DF19DF"/>
    <w:rsid w:val="00DF5E72"/>
    <w:rsid w:val="00DF617F"/>
    <w:rsid w:val="00DF6236"/>
    <w:rsid w:val="00DF7764"/>
    <w:rsid w:val="00E01AAE"/>
    <w:rsid w:val="00E04D80"/>
    <w:rsid w:val="00E066E6"/>
    <w:rsid w:val="00E068CF"/>
    <w:rsid w:val="00E07958"/>
    <w:rsid w:val="00E10466"/>
    <w:rsid w:val="00E104EA"/>
    <w:rsid w:val="00E13978"/>
    <w:rsid w:val="00E21EC7"/>
    <w:rsid w:val="00E227B8"/>
    <w:rsid w:val="00E23526"/>
    <w:rsid w:val="00E2490B"/>
    <w:rsid w:val="00E26776"/>
    <w:rsid w:val="00E27B4E"/>
    <w:rsid w:val="00E30887"/>
    <w:rsid w:val="00E31126"/>
    <w:rsid w:val="00E32280"/>
    <w:rsid w:val="00E3291D"/>
    <w:rsid w:val="00E33155"/>
    <w:rsid w:val="00E33422"/>
    <w:rsid w:val="00E3618F"/>
    <w:rsid w:val="00E37EC0"/>
    <w:rsid w:val="00E45F9C"/>
    <w:rsid w:val="00E46DCE"/>
    <w:rsid w:val="00E50892"/>
    <w:rsid w:val="00E525A2"/>
    <w:rsid w:val="00E5289E"/>
    <w:rsid w:val="00E54C68"/>
    <w:rsid w:val="00E56AA1"/>
    <w:rsid w:val="00E56DD2"/>
    <w:rsid w:val="00E61209"/>
    <w:rsid w:val="00E615D4"/>
    <w:rsid w:val="00E62BDD"/>
    <w:rsid w:val="00E64BEC"/>
    <w:rsid w:val="00E656F1"/>
    <w:rsid w:val="00E672F6"/>
    <w:rsid w:val="00E7052B"/>
    <w:rsid w:val="00E7187F"/>
    <w:rsid w:val="00E72B0E"/>
    <w:rsid w:val="00E74240"/>
    <w:rsid w:val="00E75DC8"/>
    <w:rsid w:val="00E76EB6"/>
    <w:rsid w:val="00E7780E"/>
    <w:rsid w:val="00E81189"/>
    <w:rsid w:val="00E8241E"/>
    <w:rsid w:val="00E84389"/>
    <w:rsid w:val="00E84C7E"/>
    <w:rsid w:val="00E87647"/>
    <w:rsid w:val="00E876D1"/>
    <w:rsid w:val="00E92364"/>
    <w:rsid w:val="00E92830"/>
    <w:rsid w:val="00E9293B"/>
    <w:rsid w:val="00E93169"/>
    <w:rsid w:val="00E9579F"/>
    <w:rsid w:val="00EA1519"/>
    <w:rsid w:val="00EA3989"/>
    <w:rsid w:val="00EA45EF"/>
    <w:rsid w:val="00EA47D9"/>
    <w:rsid w:val="00EA63D7"/>
    <w:rsid w:val="00EB07F0"/>
    <w:rsid w:val="00EB092D"/>
    <w:rsid w:val="00EB7989"/>
    <w:rsid w:val="00EB7F08"/>
    <w:rsid w:val="00EC06A8"/>
    <w:rsid w:val="00EC1664"/>
    <w:rsid w:val="00EC3758"/>
    <w:rsid w:val="00EC46BA"/>
    <w:rsid w:val="00EC4F5B"/>
    <w:rsid w:val="00EC63D2"/>
    <w:rsid w:val="00ED0535"/>
    <w:rsid w:val="00ED3788"/>
    <w:rsid w:val="00ED5A10"/>
    <w:rsid w:val="00ED7408"/>
    <w:rsid w:val="00ED7F38"/>
    <w:rsid w:val="00EE0668"/>
    <w:rsid w:val="00EE271B"/>
    <w:rsid w:val="00EE2E3E"/>
    <w:rsid w:val="00EE3F2B"/>
    <w:rsid w:val="00EE4039"/>
    <w:rsid w:val="00EE617F"/>
    <w:rsid w:val="00EE6293"/>
    <w:rsid w:val="00EE649C"/>
    <w:rsid w:val="00EE6B06"/>
    <w:rsid w:val="00EE73D6"/>
    <w:rsid w:val="00EF0B75"/>
    <w:rsid w:val="00EF1882"/>
    <w:rsid w:val="00EF1E83"/>
    <w:rsid w:val="00EF25B3"/>
    <w:rsid w:val="00EF2E96"/>
    <w:rsid w:val="00EF35B6"/>
    <w:rsid w:val="00EF39C1"/>
    <w:rsid w:val="00EF4257"/>
    <w:rsid w:val="00EF5C53"/>
    <w:rsid w:val="00EF6729"/>
    <w:rsid w:val="00F0119B"/>
    <w:rsid w:val="00F05863"/>
    <w:rsid w:val="00F156B8"/>
    <w:rsid w:val="00F17338"/>
    <w:rsid w:val="00F17B5C"/>
    <w:rsid w:val="00F21039"/>
    <w:rsid w:val="00F21885"/>
    <w:rsid w:val="00F253AA"/>
    <w:rsid w:val="00F2719B"/>
    <w:rsid w:val="00F27373"/>
    <w:rsid w:val="00F31BB4"/>
    <w:rsid w:val="00F330D4"/>
    <w:rsid w:val="00F35484"/>
    <w:rsid w:val="00F41E02"/>
    <w:rsid w:val="00F4437C"/>
    <w:rsid w:val="00F4491B"/>
    <w:rsid w:val="00F45AEC"/>
    <w:rsid w:val="00F46434"/>
    <w:rsid w:val="00F50BAA"/>
    <w:rsid w:val="00F51D57"/>
    <w:rsid w:val="00F53675"/>
    <w:rsid w:val="00F5568E"/>
    <w:rsid w:val="00F558DB"/>
    <w:rsid w:val="00F55B2A"/>
    <w:rsid w:val="00F5753A"/>
    <w:rsid w:val="00F57DCD"/>
    <w:rsid w:val="00F604CB"/>
    <w:rsid w:val="00F62474"/>
    <w:rsid w:val="00F63044"/>
    <w:rsid w:val="00F636DC"/>
    <w:rsid w:val="00F63AC7"/>
    <w:rsid w:val="00F656CA"/>
    <w:rsid w:val="00F73C96"/>
    <w:rsid w:val="00F74755"/>
    <w:rsid w:val="00F76429"/>
    <w:rsid w:val="00F80E13"/>
    <w:rsid w:val="00F8147B"/>
    <w:rsid w:val="00F81E91"/>
    <w:rsid w:val="00F81FCF"/>
    <w:rsid w:val="00F84EA5"/>
    <w:rsid w:val="00F85664"/>
    <w:rsid w:val="00F86E25"/>
    <w:rsid w:val="00F87C2B"/>
    <w:rsid w:val="00F87C4D"/>
    <w:rsid w:val="00F87E6E"/>
    <w:rsid w:val="00F932A7"/>
    <w:rsid w:val="00F938F9"/>
    <w:rsid w:val="00F93C2D"/>
    <w:rsid w:val="00F93C60"/>
    <w:rsid w:val="00F9417B"/>
    <w:rsid w:val="00FA02B6"/>
    <w:rsid w:val="00FA1817"/>
    <w:rsid w:val="00FA2588"/>
    <w:rsid w:val="00FA4047"/>
    <w:rsid w:val="00FA5D90"/>
    <w:rsid w:val="00FA73AB"/>
    <w:rsid w:val="00FB1065"/>
    <w:rsid w:val="00FB1294"/>
    <w:rsid w:val="00FB373F"/>
    <w:rsid w:val="00FB406D"/>
    <w:rsid w:val="00FB5887"/>
    <w:rsid w:val="00FB73A8"/>
    <w:rsid w:val="00FC11AD"/>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260C"/>
    <w:rsid w:val="00FE2642"/>
    <w:rsid w:val="00FE26CF"/>
    <w:rsid w:val="00FE528A"/>
    <w:rsid w:val="00FE5AC1"/>
    <w:rsid w:val="00FE6EA8"/>
    <w:rsid w:val="00FE702D"/>
    <w:rsid w:val="00FE7414"/>
    <w:rsid w:val="00FE7AAB"/>
    <w:rsid w:val="00FF06A5"/>
    <w:rsid w:val="00FF1E23"/>
    <w:rsid w:val="00FF3784"/>
    <w:rsid w:val="00FF44A3"/>
    <w:rsid w:val="00FF5072"/>
    <w:rsid w:val="00FF7FB5"/>
    <w:rsid w:val="03EA3314"/>
    <w:rsid w:val="070E2AA4"/>
    <w:rsid w:val="0EFE233F"/>
    <w:rsid w:val="18047589"/>
    <w:rsid w:val="28A6399D"/>
    <w:rsid w:val="34DB2740"/>
    <w:rsid w:val="370637B5"/>
    <w:rsid w:val="490C0662"/>
    <w:rsid w:val="520B2179"/>
    <w:rsid w:val="5963260A"/>
    <w:rsid w:val="63C442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uiPriority w:val="99"/>
    <w:rPr>
      <w:rFonts w:ascii="宋体" w:hAnsi="宋体" w:eastAsia="宋体" w:cs="宋体"/>
      <w:sz w:val="24"/>
      <w:szCs w:val="24"/>
      <w:lang w:val="en-US" w:eastAsia="zh-CN" w:bidi="ar-SA"/>
    </w:rPr>
  </w:style>
  <w:style w:type="paragraph" w:customStyle="1" w:styleId="22">
    <w:name w:val="正文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A9534-0C33-4422-A630-B14709F93D8B}">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1</Pages>
  <Words>4559</Words>
  <Characters>25990</Characters>
  <Lines>216</Lines>
  <Paragraphs>60</Paragraphs>
  <TotalTime>0</TotalTime>
  <ScaleCrop>false</ScaleCrop>
  <LinksUpToDate>false</LinksUpToDate>
  <CharactersWithSpaces>30489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王晓明</dc:creator>
  <cp:lastModifiedBy>陈晨</cp:lastModifiedBy>
  <cp:lastPrinted>2023-02-27T07:41:00Z</cp:lastPrinted>
  <dcterms:modified xsi:type="dcterms:W3CDTF">2023-02-27T08:46:53Z</dcterms:modified>
  <dc:title>产品说明书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