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val="en-US" w:eastAsia="zh-CN"/>
        </w:rPr>
        <w:t>22066</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0"/>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0"/>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0"/>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0"/>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0"/>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0"/>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0"/>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0"/>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0"/>
        <w:numPr>
          <w:ilvl w:val="0"/>
          <w:numId w:val="1"/>
        </w:numPr>
        <w:ind w:firstLineChars="0"/>
        <w:rPr>
          <w:rFonts w:ascii="仿宋" w:hAnsi="仿宋" w:eastAsia="仿宋"/>
          <w:sz w:val="22"/>
        </w:rPr>
      </w:pPr>
      <w:r>
        <w:rPr>
          <w:rFonts w:ascii="仿宋" w:hAnsi="仿宋" w:eastAsia="仿宋"/>
          <w:sz w:val="22"/>
        </w:rPr>
        <mc:AlternateContent>
          <mc:Choice Requires="wpg">
            <w:drawing>
              <wp:anchor distT="0" distB="0" distL="114300" distR="114300" simplePos="0" relativeHeight="251661312" behindDoc="0" locked="0" layoutInCell="1" allowOverlap="1">
                <wp:simplePos x="0" y="0"/>
                <wp:positionH relativeFrom="column">
                  <wp:posOffset>524510</wp:posOffset>
                </wp:positionH>
                <wp:positionV relativeFrom="paragraph">
                  <wp:posOffset>199390</wp:posOffset>
                </wp:positionV>
                <wp:extent cx="2602230" cy="1990725"/>
                <wp:effectExtent l="0" t="38100" r="83820" b="0"/>
                <wp:wrapNone/>
                <wp:docPr id="84" name="组合 84"/>
                <wp:cNvGraphicFramePr/>
                <a:graphic xmlns:a="http://schemas.openxmlformats.org/drawingml/2006/main">
                  <a:graphicData uri="http://schemas.microsoft.com/office/word/2010/wordprocessingGroup">
                    <wpg:wgp>
                      <wpg:cNvGrpSpPr/>
                      <wpg:grpSpPr>
                        <a:xfrm>
                          <a:off x="0" y="0"/>
                          <a:ext cx="2602230" cy="1990725"/>
                          <a:chOff x="0" y="0"/>
                          <a:chExt cx="2602588" cy="1990725"/>
                        </a:xfrm>
                      </wpg:grpSpPr>
                      <wpg:grpSp>
                        <wpg:cNvPr id="81" name="组合 81"/>
                        <wpg:cNvGrpSpPr/>
                        <wpg:grpSpPr>
                          <a:xfrm>
                            <a:off x="285750" y="0"/>
                            <a:ext cx="2313305" cy="1600200"/>
                            <a:chOff x="0" y="0"/>
                            <a:chExt cx="2313305" cy="1600200"/>
                          </a:xfrm>
                        </wpg:grpSpPr>
                        <wps:wsp>
                          <wps:cNvPr id="74" name="直接箭头连接符 74"/>
                          <wps:cNvCnPr/>
                          <wps:spPr>
                            <a:xfrm flipV="1">
                              <a:off x="0" y="0"/>
                              <a:ext cx="0"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直接箭头连接符 73"/>
                          <wps:cNvCnPr/>
                          <wps:spPr>
                            <a:xfrm>
                              <a:off x="0" y="1600200"/>
                              <a:ext cx="23133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文本框 79"/>
                          <wps:cNvSpPr txBox="1"/>
                          <wps:spPr>
                            <a:xfrm>
                              <a:off x="1562100" y="209550"/>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78"/>
                          <wps:cNvSpPr txBox="1"/>
                          <wps:spPr>
                            <a:xfrm>
                              <a:off x="1209675" y="457200"/>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文本框 77"/>
                          <wps:cNvSpPr txBox="1"/>
                          <wps:spPr>
                            <a:xfrm>
                              <a:off x="847725" y="704850"/>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文本框 76"/>
                          <wps:cNvSpPr txBox="1"/>
                          <wps:spPr>
                            <a:xfrm>
                              <a:off x="495300" y="962025"/>
                              <a:ext cx="354688" cy="250757"/>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文本框 75"/>
                          <wps:cNvSpPr txBox="1"/>
                          <wps:spPr>
                            <a:xfrm>
                              <a:off x="142875" y="1209675"/>
                              <a:ext cx="354688" cy="250757"/>
                            </a:xfrm>
                            <a:prstGeom prst="rect">
                              <a:avLst/>
                            </a:prstGeom>
                          </wps:spPr>
                          <wps:style>
                            <a:lnRef idx="2">
                              <a:schemeClr val="dk1"/>
                            </a:lnRef>
                            <a:fillRef idx="1">
                              <a:schemeClr val="lt1"/>
                            </a:fillRef>
                            <a:effectRef idx="0">
                              <a:schemeClr val="dk1"/>
                            </a:effectRef>
                            <a:fontRef idx="minor">
                              <a:schemeClr val="dk1"/>
                            </a:fontRef>
                          </wps:style>
                          <wps:txbx>
                            <w:txbxContent>
                              <w:p>
                                <w:pPr>
                                  <w:rPr>
                                    <w:sz w:val="15"/>
                                  </w:rPr>
                                </w:pPr>
                                <w:r>
                                  <w:rPr>
                                    <w:rFonts w:hint="eastAsia"/>
                                    <w:sz w:val="15"/>
                                  </w:rPr>
                                  <w:t>PR</w:t>
                                </w:r>
                                <w:r>
                                  <w:rPr>
                                    <w:sz w:val="15"/>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2" name="文本框 82"/>
                        <wps:cNvSpPr txBox="1"/>
                        <wps:spPr>
                          <a:xfrm>
                            <a:off x="0" y="209550"/>
                            <a:ext cx="352425" cy="552450"/>
                          </a:xfrm>
                          <a:prstGeom prst="rect">
                            <a:avLst/>
                          </a:prstGeom>
                          <a:solidFill>
                            <a:schemeClr val="lt1">
                              <a:alpha val="0"/>
                            </a:schemeClr>
                          </a:solidFill>
                          <a:ln w="6350">
                            <a:noFill/>
                          </a:ln>
                        </wps:spPr>
                        <wps:txbx>
                          <w:txbxContent>
                            <w:p>
                              <w:pPr>
                                <w:rPr>
                                  <w:rFonts w:ascii="仿宋" w:hAnsi="仿宋" w:eastAsia="仿宋"/>
                                  <w:sz w:val="15"/>
                                </w:rPr>
                              </w:pPr>
                              <w:r>
                                <w:rPr>
                                  <w:rFonts w:hint="eastAsia" w:ascii="仿宋" w:hAnsi="仿宋" w:eastAsia="仿宋"/>
                                  <w:sz w:val="15"/>
                                </w:rPr>
                                <w:t>风险</w:t>
                              </w:r>
                              <w:r>
                                <w:rPr>
                                  <w:rFonts w:ascii="仿宋" w:hAnsi="仿宋" w:eastAsia="仿宋"/>
                                  <w:sz w:val="15"/>
                                </w:rPr>
                                <w:t>收益</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83" name="文本框 83"/>
                        <wps:cNvSpPr txBox="1"/>
                        <wps:spPr>
                          <a:xfrm>
                            <a:off x="1819275" y="1552575"/>
                            <a:ext cx="783313" cy="438150"/>
                          </a:xfrm>
                          <a:prstGeom prst="rect">
                            <a:avLst/>
                          </a:prstGeom>
                          <a:solidFill>
                            <a:schemeClr val="lt1">
                              <a:alpha val="0"/>
                            </a:schemeClr>
                          </a:solidFill>
                          <a:ln w="6350">
                            <a:noFill/>
                          </a:ln>
                        </wps:spPr>
                        <wps:txbx>
                          <w:txbxContent>
                            <w:p>
                              <w:pPr>
                                <w:rPr>
                                  <w:rFonts w:ascii="仿宋" w:hAnsi="仿宋" w:eastAsia="仿宋"/>
                                  <w:sz w:val="15"/>
                                </w:rPr>
                              </w:pPr>
                              <w:r>
                                <w:rPr>
                                  <w:rFonts w:hint="eastAsia" w:ascii="仿宋" w:hAnsi="仿宋" w:eastAsia="仿宋"/>
                                  <w:sz w:val="15"/>
                                </w:rPr>
                                <w:t>风险程度</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1.3pt;margin-top:15.7pt;height:156.75pt;width:204.9pt;z-index:251661312;mso-width-relative:page;mso-height-relative:page;" coordsize="2602588,1990725" o:gfxdata="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Gte&#10;7fvaAAAACQEAAA8AAAAAAAAAAQAgAAAAIgAAAGRycy9kb3ducmV2LnhtbFBLAQIUABQAAAAIAIdO&#10;4kAyA/mSBgUAAC4eAAAOAAAAAAAAAAEAIAAAACkBAABkcnMvZTJvRG9jLnhtbFBLBQYAAAAABgAG&#10;AFkBAAChCAAAAAA=&#10;">
                <o:lock v:ext="edit" aspectratio="f"/>
                <v:group id="_x0000_s1026" o:spid="_x0000_s1026" o:spt="203" style="position:absolute;left:285750;top:0;height:1600200;width:2313305;" coordsize="2313305,1600200"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0;top:0;flip:y;height:1600200;width:0;" filled="f" stroked="t" coordsize="21600,21600" o:gfxdata="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mCTb4A&#10;AADb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_x0000_s1026" o:spid="_x0000_s1026" o:spt="32" type="#_x0000_t32" style="position:absolute;left:0;top:1600200;height:0;width:2313305;" filled="f" stroked="t" coordsize="21600,21600" o:gfxdata="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YbGL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202" type="#_x0000_t202" style="position:absolute;left:1562100;top:209550;height:250757;width:354688;" fillcolor="#FFFFFF [3201]" filled="t" stroked="t" coordsize="21600,21600" o:gfxdata="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YC7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rPr>
                              <w:sz w:val="15"/>
                            </w:rPr>
                          </w:pPr>
                          <w:r>
                            <w:rPr>
                              <w:rFonts w:hint="eastAsia"/>
                              <w:sz w:val="15"/>
                            </w:rPr>
                            <w:t>PR</w:t>
                          </w:r>
                          <w:r>
                            <w:rPr>
                              <w:sz w:val="15"/>
                            </w:rPr>
                            <w:t>5</w:t>
                          </w:r>
                        </w:p>
                      </w:txbxContent>
                    </v:textbox>
                  </v:shape>
                  <v:shape id="_x0000_s1026" o:spid="_x0000_s1026" o:spt="202" type="#_x0000_t202" style="position:absolute;left:1209675;top:457200;height:250757;width:354688;" fillcolor="#FFFFFF [3201]" filled="t" stroked="t" coordsize="21600,21600" o:gfxdata="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hfZC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sz w:val="15"/>
                            </w:rPr>
                          </w:pPr>
                          <w:r>
                            <w:rPr>
                              <w:rFonts w:hint="eastAsia"/>
                              <w:sz w:val="15"/>
                            </w:rPr>
                            <w:t>PR</w:t>
                          </w:r>
                          <w:r>
                            <w:rPr>
                              <w:sz w:val="15"/>
                            </w:rPr>
                            <w:t>4</w:t>
                          </w:r>
                        </w:p>
                      </w:txbxContent>
                    </v:textbox>
                  </v:shape>
                  <v:shape id="_x0000_s1026" o:spid="_x0000_s1026" o:spt="202" type="#_x0000_t202" style="position:absolute;left:847725;top:704850;height:250757;width:354688;" fillcolor="#FFFFFF [3201]" filled="t" stroked="t" coordsize="21600,21600" o:gfxdata="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6eK/&#10;AAAA2w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pPr>
                            <w:rPr>
                              <w:sz w:val="15"/>
                            </w:rPr>
                          </w:pPr>
                          <w:r>
                            <w:rPr>
                              <w:rFonts w:hint="eastAsia"/>
                              <w:sz w:val="15"/>
                            </w:rPr>
                            <w:t>PR</w:t>
                          </w:r>
                          <w:r>
                            <w:rPr>
                              <w:sz w:val="15"/>
                            </w:rPr>
                            <w:t>3</w:t>
                          </w:r>
                        </w:p>
                      </w:txbxContent>
                    </v:textbox>
                  </v:shape>
                  <v:shape id="_x0000_s1026" o:spid="_x0000_s1026" o:spt="202" type="#_x0000_t202" style="position:absolute;left:495300;top:962025;height:250757;width:354688;" fillcolor="#FFC000" filled="t" stroked="t" coordsize="21600,21600" o:gfxdata="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5S7e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rPr>
                              <w:sz w:val="15"/>
                            </w:rPr>
                          </w:pPr>
                          <w:r>
                            <w:rPr>
                              <w:rFonts w:hint="eastAsia"/>
                              <w:sz w:val="15"/>
                            </w:rPr>
                            <w:t>PR</w:t>
                          </w:r>
                          <w:r>
                            <w:rPr>
                              <w:sz w:val="15"/>
                            </w:rPr>
                            <w:t>2</w:t>
                          </w:r>
                        </w:p>
                      </w:txbxContent>
                    </v:textbox>
                  </v:shape>
                  <v:shape id="_x0000_s1026" o:spid="_x0000_s1026" o:spt="202" type="#_x0000_t202" style="position:absolute;left:142875;top:1209675;height:250757;width:354688;" fillcolor="#FFFFFF [3201]" filled="t" stroked="t" coordsize="21600,21600" o:gfxdata="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g0g6/&#10;AAAA2w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pPr>
                            <w:rPr>
                              <w:sz w:val="15"/>
                            </w:rPr>
                          </w:pPr>
                          <w:r>
                            <w:rPr>
                              <w:rFonts w:hint="eastAsia"/>
                              <w:sz w:val="15"/>
                            </w:rPr>
                            <w:t>PR</w:t>
                          </w:r>
                          <w:r>
                            <w:rPr>
                              <w:sz w:val="15"/>
                            </w:rPr>
                            <w:t>1</w:t>
                          </w:r>
                        </w:p>
                      </w:txbxContent>
                    </v:textbox>
                  </v:shape>
                </v:group>
                <v:shape id="_x0000_s1026" o:spid="_x0000_s1026" o:spt="202" type="#_x0000_t202" style="position:absolute;left:0;top:209550;height:552450;width:352425;" fillcolor="#FFFFFF [3201]" filled="t" stroked="f" coordsize="21600,21600" o:gfxdata="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dveA7gAAADbAAAA&#10;DwAAAAAAAAABACAAAAAiAAAAZHJzL2Rvd25yZXYueG1sUEsBAhQAFAAAAAgAh07iQDMvBZ47AAAA&#10;OQAAABAAAAAAAAAAAQAgAAAABwEAAGRycy9zaGFwZXhtbC54bWxQSwUGAAAAAAYABgBbAQAAsQMA&#10;AAAA&#10;">
                  <v:fill on="t" opacity="0f" focussize="0,0"/>
                  <v:stroke on="f" weight="0.5pt"/>
                  <v:imagedata o:title=""/>
                  <o:lock v:ext="edit" aspectratio="f"/>
                  <v:textbox style="layout-flow:vertical-ideographic;">
                    <w:txbxContent>
                      <w:p>
                        <w:pPr>
                          <w:rPr>
                            <w:rFonts w:ascii="仿宋" w:hAnsi="仿宋" w:eastAsia="仿宋"/>
                            <w:sz w:val="15"/>
                          </w:rPr>
                        </w:pPr>
                        <w:r>
                          <w:rPr>
                            <w:rFonts w:hint="eastAsia" w:ascii="仿宋" w:hAnsi="仿宋" w:eastAsia="仿宋"/>
                            <w:sz w:val="15"/>
                          </w:rPr>
                          <w:t>风险</w:t>
                        </w:r>
                        <w:r>
                          <w:rPr>
                            <w:rFonts w:ascii="仿宋" w:hAnsi="仿宋" w:eastAsia="仿宋"/>
                            <w:sz w:val="15"/>
                          </w:rPr>
                          <w:t>收益</w:t>
                        </w:r>
                      </w:p>
                    </w:txbxContent>
                  </v:textbox>
                </v:shape>
                <v:shape id="_x0000_s1026" o:spid="_x0000_s1026" o:spt="202" type="#_x0000_t202" style="position:absolute;left:1819275;top:1552575;height:438150;width:783313;" fillcolor="#FFFFFF [3201]" filled="t" stroked="f" coordsize="21600,21600" o:gfxdata="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a7zivQAA&#10;ANsAAAAPAAAAAAAAAAEAIAAAACIAAABkcnMvZG93bnJldi54bWxQSwECFAAUAAAACACHTuJAMy8F&#10;njsAAAA5AAAAEAAAAAAAAAABACAAAAAMAQAAZHJzL3NoYXBleG1sLnhtbFBLBQYAAAAABgAGAFsB&#10;AAC2AwAAAAA=&#10;">
                  <v:fill on="t" opacity="0f" focussize="0,0"/>
                  <v:stroke on="f" weight="0.5pt"/>
                  <v:imagedata o:title=""/>
                  <o:lock v:ext="edit" aspectratio="f"/>
                  <v:textbox>
                    <w:txbxContent>
                      <w:p>
                        <w:pPr>
                          <w:rPr>
                            <w:rFonts w:ascii="仿宋" w:hAnsi="仿宋" w:eastAsia="仿宋"/>
                            <w:sz w:val="15"/>
                          </w:rPr>
                        </w:pPr>
                        <w:r>
                          <w:rPr>
                            <w:rFonts w:hint="eastAsia" w:ascii="仿宋" w:hAnsi="仿宋" w:eastAsia="仿宋"/>
                            <w:sz w:val="15"/>
                          </w:rPr>
                          <w:t>风险程度</w:t>
                        </w:r>
                      </w:p>
                    </w:txbxContent>
                  </v:textbox>
                </v:shape>
              </v:group>
            </w:pict>
          </mc:Fallback>
        </mc:AlternateContent>
      </w:r>
      <w:r>
        <w:rPr>
          <w:rFonts w:hint="eastAsia" w:ascii="仿宋" w:hAnsi="仿宋" w:eastAsia="仿宋"/>
          <w:sz w:val="22"/>
        </w:rPr>
        <w:t>本理财产品说明书的解释权归瑞丰银行所有。</w:t>
      </w: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5"/>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val="en-US" w:eastAsia="zh-CN"/>
              </w:rPr>
              <w:t>22066</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w:t>
            </w:r>
            <w:r>
              <w:rPr>
                <w:rFonts w:hint="eastAsia" w:ascii="仿宋" w:hAnsi="仿宋" w:eastAsia="仿宋"/>
                <w:sz w:val="22"/>
                <w:lang w:val="en-US" w:eastAsia="zh-CN"/>
              </w:rPr>
              <w:t>销售</w:t>
            </w:r>
            <w:r>
              <w:rPr>
                <w:rFonts w:hint="eastAsia" w:ascii="仿宋" w:hAnsi="仿宋" w:eastAsia="仿宋"/>
                <w:sz w:val="22"/>
              </w:rPr>
              <w:t>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A份额（产品销售代码【</w:t>
            </w:r>
            <w:r>
              <w:rPr>
                <w:rFonts w:hint="eastAsia" w:ascii="仿宋" w:hAnsi="仿宋" w:eastAsia="仿宋"/>
                <w:sz w:val="22"/>
                <w:lang w:val="en-US" w:eastAsia="zh-CN"/>
              </w:rPr>
              <w:t>XRZY22066</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rPr>
              <w:t>B份额（产品销售代码【</w:t>
            </w:r>
            <w:r>
              <w:rPr>
                <w:rFonts w:hint="eastAsia" w:ascii="仿宋" w:hAnsi="仿宋" w:eastAsia="仿宋"/>
                <w:sz w:val="22"/>
                <w:lang w:val="en-US" w:eastAsia="zh-CN"/>
              </w:rPr>
              <w:t>XRZY22066B</w:t>
            </w:r>
            <w:r>
              <w:rPr>
                <w:rFonts w:hint="eastAsia" w:ascii="仿宋" w:hAnsi="仿宋" w:eastAsia="仿宋"/>
                <w:sz w:val="22"/>
              </w:rPr>
              <w:t>】）</w:t>
            </w:r>
          </w:p>
          <w:p>
            <w:pPr>
              <w:widowControl/>
              <w:jc w:val="left"/>
              <w:rPr>
                <w:rFonts w:hint="default" w:ascii="仿宋" w:hAnsi="仿宋" w:eastAsia="仿宋"/>
                <w:sz w:val="22"/>
                <w:lang w:val="en-US" w:eastAsia="zh-CN"/>
              </w:rPr>
            </w:pPr>
            <w:r>
              <w:rPr>
                <w:rFonts w:hint="eastAsia" w:ascii="仿宋" w:hAnsi="仿宋" w:eastAsia="仿宋"/>
                <w:b/>
                <w:sz w:val="22"/>
              </w:rPr>
              <w:t>产品管理人有权在本理财产品项下增设新的产品份额类别，届时，以瑞丰银行具体公告为准。</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C1124823000006（客户可依据编码在中国理财网查询产品信息）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A份额：瑞丰银行个人客户和机构投资者</w:t>
            </w:r>
          </w:p>
          <w:p>
            <w:pPr>
              <w:widowControl/>
              <w:jc w:val="left"/>
              <w:rPr>
                <w:rFonts w:ascii="仿宋" w:hAnsi="仿宋" w:eastAsia="仿宋"/>
                <w:sz w:val="22"/>
              </w:rPr>
            </w:pPr>
            <w:r>
              <w:rPr>
                <w:rFonts w:hint="eastAsia" w:ascii="仿宋" w:hAnsi="仿宋" w:eastAsia="仿宋"/>
                <w:sz w:val="22"/>
                <w:lang w:eastAsia="zh-CN"/>
              </w:rPr>
              <w:t>B份额：瑞丰银行个人定向客户和机构定向投资者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2</w:t>
            </w:r>
            <w:r>
              <w:rPr>
                <w:rFonts w:ascii="仿宋" w:hAnsi="仿宋" w:eastAsia="仿宋"/>
                <w:sz w:val="22"/>
              </w:rPr>
              <w:t>月</w:t>
            </w:r>
            <w:r>
              <w:rPr>
                <w:rFonts w:hint="eastAsia" w:ascii="仿宋" w:hAnsi="仿宋" w:eastAsia="仿宋"/>
                <w:sz w:val="22"/>
                <w:lang w:val="en-US" w:eastAsia="zh-CN"/>
              </w:rPr>
              <w:t>14</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2</w:t>
            </w:r>
            <w:r>
              <w:rPr>
                <w:rFonts w:ascii="仿宋" w:hAnsi="仿宋" w:eastAsia="仿宋"/>
                <w:sz w:val="22"/>
              </w:rPr>
              <w:t>月</w:t>
            </w:r>
            <w:r>
              <w:rPr>
                <w:rFonts w:hint="eastAsia" w:ascii="仿宋" w:hAnsi="仿宋" w:eastAsia="仿宋"/>
                <w:sz w:val="22"/>
                <w:lang w:val="en-US" w:eastAsia="zh-CN"/>
              </w:rPr>
              <w:t>20</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起点金额为5万元，高于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2</w:t>
            </w:r>
            <w:r>
              <w:rPr>
                <w:rFonts w:ascii="仿宋" w:hAnsi="仿宋" w:eastAsia="仿宋"/>
                <w:sz w:val="22"/>
              </w:rPr>
              <w:t>月</w:t>
            </w:r>
            <w:r>
              <w:rPr>
                <w:rFonts w:hint="eastAsia" w:ascii="仿宋" w:hAnsi="仿宋" w:eastAsia="仿宋"/>
                <w:sz w:val="22"/>
                <w:lang w:val="en-US" w:eastAsia="zh-CN"/>
              </w:rPr>
              <w:t>21</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27</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126</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r>
              <w:rPr>
                <w:rFonts w:hint="eastAsia" w:ascii="仿宋" w:hAnsi="仿宋" w:eastAsia="仿宋"/>
                <w:sz w:val="22"/>
              </w:rPr>
              <w:br w:type="textWrapping"/>
            </w:r>
            <w:r>
              <w:rPr>
                <w:rFonts w:hint="eastAsia" w:ascii="仿宋" w:hAnsi="仿宋" w:eastAsia="仿宋"/>
                <w:sz w:val="22"/>
              </w:rPr>
              <w:t>3、适用的节假日调整惯例：如遇国家法定节假日，理财产品延后至节假日后2个工作日内成立。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w:t>
            </w:r>
            <w:r>
              <w:rPr>
                <w:rFonts w:hint="eastAsia" w:ascii="仿宋" w:hAnsi="仿宋" w:eastAsia="仿宋"/>
                <w:sz w:val="22"/>
              </w:rPr>
              <w:t>A份额：业绩比较基准为</w:t>
            </w:r>
            <w:r>
              <w:rPr>
                <w:rFonts w:hint="eastAsia" w:ascii="仿宋" w:hAnsi="仿宋" w:eastAsia="仿宋"/>
                <w:sz w:val="22"/>
                <w:lang w:val="en-US" w:eastAsia="zh-CN"/>
              </w:rPr>
              <w:t>3.60</w:t>
            </w:r>
            <w:r>
              <w:rPr>
                <w:rFonts w:hint="eastAsia" w:ascii="仿宋" w:hAnsi="仿宋" w:eastAsia="仿宋"/>
                <w:sz w:val="22"/>
              </w:rPr>
              <w:t>%；B份额：业绩比较基准为</w:t>
            </w:r>
            <w:r>
              <w:rPr>
                <w:rFonts w:hint="eastAsia" w:ascii="仿宋" w:hAnsi="仿宋" w:eastAsia="仿宋"/>
                <w:sz w:val="22"/>
                <w:lang w:val="en-US" w:eastAsia="zh-CN"/>
              </w:rPr>
              <w:t>3.90</w:t>
            </w:r>
            <w:bookmarkStart w:id="0" w:name="_GoBack"/>
            <w:bookmarkEnd w:id="0"/>
            <w:r>
              <w:rPr>
                <w:rFonts w:hint="eastAsia" w:ascii="仿宋" w:hAnsi="仿宋" w:eastAsia="仿宋"/>
                <w:sz w:val="22"/>
                <w:lang w:val="en-US" w:eastAsia="zh-CN"/>
              </w:rPr>
              <w:t>%</w:t>
            </w:r>
            <w:r>
              <w:rPr>
                <w:rFonts w:hint="eastAsia" w:ascii="仿宋" w:hAnsi="仿宋" w:eastAsia="仿宋"/>
                <w:sz w:val="22"/>
              </w:rPr>
              <w:t>。</w:t>
            </w:r>
          </w:p>
          <w:p>
            <w:pPr>
              <w:widowControl/>
              <w:jc w:val="left"/>
              <w:rPr>
                <w:rFonts w:ascii="仿宋" w:hAnsi="仿宋" w:eastAsia="仿宋"/>
                <w:sz w:val="22"/>
              </w:rPr>
            </w:pPr>
            <w:r>
              <w:rPr>
                <w:rFonts w:hint="eastAsia" w:ascii="仿宋" w:hAnsi="仿宋" w:eastAsia="仿宋"/>
                <w:b/>
                <w:sz w:val="22"/>
                <w:lang w:val="en-US" w:eastAsia="zh-CN"/>
              </w:rPr>
              <w:t>业绩比较基准不是预期收益率，不代表产品的未来表现和实际收益，不构成对产品收益的承诺</w:t>
            </w:r>
            <w:r>
              <w:rPr>
                <w:rFonts w:hint="eastAsia" w:ascii="仿宋" w:hAnsi="仿宋" w:eastAsia="仿宋"/>
                <w:b/>
                <w:sz w:val="22"/>
              </w:rPr>
              <w:t>。</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r>
              <w:rPr>
                <w:rFonts w:hint="eastAsia" w:ascii="仿宋" w:hAnsi="仿宋" w:eastAsia="仿宋"/>
                <w:sz w:val="22"/>
              </w:rPr>
              <w:br w:type="textWrapping"/>
            </w:r>
            <w:r>
              <w:rPr>
                <w:rFonts w:hint="eastAsia" w:ascii="仿宋" w:hAnsi="仿宋" w:eastAsia="仿宋"/>
                <w:sz w:val="22"/>
              </w:rPr>
              <w:t>2、浮动管理费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本理财产品自成立日起3个月为建仓期，产品管理人应当在建仓期结束前使各项投资比例符合约定。</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为投资者提供流动性高、收益稳定的理财产品。</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0"/>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认购起点金额为5万元，高于认购起点金额以人民币10000元的整数倍递增。</w:t>
      </w:r>
    </w:p>
    <w:p>
      <w:pPr>
        <w:pStyle w:val="10"/>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0"/>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0"/>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0"/>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0"/>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0"/>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/终止日后2个工作日</w:t>
      </w:r>
      <w:r>
        <w:rPr>
          <w:rFonts w:hint="eastAsia" w:ascii="仿宋" w:hAnsi="仿宋" w:eastAsia="仿宋"/>
          <w:sz w:val="22"/>
        </w:rPr>
        <w:t>内</w:t>
      </w:r>
      <w:r>
        <w:rPr>
          <w:rFonts w:ascii="仿宋" w:hAnsi="仿宋" w:eastAsia="仿宋"/>
          <w:sz w:val="22"/>
        </w:rPr>
        <w:t>，根据实际投资结果向投资者一次性划付理财本金及收益（如有）。</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0"/>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0"/>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0"/>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0"/>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0"/>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0"/>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0"/>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0"/>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0"/>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0"/>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0"/>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0"/>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0"/>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0"/>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0"/>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银行理财管理人最新的约定估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0"/>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投资者持有本理财计划期间及到期时，管理人不承诺保证投资本金安全且不保证理财收益，投资者收益（如有）随理财计划的投资盈亏水平浮动。</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（一）收益示例（以下案例仅为举例说明理财收益的计算方法，采用模拟数据计算，仅为举例之用，不作为最终收益的计算依据，也不构成本理财产品的业绩表现的保证，请谨慎投资。）</w:t>
      </w:r>
    </w:p>
    <w:p>
      <w:pPr>
        <w:ind w:firstLine="440" w:firstLineChars="200"/>
        <w:rPr>
          <w:rFonts w:ascii="仿宋" w:hAnsi="仿宋" w:eastAsia="仿宋"/>
          <w:sz w:val="22"/>
        </w:rPr>
      </w:pPr>
      <w:r>
        <w:rPr>
          <w:rFonts w:hint="eastAsia" w:ascii="仿宋" w:hAnsi="仿宋" w:eastAsia="仿宋"/>
          <w:sz w:val="22"/>
        </w:rPr>
        <w:t>例</w:t>
      </w:r>
      <w:r>
        <w:rPr>
          <w:rFonts w:ascii="仿宋" w:hAnsi="仿宋" w:eastAsia="仿宋"/>
          <w:sz w:val="22"/>
        </w:rPr>
        <w:t>：</w:t>
      </w:r>
      <w:r>
        <w:rPr>
          <w:rFonts w:hint="eastAsia" w:ascii="仿宋" w:hAnsi="仿宋" w:eastAsia="仿宋"/>
          <w:sz w:val="22"/>
        </w:rPr>
        <w:t>理财金额</w:t>
      </w:r>
      <w:r>
        <w:rPr>
          <w:rFonts w:ascii="仿宋" w:hAnsi="仿宋" w:eastAsia="仿宋"/>
          <w:sz w:val="22"/>
        </w:rPr>
        <w:t>100万元，则认购后理财份额为100万份</w:t>
      </w:r>
    </w:p>
    <w:p>
      <w:pPr>
        <w:ind w:firstLine="440" w:firstLineChars="200"/>
        <w:rPr>
          <w:rFonts w:ascii="仿宋" w:hAnsi="仿宋" w:eastAsia="仿宋"/>
          <w:sz w:val="22"/>
        </w:rPr>
      </w:pPr>
      <w:r>
        <w:rPr>
          <w:rFonts w:hint="eastAsia" w:ascii="仿宋" w:hAnsi="仿宋" w:eastAsia="仿宋"/>
          <w:sz w:val="22"/>
        </w:rPr>
        <w:t>（</w:t>
      </w:r>
      <w:r>
        <w:rPr>
          <w:rFonts w:ascii="仿宋" w:hAnsi="仿宋" w:eastAsia="仿宋"/>
          <w:sz w:val="22"/>
        </w:rPr>
        <w:t>1）</w:t>
      </w:r>
      <w:r>
        <w:rPr>
          <w:rFonts w:hint="eastAsia" w:ascii="仿宋" w:hAnsi="仿宋" w:eastAsia="仿宋"/>
          <w:sz w:val="22"/>
        </w:rPr>
        <w:t>假设产品运行良好，产品到期单位净值在</w:t>
      </w:r>
      <w:r>
        <w:rPr>
          <w:rFonts w:ascii="仿宋" w:hAnsi="仿宋" w:eastAsia="仿宋"/>
          <w:sz w:val="22"/>
        </w:rPr>
        <w:t>1.0238元时，该情形下：</w:t>
      </w:r>
    </w:p>
    <w:p>
      <w:pPr>
        <w:ind w:firstLine="440" w:firstLineChars="200"/>
        <w:rPr>
          <w:rFonts w:ascii="仿宋" w:hAnsi="仿宋" w:eastAsia="仿宋"/>
          <w:sz w:val="22"/>
        </w:rPr>
      </w:pPr>
      <w:r>
        <w:rPr>
          <w:rFonts w:hint="eastAsia" w:ascii="仿宋" w:hAnsi="仿宋" w:eastAsia="仿宋"/>
          <w:sz w:val="22"/>
        </w:rPr>
        <w:t>客户实际本金及收益</w:t>
      </w:r>
      <w:r>
        <w:rPr>
          <w:rFonts w:ascii="仿宋" w:hAnsi="仿宋" w:eastAsia="仿宋"/>
          <w:sz w:val="22"/>
        </w:rPr>
        <w:t>=1000000份×1.0238元=1023800元。</w:t>
      </w:r>
    </w:p>
    <w:p>
      <w:pPr>
        <w:ind w:firstLine="440" w:firstLineChars="200"/>
        <w:rPr>
          <w:rFonts w:ascii="仿宋" w:hAnsi="仿宋" w:eastAsia="仿宋"/>
          <w:sz w:val="22"/>
        </w:rPr>
      </w:pPr>
      <w:r>
        <w:rPr>
          <w:rFonts w:hint="eastAsia" w:ascii="仿宋" w:hAnsi="仿宋" w:eastAsia="仿宋"/>
          <w:sz w:val="22"/>
        </w:rPr>
        <w:t>（</w:t>
      </w:r>
      <w:r>
        <w:rPr>
          <w:rFonts w:ascii="仿宋" w:hAnsi="仿宋" w:eastAsia="仿宋"/>
          <w:sz w:val="22"/>
        </w:rPr>
        <w:t>2）</w:t>
      </w:r>
      <w:r>
        <w:rPr>
          <w:rFonts w:hint="eastAsia" w:ascii="仿宋" w:hAnsi="仿宋" w:eastAsia="仿宋"/>
          <w:sz w:val="22"/>
        </w:rPr>
        <w:t>假设产品运行正常，但市场发行轻微波动，产品到期单位净值在</w:t>
      </w:r>
      <w:r>
        <w:rPr>
          <w:rFonts w:ascii="仿宋" w:hAnsi="仿宋" w:eastAsia="仿宋"/>
          <w:sz w:val="22"/>
        </w:rPr>
        <w:t>1.0200元时，该情形下：</w:t>
      </w:r>
    </w:p>
    <w:p>
      <w:pPr>
        <w:ind w:firstLine="440" w:firstLineChars="200"/>
        <w:rPr>
          <w:rFonts w:ascii="仿宋" w:hAnsi="仿宋" w:eastAsia="仿宋"/>
          <w:sz w:val="22"/>
        </w:rPr>
      </w:pPr>
      <w:r>
        <w:rPr>
          <w:rFonts w:hint="eastAsia" w:ascii="仿宋" w:hAnsi="仿宋" w:eastAsia="仿宋"/>
          <w:sz w:val="22"/>
        </w:rPr>
        <w:t>客户实际本金及收益</w:t>
      </w:r>
      <w:r>
        <w:rPr>
          <w:rFonts w:ascii="仿宋" w:hAnsi="仿宋" w:eastAsia="仿宋"/>
          <w:sz w:val="22"/>
        </w:rPr>
        <w:t>=1000000份×1.0200元=1020000元。</w:t>
      </w:r>
    </w:p>
    <w:p>
      <w:pPr>
        <w:pStyle w:val="10"/>
        <w:numPr>
          <w:ilvl w:val="255"/>
          <w:numId w:val="0"/>
        </w:numPr>
        <w:ind w:firstLine="440" w:firstLineChars="200"/>
        <w:rPr>
          <w:rFonts w:ascii="仿宋" w:hAnsi="仿宋" w:eastAsia="仿宋"/>
          <w:sz w:val="22"/>
        </w:rPr>
      </w:pPr>
      <w:r>
        <w:rPr>
          <w:rFonts w:hint="eastAsia" w:ascii="仿宋" w:hAnsi="仿宋" w:eastAsia="仿宋"/>
          <w:sz w:val="22"/>
        </w:rPr>
        <w:t>（二）最不利情况分析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七、信息披露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瑞丰银行在每个开放期的最后一个开放日结束后2个工作日内，披露本理财产品在开放期的最后一个开放日的单位净值。</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0"/>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认购、延期办理大额赎回申请、暂停接受赎回申请、延缓支付赎回款项、暂停估值等措施后，管理人应当通过本理财产品说明书约定的信息披露方式在3个交易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0"/>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0"/>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管理人有权单方调整本理财产品的发行规模上限/下限、认购/认购起点、认购/认购金额上</w:t>
      </w:r>
      <w:r>
        <w:rPr>
          <w:rFonts w:hint="eastAsia" w:ascii="仿宋" w:hAnsi="仿宋" w:eastAsia="仿宋"/>
          <w:sz w:val="22"/>
        </w:rPr>
        <w:t>限、认购</w:t>
      </w:r>
      <w:r>
        <w:rPr>
          <w:rFonts w:ascii="仿宋" w:hAnsi="仿宋" w:eastAsia="仿宋"/>
          <w:sz w:val="22"/>
        </w:rPr>
        <w:t>/认购资金的最低金额、单笔认购上限、单笔认购上限、单日净认购比例上限、单一</w:t>
      </w:r>
      <w:r>
        <w:rPr>
          <w:rFonts w:hint="eastAsia" w:ascii="仿宋" w:hAnsi="仿宋" w:eastAsia="仿宋"/>
          <w:sz w:val="22"/>
        </w:rPr>
        <w:t>客户持有上限、赎回上限等要素；</w:t>
      </w:r>
    </w:p>
    <w:p>
      <w:pPr>
        <w:pStyle w:val="10"/>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0"/>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0"/>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0"/>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p>
    <w:p>
      <w:pPr>
        <w:pStyle w:val="10"/>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0"/>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0"/>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0"/>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0"/>
        <w:numPr>
          <w:ilvl w:val="255"/>
          <w:numId w:val="0"/>
        </w:numPr>
        <w:ind w:firstLine="440" w:firstLineChars="200"/>
        <w:rPr>
          <w:rFonts w:ascii="仿宋" w:hAnsi="仿宋" w:eastAsia="仿宋"/>
          <w:sz w:val="22"/>
        </w:rPr>
      </w:pPr>
    </w:p>
    <w:p>
      <w:pPr>
        <w:widowControl/>
        <w:ind w:firstLine="440" w:firstLineChars="200"/>
        <w:jc w:val="left"/>
        <w:rPr>
          <w:rFonts w:ascii="仿宋" w:hAnsi="仿宋" w:eastAsia="仿宋"/>
          <w:sz w:val="22"/>
        </w:rPr>
      </w:pPr>
      <w:r>
        <w:rPr>
          <w:rFonts w:ascii="仿宋" w:hAnsi="仿宋" w:eastAsia="仿宋"/>
          <w:sz w:val="22"/>
        </w:rPr>
        <w:br w:type="page"/>
      </w:r>
    </w:p>
    <w:p>
      <w:pPr>
        <w:snapToGrid w:val="0"/>
        <w:spacing w:line="360" w:lineRule="auto"/>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val="en-US" w:eastAsia="zh-CN"/>
        </w:rPr>
        <w:t>22066</w:t>
      </w:r>
      <w:r>
        <w:rPr>
          <w:rFonts w:hint="eastAsia" w:ascii="仿宋" w:hAnsi="仿宋" w:eastAsia="仿宋"/>
          <w:b/>
          <w:sz w:val="28"/>
        </w:rPr>
        <w:t>期封闭式净值型理财产品</w:t>
      </w:r>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rPr>
          <w:rFonts w:ascii="仿宋" w:hAnsi="仿宋" w:eastAsia="仿宋"/>
          <w:b/>
          <w:sz w:val="22"/>
        </w:rPr>
      </w:pPr>
      <w:r>
        <w:rPr>
          <w:rFonts w:ascii="仿宋" w:hAnsi="仿宋" w:eastAsia="仿宋"/>
          <w:b/>
          <w:sz w:val="22"/>
        </w:rPr>
        <w:br w:type="page"/>
      </w:r>
    </w:p>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val="en-US" w:eastAsia="zh-CN"/>
        </w:rPr>
        <w:t>22066</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非常感谢您购买瑞丰银行理财产品。理财投资在获取收益的同时存在投资风险，为了保护您的合法权益，请在认</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类；我行对个人客户风险承受能力由低到高分为保守型、谨慎型、稳健型、进取型和激进。根据风险匹配原则，我行在投资人风险承受能力等级和产品风险等级之间建立如下对应关系。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5"/>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1"/>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1"/>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认购本理财产品是经过本人独立判断之后所做出的符合本人真实意愿的决定。本人同意和接受上述销售文件的条款和内容。</w:t>
            </w:r>
          </w:p>
          <w:p>
            <w:pPr>
              <w:pStyle w:val="11"/>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1"/>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1"/>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1"/>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11</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11</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30F08"/>
    <w:rsid w:val="00081EDB"/>
    <w:rsid w:val="000A1524"/>
    <w:rsid w:val="00114C17"/>
    <w:rsid w:val="00152CEF"/>
    <w:rsid w:val="00152FDC"/>
    <w:rsid w:val="00161C19"/>
    <w:rsid w:val="001C57BA"/>
    <w:rsid w:val="001C6B94"/>
    <w:rsid w:val="00262464"/>
    <w:rsid w:val="00275371"/>
    <w:rsid w:val="00283E7E"/>
    <w:rsid w:val="002C5DBF"/>
    <w:rsid w:val="00305BCC"/>
    <w:rsid w:val="0033180C"/>
    <w:rsid w:val="00350C66"/>
    <w:rsid w:val="003517A9"/>
    <w:rsid w:val="00370010"/>
    <w:rsid w:val="003A0E3D"/>
    <w:rsid w:val="003B60E0"/>
    <w:rsid w:val="00405BA0"/>
    <w:rsid w:val="00481AF5"/>
    <w:rsid w:val="004B7EEA"/>
    <w:rsid w:val="004C7B59"/>
    <w:rsid w:val="005134DB"/>
    <w:rsid w:val="00524128"/>
    <w:rsid w:val="005741FE"/>
    <w:rsid w:val="005C55DE"/>
    <w:rsid w:val="005C5DC7"/>
    <w:rsid w:val="005E36A9"/>
    <w:rsid w:val="00641CCD"/>
    <w:rsid w:val="0067308C"/>
    <w:rsid w:val="0068231D"/>
    <w:rsid w:val="00695179"/>
    <w:rsid w:val="006B58E6"/>
    <w:rsid w:val="006C4DA5"/>
    <w:rsid w:val="00705D02"/>
    <w:rsid w:val="007440FE"/>
    <w:rsid w:val="007627A8"/>
    <w:rsid w:val="007F2843"/>
    <w:rsid w:val="008251A1"/>
    <w:rsid w:val="00841E7E"/>
    <w:rsid w:val="008600E3"/>
    <w:rsid w:val="00882725"/>
    <w:rsid w:val="008A206F"/>
    <w:rsid w:val="008E6E25"/>
    <w:rsid w:val="00982D52"/>
    <w:rsid w:val="009D2288"/>
    <w:rsid w:val="009D2B30"/>
    <w:rsid w:val="009F0AAF"/>
    <w:rsid w:val="009F3AD3"/>
    <w:rsid w:val="00A20440"/>
    <w:rsid w:val="00A77AF2"/>
    <w:rsid w:val="00A8459A"/>
    <w:rsid w:val="00AD10FF"/>
    <w:rsid w:val="00AF3D44"/>
    <w:rsid w:val="00B001AB"/>
    <w:rsid w:val="00B215F0"/>
    <w:rsid w:val="00B22FD4"/>
    <w:rsid w:val="00B3713A"/>
    <w:rsid w:val="00B5250C"/>
    <w:rsid w:val="00B60B81"/>
    <w:rsid w:val="00B671DA"/>
    <w:rsid w:val="00BC79EB"/>
    <w:rsid w:val="00BE6007"/>
    <w:rsid w:val="00BE6628"/>
    <w:rsid w:val="00C625BD"/>
    <w:rsid w:val="00C65739"/>
    <w:rsid w:val="00C83569"/>
    <w:rsid w:val="00CA4567"/>
    <w:rsid w:val="00CB1142"/>
    <w:rsid w:val="00CC008E"/>
    <w:rsid w:val="00CD3B37"/>
    <w:rsid w:val="00D02CE6"/>
    <w:rsid w:val="00D6055C"/>
    <w:rsid w:val="00D933F9"/>
    <w:rsid w:val="00DA2DB4"/>
    <w:rsid w:val="00DD1214"/>
    <w:rsid w:val="00DD20EA"/>
    <w:rsid w:val="00DD4F78"/>
    <w:rsid w:val="00DD6390"/>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203252"/>
    <w:rsid w:val="05A06829"/>
    <w:rsid w:val="081B6D75"/>
    <w:rsid w:val="0DAD4531"/>
    <w:rsid w:val="112209DB"/>
    <w:rsid w:val="11307AFB"/>
    <w:rsid w:val="16DE4B28"/>
    <w:rsid w:val="1F52186A"/>
    <w:rsid w:val="21465C1C"/>
    <w:rsid w:val="21552560"/>
    <w:rsid w:val="21D151F0"/>
    <w:rsid w:val="272E6AAC"/>
    <w:rsid w:val="28872D08"/>
    <w:rsid w:val="2D2C4BD8"/>
    <w:rsid w:val="2DA63EC2"/>
    <w:rsid w:val="2E0F6302"/>
    <w:rsid w:val="2F6A4E19"/>
    <w:rsid w:val="308A36A3"/>
    <w:rsid w:val="30E32642"/>
    <w:rsid w:val="31882302"/>
    <w:rsid w:val="31980D1D"/>
    <w:rsid w:val="337E5E03"/>
    <w:rsid w:val="37B13CD1"/>
    <w:rsid w:val="37FE6756"/>
    <w:rsid w:val="3CAB7A75"/>
    <w:rsid w:val="3F745B24"/>
    <w:rsid w:val="40B306BA"/>
    <w:rsid w:val="4A4F3547"/>
    <w:rsid w:val="4AFA00EE"/>
    <w:rsid w:val="4BC94314"/>
    <w:rsid w:val="4E48499C"/>
    <w:rsid w:val="529A226B"/>
    <w:rsid w:val="592A7B41"/>
    <w:rsid w:val="5D5D41EB"/>
    <w:rsid w:val="5E535A41"/>
    <w:rsid w:val="60026C68"/>
    <w:rsid w:val="61873986"/>
    <w:rsid w:val="64DE1B74"/>
    <w:rsid w:val="66846D5C"/>
    <w:rsid w:val="67D64453"/>
    <w:rsid w:val="6A587CDD"/>
    <w:rsid w:val="6BFD05C0"/>
    <w:rsid w:val="6C7E3839"/>
    <w:rsid w:val="76C00F24"/>
    <w:rsid w:val="77984C99"/>
    <w:rsid w:val="7BC312C0"/>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0"/>
    <w:pPr>
      <w:ind w:firstLine="420" w:firstLineChars="200"/>
    </w:pPr>
    <w:rPr>
      <w:rFonts w:ascii="Calibri" w:hAnsi="Calibri" w:eastAsia="宋体" w:cs="黑体"/>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2089</Words>
  <Characters>11913</Characters>
  <Lines>99</Lines>
  <Paragraphs>27</Paragraphs>
  <TotalTime>2</TotalTime>
  <ScaleCrop>false</ScaleCrop>
  <LinksUpToDate>false</LinksUpToDate>
  <CharactersWithSpaces>13975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2022-09-08T07:53:00Z</dcterms:created>
  <dc:creator>Xiaoyang Maaa</dc:creator>
  <cp:lastModifiedBy>Administrator</cp:lastModifiedBy>
  <cp:lastPrinted>2022-05-31T11:06:00Z</cp:lastPrinted>
  <dcterms:modified xsi:type="dcterms:W3CDTF">2023-02-09T03:17:59Z</dcterms:modified>
  <dc:title>瑞丰银行产品说明书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