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940BF2">
        <w:rPr>
          <w:rFonts w:ascii="宋体" w:hAnsi="宋体" w:cs="宋体" w:hint="eastAsia"/>
          <w:b/>
          <w:bCs/>
          <w:sz w:val="32"/>
          <w:szCs w:val="32"/>
        </w:rPr>
        <w:t>”丰收信福</w:t>
      </w:r>
      <w:r w:rsidR="003302C7">
        <w:rPr>
          <w:rFonts w:ascii="宋体" w:hAnsi="宋体" w:cs="宋体" w:hint="eastAsia"/>
          <w:b/>
          <w:bCs/>
          <w:sz w:val="32"/>
          <w:szCs w:val="32"/>
        </w:rPr>
        <w:t>7</w:t>
      </w:r>
      <w:r w:rsidR="00940BF2">
        <w:rPr>
          <w:rFonts w:ascii="宋体" w:hAnsi="宋体" w:cs="宋体" w:hint="eastAsia"/>
          <w:b/>
          <w:bCs/>
          <w:sz w:val="32"/>
          <w:szCs w:val="32"/>
        </w:rPr>
        <w:t>号”</w:t>
      </w:r>
      <w:r w:rsidR="009E1194" w:rsidRPr="009E1194">
        <w:rPr>
          <w:rFonts w:hint="eastAsia"/>
        </w:rPr>
        <w:t xml:space="preserve"> </w:t>
      </w:r>
      <w:r w:rsidR="009E1194" w:rsidRPr="009E1194">
        <w:rPr>
          <w:rFonts w:ascii="宋体" w:hAnsi="宋体" w:cs="宋体" w:hint="eastAsia"/>
          <w:b/>
          <w:bCs/>
          <w:sz w:val="32"/>
          <w:szCs w:val="32"/>
        </w:rPr>
        <w:t>2023年第1期</w:t>
      </w:r>
      <w:r w:rsidR="008E77F5">
        <w:rPr>
          <w:rFonts w:ascii="宋体" w:hAnsi="宋体" w:cs="宋体" w:hint="eastAsia"/>
          <w:b/>
          <w:bCs/>
          <w:sz w:val="32"/>
          <w:szCs w:val="32"/>
        </w:rPr>
        <w:t>人民币</w:t>
      </w:r>
      <w:r w:rsidR="003302C7" w:rsidRPr="003302C7">
        <w:rPr>
          <w:rFonts w:ascii="宋体" w:hAnsi="宋体" w:cs="宋体" w:hint="eastAsia"/>
          <w:b/>
          <w:bCs/>
          <w:sz w:val="32"/>
          <w:szCs w:val="32"/>
        </w:rPr>
        <w:t>理财产品</w:t>
      </w:r>
      <w:r w:rsidRPr="00AB67C0">
        <w:rPr>
          <w:rFonts w:ascii="宋体" w:hAnsi="宋体" w:cs="宋体" w:hint="eastAsia"/>
          <w:b/>
          <w:bCs/>
          <w:sz w:val="32"/>
          <w:szCs w:val="32"/>
        </w:rPr>
        <w:t>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w:t>
      </w:r>
      <w:r w:rsidR="00141CC0">
        <w:rPr>
          <w:rFonts w:ascii="宋体" w:hAnsi="宋体" w:hint="eastAsia"/>
          <w:b/>
          <w:bCs/>
          <w:color w:val="auto"/>
          <w:sz w:val="21"/>
          <w:szCs w:val="21"/>
        </w:rPr>
        <w:t>7</w:t>
      </w:r>
      <w:r w:rsidRPr="00AB67C0">
        <w:rPr>
          <w:rFonts w:ascii="宋体" w:hAnsi="宋体" w:hint="eastAsia"/>
          <w:b/>
          <w:bCs/>
          <w:color w:val="auto"/>
          <w:sz w:val="21"/>
          <w:szCs w:val="21"/>
        </w:rPr>
        <w:t>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w:t>
      </w:r>
      <w:r w:rsidR="00141CC0">
        <w:rPr>
          <w:rFonts w:ascii="宋体" w:hAnsi="宋体" w:hint="eastAsia"/>
          <w:b/>
          <w:bCs/>
          <w:color w:val="auto"/>
          <w:sz w:val="21"/>
          <w:szCs w:val="21"/>
        </w:rPr>
        <w:t>7</w:t>
      </w:r>
      <w:r w:rsidRPr="00AB67C0">
        <w:rPr>
          <w:rFonts w:ascii="宋体" w:hAnsi="宋体" w:hint="eastAsia"/>
          <w:b/>
          <w:bCs/>
          <w:color w:val="auto"/>
          <w:sz w:val="21"/>
          <w:szCs w:val="21"/>
        </w:rPr>
        <w:t>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940BF2">
        <w:rPr>
          <w:rFonts w:ascii="宋体" w:hAnsi="宋体" w:hint="eastAsia"/>
          <w:b/>
          <w:bCs/>
          <w:color w:val="auto"/>
          <w:sz w:val="21"/>
          <w:szCs w:val="21"/>
        </w:rPr>
        <w:t>”丰收信福</w:t>
      </w:r>
      <w:r w:rsidR="00141CC0">
        <w:rPr>
          <w:rFonts w:ascii="宋体" w:hAnsi="宋体" w:hint="eastAsia"/>
          <w:b/>
          <w:bCs/>
          <w:color w:val="auto"/>
          <w:sz w:val="21"/>
          <w:szCs w:val="21"/>
        </w:rPr>
        <w:t>7</w:t>
      </w:r>
      <w:r w:rsidR="00940BF2">
        <w:rPr>
          <w:rFonts w:ascii="宋体" w:hAnsi="宋体" w:hint="eastAsia"/>
          <w:b/>
          <w:bCs/>
          <w:color w:val="auto"/>
          <w:sz w:val="21"/>
          <w:szCs w:val="21"/>
        </w:rPr>
        <w:t>号”2023年第6期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w:t>
      </w:r>
      <w:r w:rsidR="00141CC0">
        <w:rPr>
          <w:rFonts w:ascii="宋体" w:hAnsi="宋体" w:hint="eastAsia"/>
          <w:b/>
          <w:bCs/>
          <w:color w:val="auto"/>
          <w:sz w:val="21"/>
          <w:szCs w:val="21"/>
        </w:rPr>
        <w:t>7</w:t>
      </w:r>
      <w:r w:rsidRPr="00AB67C0">
        <w:rPr>
          <w:rFonts w:ascii="宋体" w:hAnsi="宋体" w:hint="eastAsia"/>
          <w:b/>
          <w:bCs/>
          <w:color w:val="auto"/>
          <w:sz w:val="21"/>
          <w:szCs w:val="21"/>
        </w:rPr>
        <w:t>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w:t>
      </w:r>
      <w:r w:rsidR="00141CC0">
        <w:rPr>
          <w:rFonts w:ascii="宋体" w:hAnsi="宋体" w:cs="宋体" w:hint="eastAsia"/>
          <w:sz w:val="21"/>
          <w:szCs w:val="21"/>
        </w:rPr>
        <w:t>7</w:t>
      </w:r>
      <w:r w:rsidRPr="00E76F64">
        <w:rPr>
          <w:rFonts w:ascii="宋体" w:hAnsi="宋体" w:cs="宋体" w:hint="eastAsia"/>
          <w:sz w:val="21"/>
          <w:szCs w:val="21"/>
        </w:rPr>
        <w:t>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1B3C27">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w:t>
      </w:r>
      <w:r w:rsidR="001B3C27">
        <w:rPr>
          <w:rFonts w:ascii="宋体" w:hAnsi="宋体" w:cs="宋体" w:hint="eastAsia"/>
          <w:sz w:val="21"/>
          <w:szCs w:val="21"/>
        </w:rPr>
        <w:t>（含可转债、可交债）</w:t>
      </w:r>
      <w:r w:rsidRPr="00AB67C0">
        <w:rPr>
          <w:rFonts w:ascii="宋体" w:hAnsi="宋体" w:cs="宋体" w:hint="eastAsia"/>
          <w:sz w:val="21"/>
          <w:szCs w:val="21"/>
        </w:rPr>
        <w:t>、存款、货币市场金融工具等高流动性资产、债券基金、质押式及买断式回购、</w:t>
      </w:r>
      <w:r w:rsidR="001B3C27">
        <w:rPr>
          <w:rFonts w:ascii="宋体" w:hAnsi="宋体" w:cs="宋体" w:hint="eastAsia"/>
          <w:sz w:val="21"/>
          <w:szCs w:val="21"/>
        </w:rPr>
        <w:t>债券借贷等</w:t>
      </w:r>
      <w:r w:rsidRPr="00AB67C0">
        <w:rPr>
          <w:rFonts w:ascii="宋体" w:hAnsi="宋体" w:cs="宋体" w:hint="eastAsia"/>
          <w:sz w:val="21"/>
          <w:szCs w:val="21"/>
        </w:rPr>
        <w:t>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1B3C27" w:rsidP="00757A88">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（三）投资目标</w:t>
      </w:r>
    </w:p>
    <w:p w:rsidR="00C03E6A" w:rsidRPr="00AB67C0" w:rsidRDefault="001B3C27" w:rsidP="00757A88">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本集合计划的投资目标为：重点投资于债权类资产，在严格控制风险、保障流动性、追求安全性的前提下，争取获得相对稳定的投资收益。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BF4FF2">
            <w:pPr>
              <w:spacing w:line="320" w:lineRule="exact"/>
              <w:rPr>
                <w:rFonts w:ascii="宋体" w:hAnsi="宋体"/>
                <w:color w:val="000000"/>
                <w:kern w:val="0"/>
                <w:sz w:val="18"/>
                <w:szCs w:val="18"/>
              </w:rPr>
            </w:pPr>
            <w:r w:rsidRPr="00F273E3">
              <w:rPr>
                <w:rFonts w:ascii="宋体" w:hAnsi="宋体" w:cs="宋体" w:hint="eastAsia"/>
                <w:color w:val="000000"/>
                <w:kern w:val="0"/>
                <w:sz w:val="18"/>
                <w:szCs w:val="18"/>
              </w:rPr>
              <w:t>新昌农商银行丰收信福</w:t>
            </w:r>
            <w:r w:rsidR="00033F7D" w:rsidRPr="00F273E3">
              <w:rPr>
                <w:rFonts w:ascii="宋体" w:hAnsi="宋体" w:cs="宋体" w:hint="eastAsia"/>
                <w:color w:val="000000"/>
                <w:kern w:val="0"/>
                <w:sz w:val="18"/>
                <w:szCs w:val="18"/>
              </w:rPr>
              <w:t>7号2023年第1期</w:t>
            </w:r>
            <w:r w:rsidR="00BF4FF2" w:rsidRPr="00F273E3">
              <w:rPr>
                <w:rFonts w:ascii="宋体" w:hAnsi="宋体" w:cs="宋体" w:hint="eastAsia"/>
                <w:color w:val="000000"/>
                <w:kern w:val="0"/>
                <w:sz w:val="18"/>
                <w:szCs w:val="18"/>
              </w:rPr>
              <w:t>人民币</w:t>
            </w:r>
            <w:r w:rsidRPr="00F273E3">
              <w:rPr>
                <w:rFonts w:ascii="宋体" w:hAnsi="宋体" w:cs="宋体" w:hint="eastAsia"/>
                <w:color w:val="000000"/>
                <w:kern w:val="0"/>
                <w:sz w:val="18"/>
                <w:szCs w:val="18"/>
              </w:rPr>
              <w:t>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00033F7D">
              <w:rPr>
                <w:rFonts w:ascii="宋体" w:hAnsi="宋体" w:hint="eastAsia"/>
                <w:color w:val="000000"/>
                <w:kern w:val="0"/>
                <w:sz w:val="18"/>
                <w:szCs w:val="18"/>
              </w:rPr>
              <w:t>FSXF07</w:t>
            </w:r>
            <w:r w:rsidRPr="00E76F64">
              <w:rPr>
                <w:rFonts w:ascii="宋体" w:hAnsi="宋体"/>
                <w:color w:val="000000"/>
                <w:kern w:val="0"/>
                <w:sz w:val="18"/>
                <w:szCs w:val="18"/>
              </w:rPr>
              <w:t>202</w:t>
            </w:r>
            <w:r w:rsidR="00033F7D">
              <w:rPr>
                <w:rFonts w:ascii="宋体" w:hAnsi="宋体" w:hint="eastAsia"/>
                <w:color w:val="000000"/>
                <w:kern w:val="0"/>
                <w:sz w:val="18"/>
                <w:szCs w:val="18"/>
              </w:rPr>
              <w:t>301</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A57D54">
              <w:rPr>
                <w:rFonts w:ascii="宋体" w:hAnsi="宋体" w:cs="宋体" w:hint="eastAsia"/>
                <w:color w:val="000000"/>
                <w:kern w:val="0"/>
                <w:sz w:val="18"/>
                <w:szCs w:val="18"/>
              </w:rPr>
              <w:t>11</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w:t>
            </w:r>
            <w:r w:rsidR="00033F7D">
              <w:rPr>
                <w:rFonts w:ascii="宋体" w:hAnsi="宋体" w:cs="宋体" w:hint="eastAsia"/>
                <w:color w:val="000000"/>
                <w:kern w:val="0"/>
                <w:sz w:val="18"/>
                <w:szCs w:val="18"/>
              </w:rPr>
              <w:t>丰收互联</w:t>
            </w:r>
            <w:r w:rsidRPr="00E76F64">
              <w:rPr>
                <w:rFonts w:ascii="宋体" w:hAnsi="宋体" w:cs="宋体" w:hint="eastAsia"/>
                <w:color w:val="000000"/>
                <w:kern w:val="0"/>
                <w:sz w:val="18"/>
                <w:szCs w:val="18"/>
              </w:rPr>
              <w:t>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033F7D" w:rsidP="00033F7D">
            <w:pPr>
              <w:spacing w:line="320" w:lineRule="exact"/>
              <w:rPr>
                <w:rFonts w:ascii="宋体" w:hAnsi="宋体"/>
                <w:color w:val="000000"/>
                <w:kern w:val="0"/>
                <w:sz w:val="30"/>
                <w:szCs w:val="20"/>
              </w:rPr>
            </w:pPr>
            <w:r>
              <w:rPr>
                <w:rFonts w:ascii="宋体" w:hAnsi="宋体" w:cs="宋体" w:hint="eastAsia"/>
                <w:color w:val="000000"/>
                <w:kern w:val="0"/>
                <w:sz w:val="18"/>
                <w:szCs w:val="18"/>
              </w:rPr>
              <w:t>固定收益类非保本</w:t>
            </w:r>
            <w:r w:rsidR="00E76F64" w:rsidRPr="00E76F64">
              <w:rPr>
                <w:rFonts w:ascii="宋体" w:hAnsi="宋体" w:cs="宋体" w:hint="eastAsia"/>
                <w:color w:val="000000"/>
                <w:kern w:val="0"/>
                <w:sz w:val="18"/>
                <w:szCs w:val="18"/>
              </w:rPr>
              <w:t>封闭式净值型理财产品</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6F7291" w:rsidP="00940BF2">
            <w:pPr>
              <w:spacing w:line="320" w:lineRule="exact"/>
              <w:rPr>
                <w:rFonts w:ascii="宋体" w:hAnsi="宋体"/>
                <w:color w:val="000000"/>
                <w:kern w:val="0"/>
                <w:sz w:val="30"/>
                <w:szCs w:val="20"/>
              </w:rPr>
            </w:pPr>
            <w:r>
              <w:rPr>
                <w:rFonts w:ascii="宋体" w:hAnsi="宋体" w:cs="宋体" w:hint="eastAsia"/>
                <w:color w:val="000000"/>
                <w:kern w:val="0"/>
                <w:sz w:val="18"/>
                <w:szCs w:val="18"/>
              </w:rPr>
              <w:t>2023年</w:t>
            </w:r>
            <w:r w:rsidR="00A64C74">
              <w:rPr>
                <w:rFonts w:ascii="宋体" w:hAnsi="宋体" w:cs="宋体" w:hint="eastAsia"/>
                <w:color w:val="000000"/>
                <w:kern w:val="0"/>
                <w:sz w:val="18"/>
                <w:szCs w:val="18"/>
              </w:rPr>
              <w:t>2</w:t>
            </w:r>
            <w:r>
              <w:rPr>
                <w:rFonts w:ascii="宋体" w:hAnsi="宋体" w:cs="宋体" w:hint="eastAsia"/>
                <w:color w:val="000000"/>
                <w:kern w:val="0"/>
                <w:sz w:val="18"/>
                <w:szCs w:val="18"/>
              </w:rPr>
              <w:t>月</w:t>
            </w:r>
            <w:r w:rsidR="00940BF2">
              <w:rPr>
                <w:rFonts w:ascii="宋体" w:hAnsi="宋体" w:cs="宋体" w:hint="eastAsia"/>
                <w:color w:val="000000"/>
                <w:kern w:val="0"/>
                <w:sz w:val="18"/>
                <w:szCs w:val="18"/>
              </w:rPr>
              <w:t>9</w:t>
            </w:r>
            <w:r>
              <w:rPr>
                <w:rFonts w:ascii="宋体" w:hAnsi="宋体" w:cs="宋体" w:hint="eastAsia"/>
                <w:color w:val="000000"/>
                <w:kern w:val="0"/>
                <w:sz w:val="18"/>
                <w:szCs w:val="18"/>
              </w:rPr>
              <w:t>日至2023年</w:t>
            </w:r>
            <w:r w:rsidR="008B5F6E">
              <w:rPr>
                <w:rFonts w:ascii="宋体" w:hAnsi="宋体" w:cs="宋体" w:hint="eastAsia"/>
                <w:color w:val="000000"/>
                <w:kern w:val="0"/>
                <w:sz w:val="18"/>
                <w:szCs w:val="18"/>
              </w:rPr>
              <w:t>2</w:t>
            </w:r>
            <w:r>
              <w:rPr>
                <w:rFonts w:ascii="宋体" w:hAnsi="宋体" w:cs="宋体" w:hint="eastAsia"/>
                <w:color w:val="000000"/>
                <w:kern w:val="0"/>
                <w:sz w:val="18"/>
                <w:szCs w:val="18"/>
              </w:rPr>
              <w:t>月</w:t>
            </w:r>
            <w:r w:rsidR="008B5F6E">
              <w:rPr>
                <w:rFonts w:ascii="宋体" w:hAnsi="宋体" w:cs="宋体" w:hint="eastAsia"/>
                <w:color w:val="000000"/>
                <w:kern w:val="0"/>
                <w:sz w:val="18"/>
                <w:szCs w:val="18"/>
              </w:rPr>
              <w:t>1</w:t>
            </w:r>
            <w:r w:rsidR="00940BF2">
              <w:rPr>
                <w:rFonts w:ascii="宋体" w:hAnsi="宋体" w:cs="宋体" w:hint="eastAsia"/>
                <w:color w:val="000000"/>
                <w:kern w:val="0"/>
                <w:sz w:val="18"/>
                <w:szCs w:val="18"/>
              </w:rPr>
              <w:t>5</w:t>
            </w:r>
            <w:r>
              <w:rPr>
                <w:rFonts w:ascii="宋体" w:hAnsi="宋体" w:cs="宋体" w:hint="eastAsia"/>
                <w:color w:val="000000"/>
                <w:kern w:val="0"/>
                <w:sz w:val="18"/>
                <w:szCs w:val="18"/>
              </w:rPr>
              <w:t>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940BF2">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8B5F6E">
              <w:rPr>
                <w:rFonts w:ascii="宋体" w:hAnsi="宋体" w:cs="宋体" w:hint="eastAsia"/>
                <w:color w:val="000000"/>
                <w:kern w:val="0"/>
                <w:sz w:val="18"/>
                <w:szCs w:val="18"/>
              </w:rPr>
              <w:t>2</w:t>
            </w:r>
            <w:r>
              <w:rPr>
                <w:rFonts w:ascii="宋体" w:hAnsi="宋体" w:cs="宋体" w:hint="eastAsia"/>
                <w:color w:val="000000"/>
                <w:kern w:val="0"/>
                <w:sz w:val="18"/>
                <w:szCs w:val="18"/>
              </w:rPr>
              <w:t>月</w:t>
            </w:r>
            <w:r w:rsidR="00A64C74">
              <w:rPr>
                <w:rFonts w:ascii="宋体" w:hAnsi="宋体" w:cs="宋体" w:hint="eastAsia"/>
                <w:color w:val="000000"/>
                <w:kern w:val="0"/>
                <w:sz w:val="18"/>
                <w:szCs w:val="18"/>
              </w:rPr>
              <w:t>1</w:t>
            </w:r>
            <w:r w:rsidR="00940BF2">
              <w:rPr>
                <w:rFonts w:ascii="宋体" w:hAnsi="宋体" w:cs="宋体" w:hint="eastAsia"/>
                <w:color w:val="000000"/>
                <w:kern w:val="0"/>
                <w:sz w:val="18"/>
                <w:szCs w:val="18"/>
              </w:rPr>
              <w:t>6</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7D63B9">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940BF2">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940BF2">
              <w:rPr>
                <w:rFonts w:ascii="宋体" w:hAnsi="宋体" w:cs="宋体" w:hint="eastAsia"/>
                <w:color w:val="000000"/>
                <w:kern w:val="0"/>
                <w:sz w:val="18"/>
                <w:szCs w:val="18"/>
              </w:rPr>
              <w:t>4</w:t>
            </w:r>
            <w:r>
              <w:rPr>
                <w:rFonts w:ascii="宋体" w:hAnsi="宋体" w:cs="宋体" w:hint="eastAsia"/>
                <w:color w:val="000000"/>
                <w:kern w:val="0"/>
                <w:sz w:val="18"/>
                <w:szCs w:val="18"/>
              </w:rPr>
              <w:t>月</w:t>
            </w:r>
            <w:r w:rsidR="00A64C74">
              <w:rPr>
                <w:rFonts w:ascii="宋体" w:hAnsi="宋体" w:cs="宋体" w:hint="eastAsia"/>
                <w:color w:val="000000"/>
                <w:kern w:val="0"/>
                <w:sz w:val="18"/>
                <w:szCs w:val="18"/>
              </w:rPr>
              <w:t>1</w:t>
            </w:r>
            <w:r w:rsidR="00940BF2">
              <w:rPr>
                <w:rFonts w:ascii="宋体" w:hAnsi="宋体" w:cs="宋体" w:hint="eastAsia"/>
                <w:color w:val="000000"/>
                <w:kern w:val="0"/>
                <w:sz w:val="18"/>
                <w:szCs w:val="18"/>
              </w:rPr>
              <w:t>9</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940BF2"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428</w:t>
            </w:r>
            <w:r w:rsidR="006F7291">
              <w:rPr>
                <w:rFonts w:ascii="宋体" w:hAnsi="宋体" w:cs="宋体" w:hint="eastAsia"/>
                <w:color w:val="000000"/>
                <w:kern w:val="0"/>
                <w:sz w:val="18"/>
                <w:szCs w:val="18"/>
              </w:rPr>
              <w:t>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386BA6" w:rsidP="00386BA6">
            <w:pPr>
              <w:spacing w:line="320" w:lineRule="exact"/>
              <w:rPr>
                <w:rFonts w:ascii="宋体" w:hAnsi="宋体" w:cs="宋体"/>
                <w:color w:val="FF0000"/>
                <w:kern w:val="0"/>
                <w:sz w:val="18"/>
                <w:szCs w:val="18"/>
              </w:rPr>
            </w:pPr>
            <w:r>
              <w:rPr>
                <w:rFonts w:ascii="宋体" w:hAnsi="宋体" w:cs="宋体" w:hint="eastAsia"/>
                <w:color w:val="000000"/>
                <w:kern w:val="0"/>
                <w:sz w:val="18"/>
                <w:szCs w:val="18"/>
              </w:rPr>
              <w:t>理财产品端初始募集单位净值：1.00元/份；</w:t>
            </w:r>
            <w:r w:rsidRPr="00386BA6">
              <w:rPr>
                <w:rFonts w:ascii="宋体" w:hAnsi="宋体" w:cs="宋体" w:hint="eastAsia"/>
                <w:color w:val="000000"/>
                <w:kern w:val="0"/>
                <w:sz w:val="18"/>
                <w:szCs w:val="18"/>
              </w:rPr>
              <w:t>产品单位净值将随投资资产收益或价格的变化而变化，为扣减托管费、固定管理费、销售服务费及相关税费后的单位理财计划份额的净值。理财计划单位净值保留至小数点后第</w:t>
            </w:r>
            <w:r>
              <w:rPr>
                <w:rFonts w:ascii="宋体" w:hAnsi="宋体" w:cs="宋体" w:hint="eastAsia"/>
                <w:color w:val="000000"/>
                <w:kern w:val="0"/>
                <w:sz w:val="18"/>
                <w:szCs w:val="18"/>
              </w:rPr>
              <w:t>8</w:t>
            </w:r>
            <w:r w:rsidRPr="00386BA6">
              <w:rPr>
                <w:rFonts w:ascii="宋体" w:hAnsi="宋体" w:cs="宋体" w:hint="eastAsia"/>
                <w:color w:val="000000"/>
                <w:kern w:val="0"/>
                <w:sz w:val="18"/>
                <w:szCs w:val="18"/>
              </w:rPr>
              <w:t>位，小数点</w:t>
            </w:r>
            <w:r>
              <w:rPr>
                <w:rFonts w:ascii="宋体" w:hAnsi="宋体" w:cs="宋体" w:hint="eastAsia"/>
                <w:color w:val="000000"/>
                <w:kern w:val="0"/>
                <w:sz w:val="18"/>
                <w:szCs w:val="18"/>
              </w:rPr>
              <w:t>8</w:t>
            </w:r>
            <w:r w:rsidRPr="00386BA6">
              <w:rPr>
                <w:rFonts w:ascii="宋体" w:hAnsi="宋体" w:cs="宋体" w:hint="eastAsia"/>
                <w:color w:val="000000"/>
                <w:kern w:val="0"/>
                <w:sz w:val="18"/>
                <w:szCs w:val="18"/>
              </w:rPr>
              <w:t>位以后去尾。</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940BF2">
            <w:pPr>
              <w:widowControl/>
              <w:rPr>
                <w:rFonts w:ascii="宋体" w:hAnsi="宋体"/>
                <w:color w:val="000000"/>
              </w:rPr>
            </w:pPr>
            <w:r>
              <w:rPr>
                <w:rFonts w:ascii="宋体" w:hAnsi="宋体" w:cs="宋体" w:hint="eastAsia"/>
                <w:color w:val="000000"/>
                <w:kern w:val="0"/>
                <w:sz w:val="18"/>
                <w:szCs w:val="18"/>
              </w:rPr>
              <w:t>本理财产品业绩比较基准区间为年化</w:t>
            </w:r>
            <w:r w:rsidR="00A57D54">
              <w:rPr>
                <w:rFonts w:ascii="宋体" w:hAnsi="宋体" w:cs="宋体" w:hint="eastAsia"/>
                <w:color w:val="000000"/>
                <w:kern w:val="0"/>
                <w:sz w:val="18"/>
                <w:szCs w:val="18"/>
              </w:rPr>
              <w:t>3.5</w:t>
            </w:r>
            <w:r w:rsidR="006F7291">
              <w:rPr>
                <w:rFonts w:ascii="宋体" w:hAnsi="宋体" w:cs="宋体" w:hint="eastAsia"/>
                <w:color w:val="000000"/>
                <w:kern w:val="0"/>
                <w:sz w:val="18"/>
                <w:szCs w:val="18"/>
              </w:rPr>
              <w:t>%-</w:t>
            </w:r>
            <w:r w:rsidR="00A57D54">
              <w:rPr>
                <w:rFonts w:ascii="宋体" w:hAnsi="宋体" w:cs="宋体" w:hint="eastAsia"/>
                <w:color w:val="000000"/>
                <w:kern w:val="0"/>
                <w:sz w:val="18"/>
                <w:szCs w:val="18"/>
              </w:rPr>
              <w:t>3.85</w:t>
            </w:r>
            <w:bookmarkStart w:id="0" w:name="_GoBack"/>
            <w:bookmarkEnd w:id="0"/>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w:t>
            </w:r>
            <w:r w:rsidR="00386BA6" w:rsidRPr="00386BA6">
              <w:rPr>
                <w:rFonts w:ascii="宋体" w:hAnsi="宋体" w:cs="宋体" w:hint="eastAsia"/>
                <w:color w:val="000000"/>
                <w:kern w:val="0"/>
                <w:sz w:val="18"/>
                <w:szCs w:val="18"/>
              </w:rPr>
              <w:t>本产品为净值型理财产品，没有预期收益率。本行提醒投资者关注，业绩比较基准区间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新综合指数（1-3年）收益率，考虑资本利得并结合投资策略，扣除各类税费，测算业绩比较基准为上述区间，不代表产品未来表现和实际收益。</w:t>
            </w:r>
            <w:r>
              <w:rPr>
                <w:rFonts w:ascii="宋体" w:hAnsi="宋体" w:cs="宋体" w:hint="eastAsia"/>
                <w:color w:val="000000"/>
                <w:kern w:val="0"/>
                <w:sz w:val="18"/>
                <w:szCs w:val="18"/>
              </w:rPr>
              <w:t>（示例仅供参考，具体投资比例可根据各类资产的收益水平、流动性特征、信用风险等因素动态调整）。管理人有权于确认日前3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386BA6" w:rsidRPr="00E76F64" w:rsidTr="00E93933">
        <w:trPr>
          <w:trHeight w:val="315"/>
          <w:jc w:val="center"/>
        </w:trPr>
        <w:tc>
          <w:tcPr>
            <w:tcW w:w="1978" w:type="dxa"/>
            <w:tcMar>
              <w:top w:w="15" w:type="dxa"/>
              <w:left w:w="15" w:type="dxa"/>
              <w:bottom w:w="0" w:type="dxa"/>
              <w:right w:w="15" w:type="dxa"/>
            </w:tcMar>
            <w:vAlign w:val="center"/>
          </w:tcPr>
          <w:p w:rsidR="00386BA6" w:rsidRPr="00E76F64" w:rsidRDefault="00386BA6"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t>业绩计提基准</w:t>
            </w:r>
          </w:p>
        </w:tc>
        <w:tc>
          <w:tcPr>
            <w:tcW w:w="7186" w:type="dxa"/>
            <w:tcMar>
              <w:top w:w="15" w:type="dxa"/>
              <w:left w:w="15" w:type="dxa"/>
              <w:bottom w:w="0" w:type="dxa"/>
              <w:right w:w="15" w:type="dxa"/>
            </w:tcMar>
            <w:vAlign w:val="center"/>
          </w:tcPr>
          <w:p w:rsidR="00386BA6" w:rsidRPr="00E76F64" w:rsidRDefault="009D7723" w:rsidP="00757A88">
            <w:pPr>
              <w:widowControl/>
              <w:spacing w:line="320" w:lineRule="exact"/>
              <w:rPr>
                <w:rFonts w:ascii="宋体" w:hAnsi="宋体" w:cs="宋体"/>
                <w:color w:val="000000"/>
                <w:kern w:val="0"/>
                <w:sz w:val="18"/>
                <w:szCs w:val="18"/>
              </w:rPr>
            </w:pPr>
            <w:r>
              <w:rPr>
                <w:rFonts w:ascii="宋体" w:hAnsi="宋体" w:cs="宋体" w:hint="eastAsia"/>
                <w:color w:val="000000"/>
                <w:kern w:val="0"/>
                <w:sz w:val="18"/>
                <w:szCs w:val="18"/>
              </w:rPr>
              <w:t>3.8</w:t>
            </w:r>
            <w:r w:rsidR="00386BA6">
              <w:rPr>
                <w:rFonts w:ascii="宋体" w:hAnsi="宋体" w:cs="宋体" w:hint="eastAsia"/>
                <w:color w:val="000000"/>
                <w:kern w:val="0"/>
                <w:sz w:val="18"/>
                <w:szCs w:val="18"/>
              </w:rPr>
              <w:t>%，</w:t>
            </w:r>
            <w:r w:rsidR="00386BA6" w:rsidRPr="003B010B">
              <w:rPr>
                <w:rFonts w:asciiTheme="minorEastAsia" w:eastAsiaTheme="minorEastAsia" w:hAnsiTheme="minorEastAsia" w:cs="宋体" w:hint="eastAsia"/>
                <w:kern w:val="0"/>
                <w:sz w:val="18"/>
                <w:szCs w:val="18"/>
              </w:rPr>
              <w:t>当收益超过该值时，本行有权提取超额收益。</w:t>
            </w:r>
          </w:p>
        </w:tc>
      </w:tr>
      <w:tr w:rsidR="00386BA6" w:rsidRPr="00E76F64" w:rsidTr="00E93933">
        <w:trPr>
          <w:trHeight w:val="315"/>
          <w:jc w:val="center"/>
        </w:trPr>
        <w:tc>
          <w:tcPr>
            <w:tcW w:w="1978" w:type="dxa"/>
            <w:tcMar>
              <w:top w:w="15" w:type="dxa"/>
              <w:left w:w="15" w:type="dxa"/>
              <w:bottom w:w="0" w:type="dxa"/>
              <w:right w:w="15" w:type="dxa"/>
            </w:tcMar>
            <w:vAlign w:val="center"/>
          </w:tcPr>
          <w:p w:rsidR="00386BA6" w:rsidRPr="00E76F64" w:rsidRDefault="00386BA6"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lastRenderedPageBreak/>
              <w:t>产品分红</w:t>
            </w:r>
          </w:p>
        </w:tc>
        <w:tc>
          <w:tcPr>
            <w:tcW w:w="7186" w:type="dxa"/>
            <w:tcMar>
              <w:top w:w="15" w:type="dxa"/>
              <w:left w:w="15" w:type="dxa"/>
              <w:bottom w:w="0" w:type="dxa"/>
              <w:right w:w="15" w:type="dxa"/>
            </w:tcMar>
            <w:vAlign w:val="center"/>
          </w:tcPr>
          <w:p w:rsidR="00386BA6" w:rsidRPr="00E76F64" w:rsidRDefault="00386BA6" w:rsidP="00757A88">
            <w:pPr>
              <w:widowControl/>
              <w:spacing w:line="320" w:lineRule="exact"/>
              <w:rPr>
                <w:rFonts w:ascii="宋体" w:hAnsi="宋体" w:cs="宋体"/>
                <w:color w:val="000000"/>
                <w:kern w:val="0"/>
                <w:sz w:val="18"/>
                <w:szCs w:val="18"/>
              </w:rPr>
            </w:pPr>
            <w:r>
              <w:rPr>
                <w:rFonts w:ascii="宋体" w:hAnsi="宋体" w:cs="宋体" w:hint="eastAsia"/>
                <w:color w:val="000000"/>
                <w:kern w:val="0"/>
                <w:sz w:val="18"/>
                <w:szCs w:val="18"/>
              </w:rPr>
              <w:t>本产品存续期间不分红。</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本金和理财收益</w:t>
            </w:r>
          </w:p>
        </w:tc>
        <w:tc>
          <w:tcPr>
            <w:tcW w:w="7186" w:type="dxa"/>
            <w:tcMar>
              <w:top w:w="15" w:type="dxa"/>
              <w:left w:w="15" w:type="dxa"/>
              <w:bottom w:w="0" w:type="dxa"/>
              <w:right w:w="15" w:type="dxa"/>
            </w:tcMar>
            <w:vAlign w:val="center"/>
          </w:tcPr>
          <w:p w:rsidR="00386BA6" w:rsidRPr="00386BA6" w:rsidRDefault="00386BA6" w:rsidP="00386BA6">
            <w:pPr>
              <w:widowControl/>
              <w:spacing w:line="320" w:lineRule="exact"/>
              <w:rPr>
                <w:rFonts w:ascii="宋体" w:hAnsi="宋体" w:cs="宋体"/>
                <w:color w:val="000000"/>
                <w:kern w:val="0"/>
                <w:sz w:val="18"/>
                <w:szCs w:val="18"/>
              </w:rPr>
            </w:pPr>
            <w:r w:rsidRPr="00386BA6">
              <w:rPr>
                <w:rFonts w:ascii="宋体" w:hAnsi="宋体" w:cs="宋体" w:hint="eastAsia"/>
                <w:color w:val="000000"/>
                <w:kern w:val="0"/>
                <w:sz w:val="18"/>
                <w:szCs w:val="18"/>
              </w:rPr>
              <w:t>本理财产品不保障本金和收益。</w:t>
            </w:r>
          </w:p>
          <w:p w:rsidR="00E76F64" w:rsidRPr="00E76F64" w:rsidRDefault="00386BA6" w:rsidP="00386BA6">
            <w:pPr>
              <w:spacing w:line="320" w:lineRule="exact"/>
              <w:rPr>
                <w:rFonts w:ascii="宋体" w:hAnsi="宋体" w:cs="宋体"/>
                <w:color w:val="000000"/>
                <w:kern w:val="0"/>
                <w:sz w:val="18"/>
                <w:szCs w:val="18"/>
              </w:rPr>
            </w:pPr>
            <w:r w:rsidRPr="00386BA6">
              <w:rPr>
                <w:rFonts w:ascii="宋体" w:hAnsi="宋体" w:cs="宋体" w:hint="eastAsia"/>
                <w:color w:val="000000"/>
                <w:kern w:val="0"/>
                <w:sz w:val="18"/>
                <w:szCs w:val="18"/>
              </w:rPr>
              <w:t>投资者理财收益＝理财产品投资份额×理财产品到期时单位净值（扣减托管费、固定管理费、销售服务费及相关税费后）-客户投资本金-浮动管理费（如有）。</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2．本产品管理人按照产品资产净值收取年化0.2%的固定管理费。每日计提，于产品到期支付。</w:t>
            </w:r>
          </w:p>
          <w:p w:rsidR="00E76F64" w:rsidRDefault="00E76F64" w:rsidP="006A36BB">
            <w:pPr>
              <w:rPr>
                <w:rFonts w:ascii="宋体" w:hAnsi="宋体" w:cs="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386BA6" w:rsidRPr="006A36BB" w:rsidRDefault="00386BA6" w:rsidP="006A36BB">
            <w:pPr>
              <w:rPr>
                <w:rFonts w:ascii="宋体" w:hAnsi="宋体"/>
                <w:color w:val="000000"/>
                <w:kern w:val="0"/>
                <w:sz w:val="18"/>
                <w:szCs w:val="18"/>
              </w:rPr>
            </w:pPr>
            <w:r>
              <w:rPr>
                <w:rFonts w:ascii="宋体" w:hAnsi="宋体" w:cs="宋体" w:hint="eastAsia"/>
                <w:color w:val="000000"/>
                <w:kern w:val="0"/>
                <w:sz w:val="18"/>
                <w:szCs w:val="18"/>
              </w:rPr>
              <w:t>本产品估值外包服务机构不收取外包服务费。</w:t>
            </w:r>
          </w:p>
          <w:p w:rsidR="009D7723"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w:t>
            </w:r>
            <w:r w:rsidR="009D7723">
              <w:rPr>
                <w:rFonts w:ascii="宋体" w:hAnsi="宋体" w:cs="宋体" w:hint="eastAsia"/>
                <w:color w:val="000000"/>
                <w:kern w:val="0"/>
                <w:sz w:val="18"/>
                <w:szCs w:val="18"/>
              </w:rPr>
              <w:t>业绩计提基准</w:t>
            </w:r>
            <w:r w:rsidRPr="00E76F64">
              <w:rPr>
                <w:rFonts w:ascii="宋体" w:hAnsi="宋体" w:cs="宋体" w:hint="eastAsia"/>
                <w:color w:val="000000"/>
                <w:kern w:val="0"/>
                <w:sz w:val="18"/>
                <w:szCs w:val="18"/>
              </w:rPr>
              <w:t>，则产品管理人收取超过部分的</w:t>
            </w:r>
            <w:r w:rsidR="009D7723">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9D7723"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t>若产品到期时年化收益率小于或等于业绩计提基准，则产品管理人不收取浮动管理费。</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w:t>
            </w:r>
            <w:r w:rsidR="004C7498" w:rsidRPr="004C7498">
              <w:rPr>
                <w:rFonts w:ascii="宋体" w:hAnsi="宋体" w:cs="宋体" w:hint="eastAsia"/>
                <w:color w:val="000000"/>
                <w:kern w:val="0"/>
                <w:sz w:val="18"/>
                <w:szCs w:val="18"/>
              </w:rPr>
              <w:t>根据市场行情发生极端变化、监管部门政策要求使产品要素需做较大调整等因素宣布提前终止本理财计划。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4C7498" w:rsidRPr="00E76F64" w:rsidTr="00E93933">
        <w:trPr>
          <w:trHeight w:val="315"/>
          <w:jc w:val="center"/>
        </w:trPr>
        <w:tc>
          <w:tcPr>
            <w:tcW w:w="1978"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r w:rsidRPr="004C7498">
              <w:rPr>
                <w:rFonts w:ascii="宋体" w:hAnsi="宋体" w:cs="宋体" w:hint="eastAsia"/>
                <w:color w:val="000000"/>
                <w:kern w:val="0"/>
                <w:sz w:val="18"/>
                <w:szCs w:val="18"/>
              </w:rPr>
              <w:t>估值方法</w:t>
            </w:r>
          </w:p>
        </w:tc>
        <w:tc>
          <w:tcPr>
            <w:tcW w:w="7186"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r w:rsidRPr="004C7498">
              <w:rPr>
                <w:rFonts w:ascii="宋体" w:hAnsi="宋体" w:cs="宋体" w:hint="eastAsia"/>
                <w:color w:val="000000"/>
                <w:kern w:val="0"/>
                <w:sz w:val="18"/>
                <w:szCs w:val="18"/>
              </w:rPr>
              <w:t>本产品投资中信证券集合资产管理计划，参照中信证券集合资产管理计划每日计算出的资产净值及单位净值为基础估值，因投资的集合资产管理计划应用摊余成本法估值，故本产品估值方法实质为摊余成本法。</w:t>
            </w:r>
          </w:p>
        </w:tc>
      </w:tr>
      <w:tr w:rsidR="004C7498" w:rsidRPr="00E76F64" w:rsidTr="00E93933">
        <w:trPr>
          <w:trHeight w:val="315"/>
          <w:jc w:val="center"/>
        </w:trPr>
        <w:tc>
          <w:tcPr>
            <w:tcW w:w="1978"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r w:rsidRPr="004C7498">
              <w:rPr>
                <w:rFonts w:ascii="宋体" w:hAnsi="宋体" w:cs="宋体" w:hint="eastAsia"/>
                <w:color w:val="000000"/>
                <w:kern w:val="0"/>
                <w:sz w:val="18"/>
                <w:szCs w:val="18"/>
              </w:rPr>
              <w:t>估值日及估值频率</w:t>
            </w:r>
          </w:p>
        </w:tc>
        <w:tc>
          <w:tcPr>
            <w:tcW w:w="7186"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bookmarkStart w:id="1" w:name="_Hlk98852467"/>
            <w:r w:rsidRPr="004C7498">
              <w:rPr>
                <w:rFonts w:ascii="宋体" w:hAnsi="宋体" w:cs="宋体" w:hint="eastAsia"/>
                <w:color w:val="000000"/>
                <w:kern w:val="0"/>
                <w:sz w:val="18"/>
                <w:szCs w:val="18"/>
              </w:rPr>
              <w:t>每周第一个工作日公布上周最后一个工作日理财产品单位净值（扣减托管费、固定管理费、销售服务费及相关税费，但未扣减浮动管理费（如有））。估值日为上周最后一个工作日，估值公布日为当周第一个工作日。</w:t>
            </w:r>
            <w:bookmarkEnd w:id="1"/>
          </w:p>
        </w:tc>
      </w:tr>
      <w:tr w:rsidR="004C7498" w:rsidRPr="00E76F64" w:rsidTr="00E93933">
        <w:trPr>
          <w:trHeight w:val="315"/>
          <w:jc w:val="center"/>
        </w:trPr>
        <w:tc>
          <w:tcPr>
            <w:tcW w:w="1978" w:type="dxa"/>
            <w:tcMar>
              <w:top w:w="15" w:type="dxa"/>
              <w:left w:w="15" w:type="dxa"/>
              <w:bottom w:w="0" w:type="dxa"/>
              <w:right w:w="15" w:type="dxa"/>
            </w:tcMar>
            <w:vAlign w:val="center"/>
          </w:tcPr>
          <w:p w:rsidR="004C7498" w:rsidRPr="00E76F64" w:rsidRDefault="004C7498"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4C7498" w:rsidRPr="00E76F64" w:rsidRDefault="004C7498"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4C7498" w:rsidRPr="00E76F64" w:rsidRDefault="004C7498"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4C7498" w:rsidRPr="00E76F64" w:rsidRDefault="004C7498"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4C7498" w:rsidRPr="00E76F64" w:rsidRDefault="004C7498"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4C7498" w:rsidRDefault="004C7498" w:rsidP="00757A88">
      <w:pPr>
        <w:spacing w:line="360" w:lineRule="exact"/>
        <w:ind w:firstLineChars="200" w:firstLine="420"/>
        <w:rPr>
          <w:rFonts w:ascii="宋体" w:hAnsi="宋体" w:cs="宋体"/>
          <w:color w:val="000000"/>
          <w:kern w:val="0"/>
        </w:rPr>
      </w:pPr>
      <w:r w:rsidRPr="004C7498">
        <w:rPr>
          <w:rFonts w:ascii="宋体" w:hAnsi="宋体" w:cs="宋体" w:hint="eastAsia"/>
          <w:color w:val="000000"/>
          <w:kern w:val="0"/>
        </w:rPr>
        <w:t>每周第一个工作日公布上周最后一个工作日理财产品单位净值（扣减托管费、固定管理</w:t>
      </w:r>
      <w:r w:rsidRPr="004C7498">
        <w:rPr>
          <w:rFonts w:ascii="宋体" w:hAnsi="宋体" w:cs="宋体" w:hint="eastAsia"/>
          <w:color w:val="000000"/>
          <w:kern w:val="0"/>
        </w:rPr>
        <w:lastRenderedPageBreak/>
        <w:t>费、销售服务费及相关税费，但未扣减浮动管理费（如有））。估值日为上周最后一个工作日，估值公布日为当周第一个工作日。</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2B0184" w:rsidP="00757A88">
      <w:pPr>
        <w:pStyle w:val="a5"/>
        <w:numPr>
          <w:ilvl w:val="0"/>
          <w:numId w:val="4"/>
        </w:numPr>
        <w:spacing w:line="360" w:lineRule="exact"/>
        <w:ind w:firstLineChars="0"/>
        <w:rPr>
          <w:rFonts w:ascii="宋体" w:hAnsi="宋体" w:cs="Times New Roman"/>
          <w:color w:val="000000"/>
          <w:kern w:val="0"/>
        </w:rPr>
      </w:pPr>
      <w:r>
        <w:rPr>
          <w:rFonts w:ascii="宋体" w:hAnsi="宋体" w:cs="宋体" w:hint="eastAsia"/>
          <w:color w:val="000000"/>
          <w:kern w:val="0"/>
        </w:rPr>
        <w:t>估值方法</w:t>
      </w:r>
    </w:p>
    <w:p w:rsidR="002B0184" w:rsidRDefault="002B0184" w:rsidP="00757A88">
      <w:pPr>
        <w:pStyle w:val="ListParagraph1"/>
        <w:spacing w:line="360" w:lineRule="exact"/>
        <w:rPr>
          <w:rFonts w:ascii="宋体" w:hAnsi="宋体" w:cs="宋体"/>
          <w:color w:val="000000"/>
          <w:kern w:val="0"/>
        </w:rPr>
      </w:pPr>
      <w:r w:rsidRPr="002B0184">
        <w:rPr>
          <w:rFonts w:ascii="宋体" w:hAnsi="宋体" w:cs="宋体" w:hint="eastAsia"/>
          <w:color w:val="000000"/>
          <w:kern w:val="0"/>
        </w:rPr>
        <w:t>1、银行存款以成本列示，按商定的存款利率以当日银行营业终了的存款余额为基数在实际持有期间内逐日计提应收利息。</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2、回购以成本列示，按实际利率在回购期间内逐日计提应收或应付利息。</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3、持有的上市交易型货币市场基金，如披露份额净值，则按前一估值日基金净值估值；如披露万份（百份）收益，则按前一估值日（含节假日）的万份（百份）收益计提基金收益。非上市交易型货币市场基金，按前一估值日（含节假日）的万份收益计提基金收益。</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如遇到基金拆分、到期、转型及封转开等情况，管理人应根据基金公告与托管人共同协商确定估值办法。</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4、其他债权类资产按摊余成本法估值。</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如本集合计划持有资产不再符合摊余成本法的估值适用条件的，管理人根据具体情况与托管人商定后，对该些资产采用公允价值计量。</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5、按照企业会计准则的要求，及时评估和计提金融资产减值损失。</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估值技术是指管理人和托管人协商一致的，被市场参与者普遍认同，且被以往市场实际交易价格验证具有可靠性的确定公允价值的方法。</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如有上述未能涵盖的情形，由管理人和托管人以协商一致的方法进行估值。在任何情况下，管理人如采用上述方法对集合计划资产进行估值，均应被认为采用了适当的估值方法。国家有最新规定的，按其规定进行估值。</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如有确凿证据表明按上述规定不能客观反映集合计划资产公允价值的，管理人可根据具体情况，在综合考虑市场成交价、市场报价、流动性、收益率曲线等多种因素基础上，在与托管人商议后，按最能反映集合计划资产公允价值的方法估值。</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如有新增事项或变更事项，按国家有关最新规定估值。管理人应于新规定实施后及时在管理人网站或指定销售网点通告投资者。</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（五）估值程序</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日常估值由管理人进行，托管人进行复核。用于披露的资产净值由管理人完成估值后将估值结果交托管人，托管人按照规定的估值方法、时间与程序进行复核，由管理人对外公布。月末、年中和年末估值复核与</w:t>
      </w:r>
      <w:r>
        <w:rPr>
          <w:rFonts w:ascii="宋体" w:hAnsi="宋体" w:hint="eastAsia"/>
        </w:rPr>
        <w:t>本产品</w:t>
      </w:r>
      <w:r w:rsidRPr="003B010B">
        <w:rPr>
          <w:rFonts w:ascii="宋体" w:hAnsi="宋体" w:hint="eastAsia"/>
        </w:rPr>
        <w:t>会计账目的核对同时进行。</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2B0184" w:rsidRDefault="002B0184" w:rsidP="00757A88">
      <w:pPr>
        <w:spacing w:line="360" w:lineRule="exact"/>
        <w:ind w:firstLineChars="200" w:firstLine="420"/>
        <w:rPr>
          <w:rFonts w:ascii="宋体" w:hAnsi="宋体" w:cs="宋体"/>
          <w:kern w:val="0"/>
        </w:rPr>
      </w:pPr>
      <w:r w:rsidRPr="002B0184">
        <w:rPr>
          <w:rFonts w:ascii="宋体" w:hAnsi="宋体" w:cs="宋体" w:hint="eastAsia"/>
          <w:kern w:val="0"/>
        </w:rPr>
        <w:t>投资者理财收益＝理财产品投资份额×理财产品到期时单位净值（扣减托管费、固定管理费、销售服务费及相关税费后）-客户投资本金-浮动管理费（如有）。</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w:t>
      </w:r>
      <w:r w:rsidRPr="00AB67C0">
        <w:rPr>
          <w:rFonts w:ascii="宋体" w:hAnsi="宋体" w:cs="宋体" w:hint="eastAsia"/>
          <w:kern w:val="0"/>
        </w:rPr>
        <w:lastRenderedPageBreak/>
        <w:t>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w:t>
      </w:r>
      <w:r w:rsidR="002B0184">
        <w:rPr>
          <w:rFonts w:ascii="宋体" w:hAnsi="宋体" w:hint="eastAsia"/>
        </w:rPr>
        <w:t>计提</w:t>
      </w:r>
      <w:r w:rsidRPr="00AB67C0">
        <w:rPr>
          <w:rFonts w:ascii="宋体" w:hAnsi="宋体" w:hint="eastAsia"/>
        </w:rPr>
        <w:t>基准的部分管理人</w:t>
      </w:r>
      <w:r w:rsidR="00136C22">
        <w:rPr>
          <w:rFonts w:ascii="宋体" w:hAnsi="宋体" w:hint="eastAsia"/>
        </w:rPr>
        <w:t>提取</w:t>
      </w:r>
      <w:r w:rsidR="002B0184">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002B0184">
        <w:rPr>
          <w:rFonts w:ascii="宋体" w:hAnsi="宋体" w:cs="宋体" w:hint="eastAsia"/>
          <w:bCs/>
        </w:rPr>
        <w:t>若小于或等于业绩计提</w:t>
      </w:r>
      <w:r w:rsidRPr="00AB67C0">
        <w:rPr>
          <w:rFonts w:ascii="宋体" w:hAnsi="宋体" w:cs="宋体" w:hint="eastAsia"/>
          <w:bCs/>
        </w:rPr>
        <w:t>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3F1C50" w:rsidP="00757A88">
      <w:pPr>
        <w:spacing w:line="360" w:lineRule="exact"/>
        <w:ind w:firstLineChars="196" w:firstLine="413"/>
        <w:rPr>
          <w:rFonts w:ascii="宋体" w:hAnsi="宋体"/>
          <w:b/>
          <w:bCs/>
          <w:kern w:val="0"/>
        </w:rPr>
      </w:pPr>
      <w:r>
        <w:rPr>
          <w:rFonts w:ascii="宋体" w:hAnsi="宋体" w:cs="宋体" w:hint="eastAsia"/>
          <w:b/>
          <w:bCs/>
          <w:kern w:val="0"/>
        </w:rPr>
        <w:t>示例一：扣除托管费、固定管理费后，投资收益率超越业绩计提</w:t>
      </w:r>
      <w:r w:rsidR="00C03E6A" w:rsidRPr="00AB67C0">
        <w:rPr>
          <w:rFonts w:ascii="宋体" w:hAnsi="宋体" w:cs="宋体" w:hint="eastAsia"/>
          <w:b/>
          <w:bCs/>
          <w:kern w:val="0"/>
        </w:rPr>
        <w:t>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2B0184">
        <w:rPr>
          <w:rFonts w:ascii="宋体" w:hAnsi="宋体" w:hint="eastAsia"/>
        </w:rPr>
        <w:t>0.6</w:t>
      </w:r>
      <w:r>
        <w:rPr>
          <w:rFonts w:ascii="宋体" w:hAnsi="宋体" w:hint="eastAsia"/>
        </w:rPr>
        <w:t>%</w:t>
      </w:r>
      <w:r w:rsidR="002B0184">
        <w:rPr>
          <w:rFonts w:ascii="宋体" w:hAnsi="宋体" w:hint="eastAsia"/>
        </w:rPr>
        <w:t>作为浮动管理费，产品业绩计提</w:t>
      </w:r>
      <w:r w:rsidRPr="00AB67C0">
        <w:rPr>
          <w:rFonts w:ascii="宋体" w:hAnsi="宋体" w:hint="eastAsia"/>
        </w:rPr>
        <w:t>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100,000.00×1.00×(6.20%-5.60%)×</w:t>
      </w:r>
      <w:r w:rsidR="002B0184">
        <w:rPr>
          <w:rFonts w:ascii="宋体" w:hAnsi="宋体" w:hint="eastAsia"/>
        </w:rPr>
        <w:t>0.6</w:t>
      </w:r>
      <w:r w:rsidRPr="00AB67C0">
        <w:rPr>
          <w:rFonts w:ascii="宋体" w:hAnsi="宋体" w:hint="eastAsia"/>
        </w:rPr>
        <w:t>%×362÷365=</w:t>
      </w:r>
      <w:r w:rsidR="001B660A">
        <w:rPr>
          <w:rFonts w:ascii="宋体" w:hAnsi="宋体" w:hint="eastAsia"/>
        </w:rPr>
        <w:t>357.04</w:t>
      </w:r>
      <w:r w:rsidRPr="00AB67C0">
        <w:rPr>
          <w:rFonts w:ascii="宋体" w:hAnsi="宋体" w:hint="eastAsia"/>
        </w:rPr>
        <w:t>（元）</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757A88">
      <w:pPr>
        <w:spacing w:line="360" w:lineRule="exact"/>
        <w:ind w:firstLineChars="196" w:firstLine="412"/>
        <w:rPr>
          <w:rFonts w:ascii="宋体" w:hAnsi="宋体"/>
        </w:rPr>
      </w:pPr>
      <w:r w:rsidRPr="00AB67C0">
        <w:rPr>
          <w:rFonts w:ascii="宋体" w:hAnsi="宋体" w:hint="eastAsia"/>
        </w:rPr>
        <w:t>100,000.00×（1.0615-1.00）-</w:t>
      </w:r>
      <w:r w:rsidR="001B660A">
        <w:rPr>
          <w:rFonts w:ascii="宋体" w:hAnsi="宋体" w:hint="eastAsia"/>
        </w:rPr>
        <w:t>357.04</w:t>
      </w:r>
      <w:r w:rsidRPr="00AB67C0">
        <w:rPr>
          <w:rFonts w:ascii="宋体" w:hAnsi="宋体" w:hint="eastAsia"/>
        </w:rPr>
        <w:t>=</w:t>
      </w:r>
      <w:r>
        <w:rPr>
          <w:rFonts w:ascii="宋体" w:hAnsi="宋体" w:hint="eastAsia"/>
        </w:rPr>
        <w:t>5</w:t>
      </w:r>
      <w:r w:rsidR="001B660A">
        <w:rPr>
          <w:rFonts w:ascii="宋体" w:hAnsi="宋体" w:hint="eastAsia"/>
        </w:rPr>
        <w:t>792.96</w:t>
      </w:r>
      <w:r w:rsidRPr="00AB67C0">
        <w:rPr>
          <w:rFonts w:ascii="宋体" w:hAnsi="宋体" w:hint="eastAsia"/>
        </w:rPr>
        <w:t>（元），产品到期时，客户获得的实际收益相当于达到年化收益率水平为：</w:t>
      </w:r>
      <w:r w:rsidR="001B660A">
        <w:rPr>
          <w:rFonts w:ascii="宋体" w:hAnsi="宋体" w:hint="eastAsia"/>
        </w:rPr>
        <w:t>5792.96</w:t>
      </w:r>
      <w:r w:rsidRPr="00AB67C0">
        <w:rPr>
          <w:rFonts w:ascii="宋体" w:hAnsi="宋体" w:hint="eastAsia"/>
        </w:rPr>
        <w:t>/100,000.00×365/362=</w:t>
      </w:r>
      <w:r w:rsidR="001B660A">
        <w:rPr>
          <w:rFonts w:ascii="宋体" w:hAnsi="宋体" w:hint="eastAsia"/>
        </w:rPr>
        <w:t>5.84</w:t>
      </w:r>
      <w:r w:rsidRPr="00AB67C0">
        <w:rPr>
          <w:rFonts w:ascii="宋体" w:hAnsi="宋体" w:hint="eastAsia"/>
        </w:rPr>
        <w:t>%。</w:t>
      </w:r>
    </w:p>
    <w:p w:rsidR="00C03E6A" w:rsidRPr="00AB67C0" w:rsidRDefault="003F1C50" w:rsidP="00757A88">
      <w:pPr>
        <w:spacing w:line="360" w:lineRule="exact"/>
        <w:ind w:firstLineChars="196" w:firstLine="413"/>
        <w:rPr>
          <w:rFonts w:ascii="宋体" w:hAnsi="宋体"/>
          <w:b/>
          <w:bCs/>
          <w:kern w:val="0"/>
        </w:rPr>
      </w:pPr>
      <w:r>
        <w:rPr>
          <w:rFonts w:ascii="宋体" w:hAnsi="宋体" w:cs="宋体" w:hint="eastAsia"/>
          <w:b/>
          <w:bCs/>
          <w:kern w:val="0"/>
        </w:rPr>
        <w:t>示例二：扣除托管费、固定管理费后，投资收益率未达到业绩计提</w:t>
      </w:r>
      <w:r w:rsidR="00C03E6A" w:rsidRPr="00AB67C0">
        <w:rPr>
          <w:rFonts w:ascii="宋体" w:hAnsi="宋体" w:cs="宋体" w:hint="eastAsia"/>
          <w:b/>
          <w:bCs/>
          <w:kern w:val="0"/>
        </w:rPr>
        <w:t>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003F1C50">
        <w:rPr>
          <w:rFonts w:ascii="宋体" w:hAnsi="宋体" w:cs="宋体" w:hint="eastAsia"/>
          <w:kern w:val="0"/>
        </w:rPr>
        <w:t>产品业绩计提</w:t>
      </w:r>
      <w:r w:rsidRPr="00AB67C0">
        <w:rPr>
          <w:rFonts w:ascii="宋体" w:hAnsi="宋体" w:cs="宋体" w:hint="eastAsia"/>
          <w:kern w:val="0"/>
        </w:rPr>
        <w:t>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w:t>
      </w:r>
      <w:r w:rsidR="003F1C50">
        <w:rPr>
          <w:rFonts w:ascii="宋体" w:hAnsi="宋体" w:hint="eastAsia"/>
        </w:rPr>
        <w:t>，即投资收益未达到业绩计提</w:t>
      </w:r>
      <w:r w:rsidRPr="00AB67C0">
        <w:rPr>
          <w:rFonts w:ascii="宋体" w:hAnsi="宋体" w:hint="eastAsia"/>
        </w:rPr>
        <w:t>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003F1C50">
        <w:rPr>
          <w:rFonts w:ascii="宋体" w:hAnsi="宋体" w:hint="eastAsia"/>
        </w:rPr>
        <w:t>管理人提取超过业绩计提</w:t>
      </w:r>
      <w:r w:rsidRPr="00AB67C0">
        <w:rPr>
          <w:rFonts w:ascii="宋体" w:hAnsi="宋体" w:hint="eastAsia"/>
        </w:rPr>
        <w:t>部分作为浮</w:t>
      </w:r>
      <w:r w:rsidRPr="00AB67C0">
        <w:rPr>
          <w:rFonts w:ascii="宋体" w:hAnsi="宋体" w:hint="eastAsia"/>
        </w:rPr>
        <w:lastRenderedPageBreak/>
        <w:t>动管理费，</w:t>
      </w:r>
      <w:r w:rsidR="003F1C50">
        <w:rPr>
          <w:rFonts w:ascii="宋体" w:hAnsi="宋体" w:cs="宋体" w:hint="eastAsia"/>
          <w:kern w:val="0"/>
        </w:rPr>
        <w:t>产品业绩计提</w:t>
      </w:r>
      <w:r w:rsidRPr="00AB67C0">
        <w:rPr>
          <w:rFonts w:ascii="宋体" w:hAnsi="宋体" w:cs="宋体" w:hint="eastAsia"/>
          <w:kern w:val="0"/>
        </w:rPr>
        <w:t>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DD4012"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DD4012" w:rsidRPr="00DD4012" w:rsidRDefault="00DD4012" w:rsidP="00DD4012">
      <w:pPr>
        <w:pStyle w:val="Default"/>
        <w:tabs>
          <w:tab w:val="left" w:pos="0"/>
        </w:tabs>
        <w:adjustRightInd/>
        <w:spacing w:line="360" w:lineRule="exact"/>
        <w:ind w:left="424"/>
        <w:rPr>
          <w:rFonts w:ascii="宋体" w:hAnsi="宋体" w:cs="宋体"/>
          <w:sz w:val="21"/>
          <w:szCs w:val="21"/>
        </w:rPr>
      </w:pPr>
      <w:r w:rsidRPr="00DD4012">
        <w:rPr>
          <w:rFonts w:ascii="宋体" w:hAnsi="宋体" w:cs="宋体" w:hint="eastAsia"/>
          <w:sz w:val="21"/>
          <w:szCs w:val="21"/>
        </w:rPr>
        <w:t>每周第一个工作日公布上周最后一个工作日理财产品单位净值（扣减托管费、固定管理费、销售服务费及相关税费，但未扣减浮动管理费（如有））。估值日为上周最后一个工作日，估值公布日为当周第一个工作日。</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C7" w:rsidRDefault="003302C7" w:rsidP="00C03E6A">
      <w:r>
        <w:separator/>
      </w:r>
    </w:p>
  </w:endnote>
  <w:endnote w:type="continuationSeparator" w:id="0">
    <w:p w:rsidR="003302C7" w:rsidRDefault="003302C7"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C7" w:rsidRDefault="003302C7" w:rsidP="00C03E6A">
      <w:r>
        <w:separator/>
      </w:r>
    </w:p>
  </w:footnote>
  <w:footnote w:type="continuationSeparator" w:id="0">
    <w:p w:rsidR="003302C7" w:rsidRDefault="003302C7"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33F7D"/>
    <w:rsid w:val="00044312"/>
    <w:rsid w:val="00046437"/>
    <w:rsid w:val="00077634"/>
    <w:rsid w:val="000831AE"/>
    <w:rsid w:val="00096E65"/>
    <w:rsid w:val="000A6AEC"/>
    <w:rsid w:val="000F0C2A"/>
    <w:rsid w:val="000F1D0D"/>
    <w:rsid w:val="000F7EAF"/>
    <w:rsid w:val="00136C22"/>
    <w:rsid w:val="00141CC0"/>
    <w:rsid w:val="001644FD"/>
    <w:rsid w:val="00176387"/>
    <w:rsid w:val="00176761"/>
    <w:rsid w:val="001864A1"/>
    <w:rsid w:val="001A30AF"/>
    <w:rsid w:val="001B3C27"/>
    <w:rsid w:val="001B660A"/>
    <w:rsid w:val="001D0CAB"/>
    <w:rsid w:val="001D203D"/>
    <w:rsid w:val="001F6119"/>
    <w:rsid w:val="001F72A7"/>
    <w:rsid w:val="00235CCD"/>
    <w:rsid w:val="002A44D6"/>
    <w:rsid w:val="002B0184"/>
    <w:rsid w:val="002B42AB"/>
    <w:rsid w:val="002C022A"/>
    <w:rsid w:val="002C2409"/>
    <w:rsid w:val="002F4F5A"/>
    <w:rsid w:val="00315985"/>
    <w:rsid w:val="003302C7"/>
    <w:rsid w:val="003521A8"/>
    <w:rsid w:val="003607F3"/>
    <w:rsid w:val="00360A19"/>
    <w:rsid w:val="00361D6F"/>
    <w:rsid w:val="00386BA6"/>
    <w:rsid w:val="003A50DC"/>
    <w:rsid w:val="003B5F67"/>
    <w:rsid w:val="003C5054"/>
    <w:rsid w:val="003F1C50"/>
    <w:rsid w:val="003F2EF7"/>
    <w:rsid w:val="0040135F"/>
    <w:rsid w:val="00401BB5"/>
    <w:rsid w:val="00437780"/>
    <w:rsid w:val="00456C39"/>
    <w:rsid w:val="00476BA6"/>
    <w:rsid w:val="00490804"/>
    <w:rsid w:val="004B305C"/>
    <w:rsid w:val="004C69B7"/>
    <w:rsid w:val="004C7498"/>
    <w:rsid w:val="00503074"/>
    <w:rsid w:val="00587F86"/>
    <w:rsid w:val="005A43C8"/>
    <w:rsid w:val="005A61B6"/>
    <w:rsid w:val="005B10E1"/>
    <w:rsid w:val="005F0467"/>
    <w:rsid w:val="00611A64"/>
    <w:rsid w:val="00612C28"/>
    <w:rsid w:val="00640D35"/>
    <w:rsid w:val="006623B8"/>
    <w:rsid w:val="0067679D"/>
    <w:rsid w:val="00684E08"/>
    <w:rsid w:val="006A36BB"/>
    <w:rsid w:val="006A5040"/>
    <w:rsid w:val="006A659C"/>
    <w:rsid w:val="006E36EA"/>
    <w:rsid w:val="006E423A"/>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5F6E"/>
    <w:rsid w:val="008E77F5"/>
    <w:rsid w:val="00931432"/>
    <w:rsid w:val="00940BF2"/>
    <w:rsid w:val="009421B9"/>
    <w:rsid w:val="00942DBF"/>
    <w:rsid w:val="00975ED0"/>
    <w:rsid w:val="00991D0C"/>
    <w:rsid w:val="009B48A1"/>
    <w:rsid w:val="009D7723"/>
    <w:rsid w:val="009D7F3C"/>
    <w:rsid w:val="009E1194"/>
    <w:rsid w:val="00A0472D"/>
    <w:rsid w:val="00A55CDF"/>
    <w:rsid w:val="00A57D54"/>
    <w:rsid w:val="00A64C74"/>
    <w:rsid w:val="00A759AA"/>
    <w:rsid w:val="00A81EF4"/>
    <w:rsid w:val="00AA0CBB"/>
    <w:rsid w:val="00AA2DA2"/>
    <w:rsid w:val="00AE685A"/>
    <w:rsid w:val="00B068F3"/>
    <w:rsid w:val="00B22461"/>
    <w:rsid w:val="00B260FA"/>
    <w:rsid w:val="00B31A11"/>
    <w:rsid w:val="00B508A8"/>
    <w:rsid w:val="00B56320"/>
    <w:rsid w:val="00B8090E"/>
    <w:rsid w:val="00BC0C27"/>
    <w:rsid w:val="00BF4DC9"/>
    <w:rsid w:val="00BF4FF2"/>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012"/>
    <w:rsid w:val="00DD41D7"/>
    <w:rsid w:val="00DD738C"/>
    <w:rsid w:val="00E2665B"/>
    <w:rsid w:val="00E3072D"/>
    <w:rsid w:val="00E33434"/>
    <w:rsid w:val="00E37B0A"/>
    <w:rsid w:val="00E4485B"/>
    <w:rsid w:val="00E51A88"/>
    <w:rsid w:val="00E6239E"/>
    <w:rsid w:val="00E76F64"/>
    <w:rsid w:val="00E93933"/>
    <w:rsid w:val="00E96A0E"/>
    <w:rsid w:val="00EB7CAF"/>
    <w:rsid w:val="00F00B67"/>
    <w:rsid w:val="00F0690A"/>
    <w:rsid w:val="00F07E38"/>
    <w:rsid w:val="00F273E3"/>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8</Pages>
  <Words>2193</Words>
  <Characters>12503</Characters>
  <Application>Microsoft Office Word</Application>
  <DocSecurity>0</DocSecurity>
  <Lines>104</Lines>
  <Paragraphs>29</Paragraphs>
  <ScaleCrop>false</ScaleCrop>
  <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146</cp:revision>
  <dcterms:created xsi:type="dcterms:W3CDTF">2020-04-28T03:10:00Z</dcterms:created>
  <dcterms:modified xsi:type="dcterms:W3CDTF">2023-02-05T07:31:00Z</dcterms:modified>
</cp:coreProperties>
</file>