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w:t>
      </w:r>
      <w:r>
        <w:rPr>
          <w:rFonts w:hint="eastAsia" w:ascii="宋体" w:hAnsi="宋体"/>
          <w:b/>
          <w:sz w:val="32"/>
          <w:szCs w:val="32"/>
        </w:rPr>
        <w:t>丰收信福1号”2023年第3期</w:t>
      </w:r>
      <w:r>
        <w:rPr>
          <w:rFonts w:hint="eastAsia" w:ascii="宋体" w:hAnsi="宋体" w:cs="宋体"/>
          <w:b/>
          <w:bCs/>
          <w:sz w:val="32"/>
          <w:szCs w:val="32"/>
        </w:rPr>
        <w:t>人民币理财产品说明书</w:t>
      </w:r>
    </w:p>
    <w:p>
      <w:pPr>
        <w:spacing w:line="360" w:lineRule="exact"/>
        <w:jc w:val="center"/>
        <w:rPr>
          <w:rFonts w:ascii="宋体" w:hAnsi="宋体"/>
          <w:b/>
          <w:bCs/>
          <w:sz w:val="32"/>
          <w:szCs w:val="32"/>
        </w:rPr>
      </w:pP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1. 本产品不等同于银行存款和预期收益型理财产品。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Pr>
          <w:rFonts w:hint="eastAsia" w:ascii="宋体" w:hAnsi="宋体" w:cs="宋体"/>
          <w:b/>
          <w:sz w:val="21"/>
          <w:szCs w:val="21"/>
        </w:rPr>
        <w:t xml:space="preserve">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b/>
          <w:bCs/>
          <w:color w:val="auto"/>
          <w:sz w:val="21"/>
          <w:szCs w:val="21"/>
        </w:rPr>
        <w:t>《新昌农商银行“丰收信福1号”人民币理财产品风险揭示书》、《新昌农商银行“丰收信福1号”人民币理财产品客户权益须知》、《新昌农商银行“丰收信福1号”2023年第3期人民币理财产品说明书》、《新昌农商行“丰收信福1号”人民币理财产品协议书》及业务凭证</w:t>
      </w:r>
      <w:r>
        <w:rPr>
          <w:rFonts w:hint="eastAsia" w:ascii="宋体" w:hAnsi="宋体" w:cs="宋体"/>
          <w:b/>
          <w:sz w:val="21"/>
          <w:szCs w:val="21"/>
        </w:rPr>
        <w:t>，将共同构成客户与新昌农商银行之间的理财计划交易合同。</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本说明书中，除非另有明确说明，否则下列词语或简称具有如下含义：</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产品/理财计划：指新昌农商银行“丰收信福1号”人民币理财产品。</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发行银行：指浙江新昌农村商业银行股份有限公司。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销售银行：指浙江新昌农村商业银行股份有限公司。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产品管理人：指浙江新昌农村商业银行股份有限公司。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产品托管人：指招商银行股份有限公司杭州分行。</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估值外包机构：指招商银行股份有限公司。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理财合作机构：中信证券股份有限公司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理财产品认购期：是指银行接受客户认购本理财产品的起止期限。</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工作日：除双休日和国家法定假日外的法定工作日。</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投资周期：本理财产品投资周期是指产品成立日（含）至产品到期日（不含）之间的时间。</w:t>
      </w:r>
    </w:p>
    <w:p>
      <w:pPr>
        <w:pStyle w:val="4"/>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p>
      <w:pPr>
        <w:pStyle w:val="10"/>
        <w:spacing w:line="360" w:lineRule="exact"/>
        <w:ind w:firstLine="0" w:firstLineChars="0"/>
        <w:rPr>
          <w:rFonts w:ascii="宋体" w:hAnsi="宋体" w:cs="宋体"/>
          <w:color w:val="000000"/>
          <w:kern w:val="0"/>
          <w:szCs w:val="21"/>
        </w:rPr>
      </w:pPr>
      <w:r>
        <w:rPr>
          <w:rFonts w:hint="eastAsia" w:ascii="宋体" w:hAnsi="宋体" w:cs="宋体"/>
          <w:color w:val="000000"/>
          <w:kern w:val="0"/>
          <w:szCs w:val="21"/>
        </w:rPr>
        <w:t>浙江新昌农村商业银行股份有限公司理财产品风险评级说明：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风险等级</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评级说明</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PR1级（低风险）</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理财本金没有风险，理财投资收益随投资表现变动，总体风险程度很低。</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PR2级（中低风险）</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理财本金遭受损失的可能性较低，在本金未遭受损失的前提下，实现理财投资收益的可能性较高。</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PR3级（中等风险）</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不承诺理财本金的保障，理财投资收益随投资表现变动，总体风险保持适中水平。</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PR4级（中高风险）</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理财本金和理财投资收益都面临较大的不确定性，总体风险程度较高。</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PR5级（高风险）</w:t>
            </w:r>
          </w:p>
        </w:tc>
        <w:tc>
          <w:tcPr>
            <w:tcW w:w="3588"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理财本金可能出现重大损失，投资收益面临很大的不确定性，总体风险程度高。</w:t>
            </w:r>
          </w:p>
        </w:tc>
        <w:tc>
          <w:tcPr>
            <w:tcW w:w="2841" w:type="dxa"/>
            <w:shd w:val="clear" w:color="auto" w:fill="auto"/>
          </w:tcPr>
          <w:p>
            <w:pPr>
              <w:autoSpaceDE w:val="0"/>
              <w:autoSpaceDN w:val="0"/>
              <w:adjustRightInd w:val="0"/>
              <w:spacing w:line="320" w:lineRule="exact"/>
              <w:jc w:val="left"/>
              <w:rPr>
                <w:rFonts w:ascii="宋体" w:hAnsi="宋体"/>
                <w:color w:val="000000"/>
                <w:kern w:val="0"/>
                <w:sz w:val="22"/>
              </w:rPr>
            </w:pPr>
            <w:r>
              <w:rPr>
                <w:rFonts w:hint="eastAsia" w:ascii="宋体" w:hAnsi="宋体"/>
                <w:color w:val="000000"/>
                <w:kern w:val="0"/>
                <w:sz w:val="22"/>
              </w:rPr>
              <w:t>激进型</w:t>
            </w:r>
          </w:p>
        </w:tc>
      </w:tr>
    </w:tbl>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5"/>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3"/>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8"/>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产品名称</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新昌农商银行丰收信福1号2023年第3期人民币理财产品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产品编号</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ascii="宋体" w:hAnsi="宋体"/>
                <w:color w:val="000000"/>
                <w:kern w:val="0"/>
                <w:sz w:val="18"/>
                <w:szCs w:val="18"/>
              </w:rPr>
              <w:t>SXXC</w:t>
            </w:r>
            <w:r>
              <w:rPr>
                <w:rFonts w:hint="eastAsia" w:ascii="宋体" w:hAnsi="宋体"/>
                <w:color w:val="000000"/>
                <w:kern w:val="0"/>
                <w:sz w:val="18"/>
                <w:szCs w:val="18"/>
              </w:rPr>
              <w:t>FSXF01</w:t>
            </w:r>
            <w:r>
              <w:rPr>
                <w:rFonts w:ascii="宋体" w:hAnsi="宋体"/>
                <w:color w:val="000000"/>
                <w:kern w:val="0"/>
                <w:sz w:val="18"/>
                <w:szCs w:val="18"/>
              </w:rPr>
              <w:t>202</w:t>
            </w:r>
            <w:r>
              <w:rPr>
                <w:rFonts w:hint="eastAsia" w:ascii="宋体" w:hAnsi="宋体"/>
                <w:color w:val="000000"/>
                <w:kern w:val="0"/>
                <w:sz w:val="18"/>
                <w:szCs w:val="1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产品登记编码</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该产品在全国银行业理财信息登记系统的登记编码是</w:t>
            </w:r>
            <w:r>
              <w:rPr>
                <w:rFonts w:ascii="宋体" w:hAnsi="宋体" w:cs="宋体"/>
                <w:color w:val="000000"/>
                <w:kern w:val="0"/>
                <w:sz w:val="18"/>
                <w:szCs w:val="18"/>
              </w:rPr>
              <w:t>C112512</w:t>
            </w:r>
            <w:r>
              <w:rPr>
                <w:rFonts w:hint="eastAsia" w:ascii="宋体" w:hAnsi="宋体" w:cs="宋体"/>
                <w:color w:val="000000"/>
                <w:kern w:val="0"/>
                <w:sz w:val="18"/>
                <w:szCs w:val="18"/>
              </w:rPr>
              <w:t>3</w:t>
            </w:r>
            <w:r>
              <w:rPr>
                <w:rFonts w:ascii="宋体" w:hAnsi="宋体" w:cs="宋体"/>
                <w:color w:val="000000"/>
                <w:kern w:val="0"/>
                <w:sz w:val="18"/>
                <w:szCs w:val="18"/>
              </w:rPr>
              <w:t>000</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,客户可依据该编码在“中国理财网（</w:t>
            </w:r>
            <w:r>
              <w:rPr>
                <w:rFonts w:ascii="宋体" w:hAnsi="宋体" w:cs="宋体"/>
                <w:color w:val="000000"/>
                <w:kern w:val="0"/>
                <w:sz w:val="18"/>
                <w:szCs w:val="18"/>
              </w:rPr>
              <w:t>www.chinawealth.com.cn</w:t>
            </w:r>
            <w:r>
              <w:rPr>
                <w:rFonts w:hint="eastAsia" w:ascii="宋体" w:hAnsi="宋体" w:cs="宋体"/>
                <w:color w:val="000000"/>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适用客户</w:t>
            </w:r>
          </w:p>
        </w:tc>
        <w:tc>
          <w:tcPr>
            <w:tcW w:w="7186" w:type="dxa"/>
            <w:tcMar>
              <w:top w:w="15" w:type="dxa"/>
              <w:left w:w="15" w:type="dxa"/>
              <w:bottom w:w="0" w:type="dxa"/>
              <w:right w:w="15" w:type="dxa"/>
            </w:tcMar>
            <w:vAlign w:val="center"/>
          </w:tcPr>
          <w:p>
            <w:pPr>
              <w:widowControl/>
              <w:spacing w:line="320" w:lineRule="exact"/>
              <w:jc w:val="left"/>
              <w:rPr>
                <w:rFonts w:ascii="宋体" w:hAnsi="宋体" w:cs="宋体"/>
                <w:b/>
                <w:kern w:val="0"/>
                <w:sz w:val="18"/>
                <w:szCs w:val="18"/>
              </w:rPr>
            </w:pPr>
            <w:r>
              <w:rPr>
                <w:rFonts w:hint="eastAsia" w:ascii="宋体" w:hAnsi="宋体" w:cs="宋体"/>
                <w:color w:val="000000"/>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color w:val="000000"/>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销售渠道</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个人客户可通过新昌农商银行的营业网点、手机银行等渠道购买。</w:t>
            </w:r>
          </w:p>
          <w:p>
            <w:pPr>
              <w:spacing w:line="320" w:lineRule="exact"/>
              <w:rPr>
                <w:rFonts w:ascii="宋体" w:hAnsi="宋体"/>
                <w:color w:val="000000"/>
                <w:kern w:val="0"/>
                <w:sz w:val="30"/>
                <w:szCs w:val="20"/>
              </w:rPr>
            </w:pPr>
            <w:r>
              <w:rPr>
                <w:rFonts w:hint="eastAsia" w:ascii="宋体" w:hAnsi="宋体" w:cs="宋体"/>
                <w:color w:val="000000"/>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交易币种</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起点认购金额</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认购起点金额</w:t>
            </w:r>
            <w:r>
              <w:rPr>
                <w:rFonts w:ascii="宋体" w:hAnsi="宋体" w:cs="宋体"/>
                <w:color w:val="000000"/>
                <w:kern w:val="0"/>
                <w:sz w:val="18"/>
                <w:szCs w:val="18"/>
              </w:rPr>
              <w:t>1万元</w:t>
            </w:r>
            <w:r>
              <w:rPr>
                <w:rFonts w:hint="eastAsia" w:ascii="宋体" w:hAnsi="宋体" w:cs="宋体"/>
                <w:color w:val="000000"/>
                <w:kern w:val="0"/>
                <w:sz w:val="18"/>
                <w:szCs w:val="18"/>
              </w:rPr>
              <w:t>整，超过起点部分，应为</w:t>
            </w:r>
            <w:r>
              <w:rPr>
                <w:rFonts w:ascii="宋体" w:hAnsi="宋体" w:cs="宋体"/>
                <w:color w:val="000000"/>
                <w:kern w:val="0"/>
                <w:sz w:val="18"/>
                <w:szCs w:val="18"/>
              </w:rPr>
              <w:t>1000</w:t>
            </w:r>
            <w:r>
              <w:rPr>
                <w:rFonts w:hint="eastAsia" w:ascii="宋体" w:hAnsi="宋体" w:cs="宋体"/>
                <w:color w:val="000000"/>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产品类型</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投资性质</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产品规模</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规模下限为</w:t>
            </w:r>
            <w:r>
              <w:rPr>
                <w:rFonts w:ascii="宋体" w:hAnsi="宋体" w:cs="宋体"/>
                <w:color w:val="000000"/>
                <w:kern w:val="0"/>
                <w:sz w:val="18"/>
                <w:szCs w:val="18"/>
              </w:rPr>
              <w:t>30</w:t>
            </w:r>
            <w:r>
              <w:rPr>
                <w:rFonts w:hint="eastAsia" w:ascii="宋体" w:hAnsi="宋体" w:cs="宋体"/>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产品认购期</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2023年1月19日至2023年1月29日。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产品成立日</w:t>
            </w:r>
          </w:p>
        </w:tc>
        <w:tc>
          <w:tcPr>
            <w:tcW w:w="7186" w:type="dxa"/>
            <w:tcMar>
              <w:top w:w="15" w:type="dxa"/>
              <w:left w:w="15" w:type="dxa"/>
              <w:bottom w:w="0" w:type="dxa"/>
              <w:right w:w="15" w:type="dxa"/>
            </w:tcMar>
            <w:vAlign w:val="center"/>
          </w:tcPr>
          <w:p>
            <w:pPr>
              <w:spacing w:line="320" w:lineRule="exact"/>
              <w:rPr>
                <w:rFonts w:ascii="宋体" w:hAnsi="宋体"/>
                <w:color w:val="000000"/>
                <w:kern w:val="0"/>
              </w:rPr>
            </w:pPr>
            <w:r>
              <w:rPr>
                <w:rFonts w:ascii="宋体" w:hAnsi="宋体" w:cs="宋体"/>
                <w:color w:val="000000"/>
                <w:kern w:val="0"/>
                <w:sz w:val="18"/>
                <w:szCs w:val="18"/>
              </w:rPr>
              <w:t>20</w:t>
            </w:r>
            <w:r>
              <w:rPr>
                <w:rFonts w:hint="eastAsia" w:ascii="宋体" w:hAnsi="宋体" w:cs="宋体"/>
                <w:color w:val="000000"/>
                <w:kern w:val="0"/>
                <w:sz w:val="18"/>
                <w:szCs w:val="18"/>
              </w:rPr>
              <w:t>23年1月30日。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78"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产品到期日</w:t>
            </w:r>
          </w:p>
        </w:tc>
        <w:tc>
          <w:tcPr>
            <w:tcW w:w="7186"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24年7月30日。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 w:hRule="atLeast"/>
          <w:jc w:val="center"/>
        </w:trPr>
        <w:tc>
          <w:tcPr>
            <w:tcW w:w="1978"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理财期限</w:t>
            </w:r>
          </w:p>
        </w:tc>
        <w:tc>
          <w:tcPr>
            <w:tcW w:w="7186"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547天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资金到账</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单位净值</w:t>
            </w:r>
          </w:p>
        </w:tc>
        <w:tc>
          <w:tcPr>
            <w:tcW w:w="7186" w:type="dxa"/>
            <w:tcMar>
              <w:top w:w="15" w:type="dxa"/>
              <w:left w:w="15" w:type="dxa"/>
              <w:bottom w:w="0" w:type="dxa"/>
              <w:right w:w="15" w:type="dxa"/>
            </w:tcMar>
            <w:vAlign w:val="center"/>
          </w:tcPr>
          <w:p>
            <w:pPr>
              <w:spacing w:line="32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widowControl/>
              <w:rPr>
                <w:rFonts w:ascii="宋体" w:hAnsi="宋体"/>
                <w:color w:val="000000"/>
              </w:rPr>
            </w:pPr>
            <w:r>
              <w:rPr>
                <w:rFonts w:hint="eastAsia" w:ascii="宋体" w:hAnsi="宋体" w:cs="宋体"/>
                <w:color w:val="000000"/>
                <w:kern w:val="0"/>
                <w:sz w:val="18"/>
                <w:szCs w:val="18"/>
              </w:rPr>
              <w:t>业绩比较基准区间</w:t>
            </w:r>
          </w:p>
        </w:tc>
        <w:tc>
          <w:tcPr>
            <w:tcW w:w="7186" w:type="dxa"/>
            <w:tcMar>
              <w:top w:w="15" w:type="dxa"/>
              <w:left w:w="15" w:type="dxa"/>
              <w:bottom w:w="0" w:type="dxa"/>
              <w:right w:w="15" w:type="dxa"/>
            </w:tcMar>
            <w:vAlign w:val="center"/>
          </w:tcPr>
          <w:p>
            <w:pPr>
              <w:widowControl/>
              <w:rPr>
                <w:rFonts w:ascii="宋体" w:hAnsi="宋体"/>
                <w:color w:val="000000"/>
              </w:rPr>
            </w:pPr>
            <w:r>
              <w:rPr>
                <w:rFonts w:hint="eastAsia" w:ascii="宋体" w:hAnsi="宋体" w:cs="宋体"/>
                <w:color w:val="000000"/>
                <w:kern w:val="0"/>
                <w:sz w:val="18"/>
                <w:szCs w:val="18"/>
              </w:rPr>
              <w:t>本理财产品业绩比较基准区间为年化3.</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0</w:t>
            </w:r>
            <w:bookmarkStart w:id="0" w:name="_GoBack"/>
            <w:bookmarkEnd w:id="0"/>
            <w:r>
              <w:rPr>
                <w:rFonts w:hint="eastAsia" w:ascii="宋体" w:hAnsi="宋体" w:cs="宋体"/>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3.1%-4.4%，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hint="eastAsia" w:ascii="宋体" w:hAnsi="宋体" w:cs="宋体"/>
                <w:color w:val="000000"/>
                <w:kern w:val="0"/>
                <w:sz w:val="18"/>
                <w:szCs w:val="18"/>
              </w:rPr>
              <w:t>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本金和理财收益</w:t>
            </w:r>
          </w:p>
        </w:tc>
        <w:tc>
          <w:tcPr>
            <w:tcW w:w="7186" w:type="dxa"/>
            <w:tcMar>
              <w:top w:w="15" w:type="dxa"/>
              <w:left w:w="15" w:type="dxa"/>
              <w:bottom w:w="0" w:type="dxa"/>
              <w:right w:w="15" w:type="dxa"/>
            </w:tcMar>
            <w:vAlign w:val="center"/>
          </w:tcPr>
          <w:p>
            <w:pPr>
              <w:widowControl/>
              <w:spacing w:line="320" w:lineRule="exact"/>
              <w:rPr>
                <w:rFonts w:ascii="宋体" w:hAnsi="宋体" w:cs="宋体"/>
                <w:color w:val="000000"/>
                <w:kern w:val="0"/>
                <w:sz w:val="18"/>
                <w:szCs w:val="18"/>
              </w:rPr>
            </w:pPr>
            <w:r>
              <w:rPr>
                <w:rFonts w:hint="eastAsia" w:ascii="宋体" w:hAnsi="宋体" w:cs="宋体"/>
                <w:color w:val="000000"/>
                <w:kern w:val="0"/>
                <w:sz w:val="18"/>
                <w:szCs w:val="18"/>
              </w:rPr>
              <w:t>本理财产品不保障本金和收益。</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相关费用</w:t>
            </w:r>
          </w:p>
        </w:tc>
        <w:tc>
          <w:tcPr>
            <w:tcW w:w="7186"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2．本产品管理人按照产品资产净值收取年化0.2%的固定管理费。每日计提，于产品到期支付。</w:t>
            </w:r>
          </w:p>
          <w:p>
            <w:pPr>
              <w:rPr>
                <w:rFonts w:ascii="宋体" w:hAnsi="宋体"/>
                <w:color w:val="000000"/>
                <w:kern w:val="0"/>
                <w:sz w:val="18"/>
                <w:szCs w:val="18"/>
              </w:rPr>
            </w:pPr>
            <w:r>
              <w:rPr>
                <w:rFonts w:hint="eastAsia" w:ascii="宋体" w:hAnsi="宋体" w:cs="宋体"/>
                <w:color w:val="000000"/>
                <w:kern w:val="0"/>
                <w:sz w:val="18"/>
                <w:szCs w:val="18"/>
              </w:rPr>
              <w:t>3．本产品托管人按照产品资产净值收取年化</w:t>
            </w:r>
            <w:r>
              <w:rPr>
                <w:rFonts w:ascii="宋体" w:hAnsi="宋体" w:cs="宋体"/>
                <w:color w:val="000000"/>
                <w:kern w:val="0"/>
                <w:sz w:val="18"/>
                <w:szCs w:val="18"/>
              </w:rPr>
              <w:t>0.015%</w:t>
            </w:r>
            <w:r>
              <w:rPr>
                <w:rFonts w:hint="eastAsia" w:ascii="宋体" w:hAnsi="宋体" w:cs="宋体"/>
                <w:color w:val="000000"/>
                <w:kern w:val="0"/>
                <w:sz w:val="18"/>
                <w:szCs w:val="18"/>
              </w:rPr>
              <w:t>的托管费。每日计提，于产品到期支付。</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pPr>
              <w:spacing w:line="320" w:lineRule="exact"/>
              <w:rPr>
                <w:rFonts w:ascii="宋体" w:hAnsi="宋体"/>
                <w:color w:val="000000"/>
                <w:kern w:val="0"/>
                <w:sz w:val="30"/>
                <w:szCs w:val="2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提前终止权</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融资服务</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本理财产品可以办理质押业务，不可以办理转让业务。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税费规定</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320" w:lineRule="exact"/>
              <w:rPr>
                <w:rFonts w:ascii="宋体" w:hAnsi="宋体"/>
                <w:color w:val="000000"/>
                <w:kern w:val="0"/>
                <w:sz w:val="30"/>
                <w:szCs w:val="2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78" w:type="dxa"/>
            <w:tcMar>
              <w:top w:w="15" w:type="dxa"/>
              <w:left w:w="15" w:type="dxa"/>
              <w:bottom w:w="0" w:type="dxa"/>
              <w:right w:w="15" w:type="dxa"/>
            </w:tcMar>
            <w:vAlign w:val="center"/>
          </w:tcPr>
          <w:p>
            <w:pPr>
              <w:spacing w:line="320" w:lineRule="exact"/>
              <w:rPr>
                <w:rFonts w:ascii="宋体" w:hAnsi="宋体"/>
                <w:color w:val="000000"/>
                <w:kern w:val="0"/>
                <w:sz w:val="30"/>
                <w:szCs w:val="20"/>
              </w:rPr>
            </w:pPr>
            <w:r>
              <w:rPr>
                <w:rFonts w:hint="eastAsia" w:ascii="宋体" w:hAnsi="宋体" w:cs="宋体"/>
                <w:color w:val="000000"/>
                <w:kern w:val="0"/>
                <w:sz w:val="18"/>
                <w:szCs w:val="18"/>
              </w:rPr>
              <w:t>其他规定</w:t>
            </w:r>
          </w:p>
        </w:tc>
        <w:tc>
          <w:tcPr>
            <w:tcW w:w="7186"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32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32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320" w:lineRule="exact"/>
              <w:rPr>
                <w:rFonts w:ascii="宋体" w:hAnsi="宋体"/>
                <w:color w:val="000000"/>
                <w:kern w:val="0"/>
                <w:sz w:val="30"/>
                <w:szCs w:val="2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cs="宋体"/>
          <w:b/>
          <w:bCs/>
        </w:rPr>
      </w:pPr>
    </w:p>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0"/>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2"/>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2"/>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2"/>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2"/>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2"/>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cs="宋体"/>
          <w:kern w:val="0"/>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本理财计划按照年化0.2%的固定费率收取固定管理费。本产品每日计提的固定管理费为：前一日资产净值×0.2%／365。固定管理费按日计提，于产品结束后收取。</w:t>
      </w:r>
    </w:p>
    <w:p>
      <w:pPr>
        <w:pStyle w:val="12"/>
        <w:spacing w:line="360" w:lineRule="exact"/>
        <w:ind w:firstLineChars="0"/>
        <w:rPr>
          <w:rFonts w:ascii="宋体" w:hAnsi="宋体" w:cs="Times New Roman"/>
          <w:kern w:val="0"/>
        </w:rPr>
      </w:pPr>
      <w:r>
        <w:rPr>
          <w:rFonts w:hint="eastAsia" w:ascii="宋体" w:hAnsi="宋体" w:cs="宋体"/>
          <w:kern w:val="0"/>
        </w:rPr>
        <w:t>2</w:t>
      </w:r>
      <w:r>
        <w:rPr>
          <w:rFonts w:ascii="宋体" w:hAnsi="宋体" w:cs="宋体"/>
          <w:kern w:val="0"/>
        </w:rPr>
        <w:t>.</w:t>
      </w:r>
      <w:r>
        <w:rPr>
          <w:rFonts w:hint="eastAsia" w:ascii="宋体" w:hAnsi="宋体" w:cs="宋体"/>
          <w:kern w:val="0"/>
        </w:rPr>
        <w:t>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w:t>
      </w:r>
      <w:r>
        <w:rPr>
          <w:rFonts w:ascii="宋体" w:hAnsi="宋体" w:cs="宋体"/>
          <w:kern w:val="0"/>
        </w:rPr>
        <w:t>0.015%</w:t>
      </w:r>
      <w:r>
        <w:rPr>
          <w:rFonts w:hint="eastAsia" w:ascii="宋体" w:hAnsi="宋体" w:cs="宋体"/>
          <w:kern w:val="0"/>
        </w:rPr>
        <w:t>的固定费率收取托管费。本产品每日计提的托管费计算方式为：该前一日资产净值×0.015</w:t>
      </w:r>
      <w:r>
        <w:rPr>
          <w:rFonts w:ascii="宋体" w:hAnsi="宋体" w:cs="宋体"/>
          <w:kern w:val="0"/>
        </w:rPr>
        <w:t>%</w:t>
      </w:r>
      <w:r>
        <w:rPr>
          <w:rFonts w:hint="eastAsia" w:ascii="宋体" w:hAnsi="宋体" w:cs="宋体"/>
          <w:kern w:val="0"/>
        </w:rPr>
        <w:t>／</w:t>
      </w:r>
      <w:r>
        <w:rPr>
          <w:rFonts w:ascii="宋体" w:hAnsi="宋体" w:cs="宋体"/>
          <w:kern w:val="0"/>
        </w:rPr>
        <w:t>365</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spacing w:line="360" w:lineRule="exact"/>
        <w:ind w:firstLine="420" w:firstLineChars="200"/>
        <w:rPr>
          <w:rFonts w:ascii="宋体" w:hAnsi="宋体" w:cs="宋体"/>
          <w:kern w:val="0"/>
        </w:rPr>
      </w:pPr>
      <w:r>
        <w:rPr>
          <w:rFonts w:hint="eastAsia" w:ascii="宋体" w:hAnsi="宋体" w:cs="宋体"/>
          <w:kern w:val="0"/>
        </w:rPr>
        <w:t>3.本产品不收取估值外包服务费。</w:t>
      </w:r>
    </w:p>
    <w:p>
      <w:pPr>
        <w:pStyle w:val="12"/>
        <w:widowControl/>
        <w:spacing w:line="360" w:lineRule="exact"/>
        <w:ind w:firstLineChars="0"/>
        <w:contextualSpacing/>
        <w:rPr>
          <w:rFonts w:ascii="宋体" w:hAnsi="宋体" w:cs="宋体"/>
          <w:kern w:val="0"/>
        </w:rPr>
      </w:pPr>
      <w:r>
        <w:rPr>
          <w:rFonts w:hint="eastAsia" w:ascii="宋体" w:hAnsi="宋体" w:cs="宋体"/>
          <w:kern w:val="0"/>
        </w:rPr>
        <w:t>4</w:t>
      </w:r>
      <w:r>
        <w:rPr>
          <w:rFonts w:ascii="宋体" w:hAnsi="宋体" w:cs="宋体"/>
          <w:kern w:val="0"/>
        </w:rPr>
        <w:t>.</w:t>
      </w:r>
      <w:r>
        <w:rPr>
          <w:rFonts w:hint="eastAsia" w:ascii="宋体" w:hAnsi="宋体" w:cs="宋体"/>
          <w:kern w:val="0"/>
        </w:rPr>
        <w:t>浮动管理费</w:t>
      </w:r>
    </w:p>
    <w:p>
      <w:pPr>
        <w:widowControl/>
        <w:spacing w:line="360" w:lineRule="exact"/>
        <w:contextualSpacing/>
        <w:rPr>
          <w:rFonts w:ascii="宋体" w:hAnsi="宋体" w:cs="宋体"/>
          <w:kern w:val="0"/>
        </w:rPr>
      </w:pPr>
      <w:r>
        <w:rPr>
          <w:rFonts w:hint="eastAsia" w:ascii="宋体" w:hAnsi="宋体"/>
        </w:rPr>
        <w:t xml:space="preserve">    理财管理人根据理财计划投资情况计算浮动管理费，</w:t>
      </w:r>
      <w:r>
        <w:rPr>
          <w:rFonts w:hint="eastAsia" w:ascii="宋体" w:hAnsi="宋体" w:cs="宋体"/>
          <w:bCs/>
        </w:rPr>
        <w:t>本理财产品到期</w:t>
      </w:r>
      <w:r>
        <w:rPr>
          <w:rFonts w:hint="eastAsia" w:ascii="宋体" w:hAnsi="宋体" w:cs="宋体"/>
        </w:rPr>
        <w:t>年化收益率</w:t>
      </w:r>
      <w:r>
        <w:rPr>
          <w:rFonts w:hint="eastAsia" w:ascii="宋体" w:hAnsi="宋体"/>
        </w:rPr>
        <w:t>超过业绩比较基准的部分管理人提取80%作为浮动管理费，</w:t>
      </w:r>
      <w:r>
        <w:rPr>
          <w:rFonts w:hint="eastAsia" w:ascii="宋体" w:hAnsi="宋体" w:cs="宋体"/>
          <w:kern w:val="0"/>
        </w:rPr>
        <w:t>于产品结束时收取</w:t>
      </w:r>
      <w:r>
        <w:rPr>
          <w:rFonts w:hint="eastAsia" w:ascii="宋体" w:hAnsi="宋体"/>
        </w:rPr>
        <w:t>；</w:t>
      </w:r>
      <w:r>
        <w:rPr>
          <w:rFonts w:hint="eastAsia" w:ascii="宋体" w:hAnsi="宋体" w:cs="宋体"/>
          <w:bCs/>
        </w:rPr>
        <w:t>本理财产品到期</w:t>
      </w:r>
      <w:r>
        <w:rPr>
          <w:rFonts w:hint="eastAsia" w:ascii="宋体" w:hAnsi="宋体" w:cs="宋体"/>
        </w:rPr>
        <w:t>年化收益率</w:t>
      </w:r>
      <w:r>
        <w:rPr>
          <w:rFonts w:hint="eastAsia" w:ascii="宋体" w:hAnsi="宋体" w:cs="宋体"/>
          <w:bCs/>
        </w:rPr>
        <w:t>若小于或等于业绩比较基准则不收取浮动管理费。</w:t>
      </w:r>
      <w:r>
        <w:rPr>
          <w:rFonts w:hint="eastAsia" w:ascii="宋体" w:hAnsi="宋体" w:cs="宋体"/>
          <w:kern w:val="0"/>
        </w:rPr>
        <w:t>新昌农商银行保留变更上述收取费率标准的权利，如有变更，将提前</w:t>
      </w:r>
      <w:r>
        <w:rPr>
          <w:rFonts w:ascii="宋体" w:hAnsi="宋体" w:cs="宋体"/>
          <w:kern w:val="0"/>
        </w:rPr>
        <w:t>1</w:t>
      </w:r>
      <w:r>
        <w:rPr>
          <w:rFonts w:hint="eastAsia" w:ascii="宋体" w:hAnsi="宋体" w:cs="宋体"/>
          <w:kern w:val="0"/>
        </w:rPr>
        <w:t>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100,000.00×1.00×(6.20%-5.60%)×80%×362÷365=476.05（元）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100,000.00×（1.0615-1.00）-476.05=5673.95（元），产品到期时，客户获得的实际收益相当于达到年化收益率水平为：5673.95/100,000.00×365/362=5.72%。</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2"/>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2"/>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2"/>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pPr>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A0472D"/>
    <w:rsid w:val="00044312"/>
    <w:rsid w:val="00046437"/>
    <w:rsid w:val="00077634"/>
    <w:rsid w:val="000831AE"/>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931432"/>
    <w:rsid w:val="009421B9"/>
    <w:rsid w:val="00942DBF"/>
    <w:rsid w:val="00975ED0"/>
    <w:rsid w:val="00991D0C"/>
    <w:rsid w:val="009B48A1"/>
    <w:rsid w:val="009D7F3C"/>
    <w:rsid w:val="00A0472D"/>
    <w:rsid w:val="00A55CDF"/>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4CB6"/>
    <w:rsid w:val="00FC7FAD"/>
    <w:rsid w:val="00FE598D"/>
    <w:rsid w:val="00FF0F20"/>
    <w:rsid w:val="39D5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99"/>
    <w:pPr>
      <w:spacing w:before="240" w:after="60" w:line="312" w:lineRule="auto"/>
      <w:jc w:val="center"/>
      <w:outlineLvl w:val="1"/>
    </w:pPr>
    <w:rPr>
      <w:rFonts w:ascii="Cambria" w:hAnsi="Cambria" w:cs="Cambria"/>
      <w:b/>
      <w:bCs/>
      <w:kern w:val="28"/>
      <w:sz w:val="32"/>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列出段落 Char"/>
    <w:link w:val="10"/>
    <w:locked/>
    <w:uiPriority w:val="0"/>
    <w:rPr>
      <w:rFonts w:ascii="Calibri" w:hAnsi="Calibri" w:cs="Calibri"/>
      <w:sz w:val="22"/>
    </w:rPr>
  </w:style>
  <w:style w:type="paragraph" w:styleId="10">
    <w:name w:val="List Paragraph"/>
    <w:basedOn w:val="1"/>
    <w:link w:val="9"/>
    <w:qFormat/>
    <w:uiPriority w:val="0"/>
    <w:pPr>
      <w:ind w:firstLine="420" w:firstLineChars="200"/>
    </w:pPr>
    <w:rPr>
      <w:rFonts w:cs="Calibri" w:eastAsiaTheme="minorEastAsia"/>
      <w:sz w:val="22"/>
    </w:rPr>
  </w:style>
  <w:style w:type="character" w:customStyle="1" w:styleId="11">
    <w:name w:val="副标题 Char"/>
    <w:basedOn w:val="6"/>
    <w:link w:val="4"/>
    <w:qFormat/>
    <w:uiPriority w:val="99"/>
    <w:rPr>
      <w:rFonts w:ascii="Cambria" w:hAnsi="Cambria" w:eastAsia="宋体" w:cs="Cambria"/>
      <w:b/>
      <w:bCs/>
      <w:kern w:val="28"/>
      <w:sz w:val="32"/>
      <w:szCs w:val="32"/>
    </w:rPr>
  </w:style>
  <w:style w:type="paragraph" w:customStyle="1" w:styleId="12">
    <w:name w:val="List Paragraph1"/>
    <w:basedOn w:val="1"/>
    <w:qFormat/>
    <w:uiPriority w:val="99"/>
    <w:pPr>
      <w:ind w:firstLine="420" w:firstLineChars="200"/>
    </w:pPr>
    <w:rPr>
      <w:rFonts w:cs="Calibri"/>
      <w:szCs w:val="21"/>
    </w:rPr>
  </w:style>
  <w:style w:type="paragraph" w:customStyle="1" w:styleId="13">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2117</Words>
  <Characters>12070</Characters>
  <Lines>100</Lines>
  <Paragraphs>28</Paragraphs>
  <TotalTime>448</TotalTime>
  <ScaleCrop>false</ScaleCrop>
  <LinksUpToDate>false</LinksUpToDate>
  <CharactersWithSpaces>14159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冰原雪兔</cp:lastModifiedBy>
  <dcterms:modified xsi:type="dcterms:W3CDTF">2023-01-30T05:42:30Z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6E0BCBBE8276402CB7289810F44172F6</vt:lpwstr>
  </property>
</Properties>
</file>