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B04" w:rsidRDefault="00D65B04" w:rsidP="00D65B04">
      <w:pPr>
        <w:spacing w:line="440" w:lineRule="exact"/>
        <w:jc w:val="center"/>
        <w:rPr>
          <w:rFonts w:ascii="宋体" w:hAnsi="宋体"/>
          <w:b/>
          <w:sz w:val="32"/>
          <w:szCs w:val="32"/>
        </w:rPr>
      </w:pPr>
      <w:bookmarkStart w:id="0" w:name="_GoBack"/>
      <w:bookmarkEnd w:id="0"/>
      <w:r>
        <w:rPr>
          <w:rFonts w:ascii="宋体" w:hAnsi="宋体" w:hint="eastAsia"/>
          <w:b/>
          <w:sz w:val="32"/>
          <w:szCs w:val="32"/>
        </w:rPr>
        <w:t>新昌农商银行“丰收信福6号”人民币理财产品风险揭示书</w:t>
      </w:r>
    </w:p>
    <w:p w:rsidR="00D65B04" w:rsidRDefault="00D65B04" w:rsidP="00D65B04">
      <w:pPr>
        <w:autoSpaceDE w:val="0"/>
        <w:autoSpaceDN w:val="0"/>
        <w:adjustRightInd w:val="0"/>
        <w:spacing w:line="440" w:lineRule="exact"/>
        <w:jc w:val="center"/>
        <w:rPr>
          <w:rFonts w:ascii="宋体" w:hAnsi="宋体"/>
          <w:kern w:val="0"/>
        </w:rPr>
      </w:pPr>
      <w:r>
        <w:rPr>
          <w:rFonts w:ascii="宋体" w:hAnsi="宋体" w:hint="eastAsia"/>
          <w:b/>
          <w:kern w:val="0"/>
        </w:rPr>
        <w:t>“理财非存款、产品有风险、投资须谨慎</w:t>
      </w:r>
      <w:r>
        <w:rPr>
          <w:rFonts w:ascii="宋体" w:hAnsi="宋体" w:hint="eastAsia"/>
          <w:kern w:val="0"/>
        </w:rPr>
        <w:t>”</w:t>
      </w:r>
    </w:p>
    <w:p w:rsidR="00D65B04" w:rsidRDefault="00D65B04" w:rsidP="00D65B04">
      <w:pPr>
        <w:autoSpaceDE w:val="0"/>
        <w:autoSpaceDN w:val="0"/>
        <w:adjustRightInd w:val="0"/>
        <w:spacing w:line="440" w:lineRule="exact"/>
        <w:jc w:val="center"/>
        <w:rPr>
          <w:rFonts w:ascii="宋体" w:hAnsi="宋体"/>
          <w:kern w:val="0"/>
        </w:rPr>
      </w:pPr>
    </w:p>
    <w:p w:rsidR="00D65B04" w:rsidRDefault="00D65B04" w:rsidP="00D65B04">
      <w:pPr>
        <w:autoSpaceDE w:val="0"/>
        <w:autoSpaceDN w:val="0"/>
        <w:spacing w:line="440" w:lineRule="exact"/>
        <w:rPr>
          <w:rFonts w:ascii="宋体" w:hAnsi="宋体" w:cs="宋体"/>
          <w:kern w:val="0"/>
          <w:szCs w:val="21"/>
        </w:rPr>
      </w:pPr>
      <w:r>
        <w:rPr>
          <w:rFonts w:ascii="宋体" w:hAnsi="宋体" w:cs="宋体" w:hint="eastAsia"/>
          <w:kern w:val="0"/>
          <w:szCs w:val="21"/>
        </w:rPr>
        <w:t>尊敬的理财客户：</w:t>
      </w:r>
    </w:p>
    <w:p w:rsidR="00D65B04" w:rsidRDefault="00D65B04" w:rsidP="00D65B04">
      <w:pPr>
        <w:autoSpaceDE w:val="0"/>
        <w:autoSpaceDN w:val="0"/>
        <w:spacing w:line="440" w:lineRule="exact"/>
        <w:ind w:firstLineChars="200" w:firstLine="420"/>
        <w:rPr>
          <w:rFonts w:ascii="宋体" w:hAnsi="宋体" w:cs="宋体"/>
          <w:color w:val="000000"/>
          <w:kern w:val="0"/>
          <w:szCs w:val="21"/>
        </w:rPr>
      </w:pPr>
      <w:r>
        <w:rPr>
          <w:rFonts w:ascii="宋体" w:hAnsi="宋体" w:cs="宋体" w:hint="eastAsia"/>
          <w:kern w:val="0"/>
          <w:szCs w:val="21"/>
        </w:rPr>
        <w:t>本理财产品：</w:t>
      </w:r>
      <w:proofErr w:type="gramStart"/>
      <w:r>
        <w:rPr>
          <w:rFonts w:ascii="宋体" w:hAnsi="宋体" w:cs="宋体" w:hint="eastAsia"/>
          <w:kern w:val="0"/>
          <w:szCs w:val="21"/>
        </w:rPr>
        <w:t>丰收信福</w:t>
      </w:r>
      <w:proofErr w:type="gramEnd"/>
      <w:r>
        <w:rPr>
          <w:rFonts w:ascii="宋体" w:hAnsi="宋体" w:cs="宋体" w:hint="eastAsia"/>
          <w:kern w:val="0"/>
          <w:szCs w:val="21"/>
        </w:rPr>
        <w:t>6号人民币理财产品，属于</w:t>
      </w:r>
      <w:r>
        <w:rPr>
          <w:rFonts w:ascii="宋体" w:hAnsi="宋体" w:cs="宋体" w:hint="eastAsia"/>
          <w:b/>
          <w:kern w:val="0"/>
          <w:szCs w:val="21"/>
        </w:rPr>
        <w:t>封闭式非保本净值型</w:t>
      </w:r>
      <w:r>
        <w:rPr>
          <w:rFonts w:ascii="宋体" w:hAnsi="宋体" w:cs="宋体" w:hint="eastAsia"/>
          <w:bCs/>
          <w:kern w:val="0"/>
          <w:szCs w:val="21"/>
        </w:rPr>
        <w:t>理财产品</w:t>
      </w:r>
      <w:r>
        <w:rPr>
          <w:rFonts w:ascii="宋体" w:hAnsi="宋体" w:cs="宋体" w:hint="eastAsia"/>
          <w:kern w:val="0"/>
          <w:szCs w:val="21"/>
        </w:rPr>
        <w:t>，</w:t>
      </w:r>
      <w:proofErr w:type="gramStart"/>
      <w:r>
        <w:rPr>
          <w:rFonts w:ascii="宋体" w:hAnsi="宋体" w:cs="宋体" w:hint="eastAsia"/>
          <w:kern w:val="0"/>
          <w:szCs w:val="21"/>
        </w:rPr>
        <w:t>为</w:t>
      </w:r>
      <w:r>
        <w:rPr>
          <w:rFonts w:ascii="宋体" w:hAnsi="宋体" w:cs="宋体" w:hint="eastAsia"/>
          <w:b/>
          <w:kern w:val="0"/>
          <w:szCs w:val="21"/>
        </w:rPr>
        <w:t>公募类固定</w:t>
      </w:r>
      <w:proofErr w:type="gramEnd"/>
      <w:r>
        <w:rPr>
          <w:rFonts w:ascii="宋体" w:hAnsi="宋体" w:cs="宋体" w:hint="eastAsia"/>
          <w:b/>
          <w:kern w:val="0"/>
          <w:szCs w:val="21"/>
        </w:rPr>
        <w:t>收益类</w:t>
      </w:r>
      <w:r>
        <w:rPr>
          <w:rFonts w:ascii="宋体" w:hAnsi="宋体" w:cs="宋体" w:hint="eastAsia"/>
          <w:kern w:val="0"/>
          <w:szCs w:val="21"/>
        </w:rPr>
        <w:t>理财产品</w:t>
      </w:r>
      <w:r>
        <w:rPr>
          <w:rFonts w:ascii="宋体" w:hAnsi="宋体" w:cs="宋体" w:hint="eastAsia"/>
          <w:b/>
          <w:kern w:val="0"/>
          <w:szCs w:val="21"/>
        </w:rPr>
        <w:t>。</w:t>
      </w:r>
      <w:r>
        <w:rPr>
          <w:rFonts w:ascii="宋体" w:hAnsi="宋体" w:cs="宋体" w:hint="eastAsia"/>
          <w:color w:val="000000"/>
          <w:kern w:val="0"/>
          <w:szCs w:val="21"/>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Pr>
          <w:rFonts w:ascii="宋体" w:hAnsi="宋体" w:cs="宋体" w:hint="eastAsia"/>
          <w:b/>
          <w:color w:val="000000"/>
          <w:kern w:val="0"/>
          <w:szCs w:val="21"/>
        </w:rPr>
        <w:t>PR2</w:t>
      </w:r>
      <w:r>
        <w:rPr>
          <w:rFonts w:ascii="宋体" w:hAnsi="宋体" w:cs="宋体" w:hint="eastAsia"/>
          <w:color w:val="000000"/>
          <w:kern w:val="0"/>
          <w:szCs w:val="21"/>
        </w:rPr>
        <w:t>,较低风险，本产品理财本金亏损的概率较低。</w:t>
      </w:r>
    </w:p>
    <w:p w:rsidR="00D65B04" w:rsidRDefault="00D65B04" w:rsidP="00D65B04">
      <w:pPr>
        <w:autoSpaceDE w:val="0"/>
        <w:autoSpaceDN w:val="0"/>
        <w:spacing w:line="440" w:lineRule="exact"/>
        <w:ind w:firstLineChars="200" w:firstLine="422"/>
        <w:rPr>
          <w:rFonts w:ascii="宋体" w:hAnsi="宋体" w:cs="宋体"/>
          <w:b/>
          <w:kern w:val="0"/>
          <w:szCs w:val="21"/>
        </w:rPr>
      </w:pPr>
      <w:r>
        <w:rPr>
          <w:rFonts w:ascii="宋体" w:hAnsi="宋体" w:cs="宋体" w:hint="eastAsia"/>
          <w:b/>
          <w:bCs/>
          <w:color w:val="000000"/>
          <w:kern w:val="0"/>
          <w:szCs w:val="21"/>
        </w:rPr>
        <w:t>您应仔细阅读理财产品风险揭示书、理财产品说明书、客户权益须知、理财产品协议书全部条款</w:t>
      </w:r>
      <w:r>
        <w:rPr>
          <w:rFonts w:ascii="宋体" w:hAnsi="宋体" w:cs="宋体" w:hint="eastAsia"/>
          <w:color w:val="000000"/>
          <w:kern w:val="0"/>
          <w:szCs w:val="21"/>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（一）信用风险：理财产品面临的信用风险主要是指因理财产品配置资产所涉及的相关债务主体到期未能履行还款义务，使理财产品本金或收益蒙受损失的风险。</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color w:val="000000"/>
          <w:szCs w:val="21"/>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（四）交易对手风险：理财产品面临的交易对手风险主要是指银行为理财产品配置资产的过程中，因交易对手交易失误等原因，导致理财产品本金或收益蒙受损失的风险。</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（六）延期风险：如因理财产品项下对应的理财财产不能及时变现等原因造成理财产品</w:t>
      </w:r>
      <w:r>
        <w:rPr>
          <w:rFonts w:ascii="宋体" w:hAnsi="宋体" w:cs="宋体" w:hint="eastAsia"/>
          <w:szCs w:val="21"/>
        </w:rPr>
        <w:lastRenderedPageBreak/>
        <w:t>不能按时偿还本金及收益，理财产品将面临期限相应延长或进行二次清算的可能。</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（七）理财产品不成立风险：本理财产品开始认购至认购结束的期间，理财产品</w:t>
      </w:r>
      <w:proofErr w:type="gramStart"/>
      <w:r>
        <w:rPr>
          <w:rFonts w:ascii="宋体" w:hAnsi="宋体" w:cs="宋体" w:hint="eastAsia"/>
          <w:szCs w:val="21"/>
        </w:rPr>
        <w:t>认购总</w:t>
      </w:r>
      <w:proofErr w:type="gramEnd"/>
      <w:r>
        <w:rPr>
          <w:rFonts w:ascii="宋体" w:hAnsi="宋体" w:cs="宋体" w:hint="eastAsia"/>
          <w:szCs w:val="21"/>
        </w:rPr>
        <w:t>金额未达到规模下限或市场发生剧烈波动，经本行判断难以按照本理财产品书规定向投资者提供本理财产品，本行有权宣布本理财产品不成立。</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（九）其他风险：战争、自然灾害等不可抗力因素的出现，将会严重影响金融市场的运行，可能导致受托管理资产的损失，甚至影响理财产品的受理、投资、偿还等的正常运行，进而影响理财产品的资金安全。</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上述举例提示可能并未穷尽本理财产品项下可能出现的所有风险。</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Pr>
          <w:rFonts w:ascii="宋体" w:hAnsi="宋体" w:cs="宋体" w:hint="eastAsia"/>
          <w:b/>
          <w:szCs w:val="21"/>
        </w:rPr>
        <w:t>如果影响客户风险承受能力的因素发生变化或风险承受能力评估结果已过一年的有效期，请及时完成风险承受能力评估，否则可能造成客户无法认购，由此产生的责任和风险由客户自行承担。</w:t>
      </w:r>
      <w:r>
        <w:rPr>
          <w:rFonts w:ascii="宋体" w:hAnsi="宋体" w:cs="宋体" w:hint="eastAsia"/>
          <w:szCs w:val="21"/>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65B04" w:rsidRDefault="00D65B04" w:rsidP="00D65B04">
      <w:pPr>
        <w:autoSpaceDE w:val="0"/>
        <w:autoSpaceDN w:val="0"/>
        <w:spacing w:line="440" w:lineRule="exact"/>
        <w:ind w:firstLine="420"/>
        <w:jc w:val="left"/>
        <w:rPr>
          <w:rFonts w:ascii="宋体" w:hAnsi="宋体" w:cs="宋体"/>
          <w:b/>
          <w:szCs w:val="21"/>
        </w:rPr>
      </w:pPr>
      <w:r>
        <w:rPr>
          <w:rFonts w:ascii="宋体" w:hAnsi="宋体" w:cs="宋体" w:hint="eastAsia"/>
          <w:szCs w:val="21"/>
        </w:rPr>
        <w:t>本理财产品类型：非保本净值型；本理财产品风险评级结果：根据本行理财产品内部风险评级，该产品风险评级结果为</w:t>
      </w:r>
      <w:r>
        <w:rPr>
          <w:rFonts w:ascii="宋体" w:hAnsi="宋体" w:cs="宋体" w:hint="eastAsia"/>
          <w:b/>
          <w:szCs w:val="21"/>
        </w:rPr>
        <w:t>PR2</w:t>
      </w:r>
      <w:r>
        <w:rPr>
          <w:rFonts w:ascii="宋体" w:hAnsi="宋体" w:cs="宋体" w:hint="eastAsia"/>
          <w:szCs w:val="21"/>
        </w:rPr>
        <w:t>（</w:t>
      </w:r>
      <w:proofErr w:type="gramStart"/>
      <w:r>
        <w:rPr>
          <w:rFonts w:ascii="宋体" w:hAnsi="宋体" w:cs="宋体" w:hint="eastAsia"/>
          <w:szCs w:val="21"/>
        </w:rPr>
        <w:t>本风险</w:t>
      </w:r>
      <w:proofErr w:type="gramEnd"/>
      <w:r>
        <w:rPr>
          <w:rFonts w:ascii="宋体" w:hAnsi="宋体" w:cs="宋体" w:hint="eastAsia"/>
          <w:szCs w:val="21"/>
        </w:rPr>
        <w:t>等级为我行内部风险评级结果，仅供参考，我行不对前述风险评级结果的准确性做出任何形式的保证，也不承担任何法律责任）；适合购买本理财产品的客户：</w:t>
      </w:r>
      <w:r>
        <w:rPr>
          <w:rFonts w:ascii="宋体" w:hAnsi="宋体" w:cs="宋体" w:hint="eastAsia"/>
          <w:b/>
          <w:szCs w:val="21"/>
        </w:rPr>
        <w:t>本理财产品适合机构投资者及谨慎型、稳健型、进取型、激进型的个人投资者，不向保守型个人投资者发售。</w:t>
      </w:r>
    </w:p>
    <w:p w:rsidR="00D65B04" w:rsidRDefault="00D65B04" w:rsidP="00D65B04">
      <w:pPr>
        <w:autoSpaceDE w:val="0"/>
        <w:autoSpaceDN w:val="0"/>
        <w:spacing w:line="440" w:lineRule="exact"/>
        <w:ind w:firstLine="420"/>
        <w:jc w:val="left"/>
        <w:rPr>
          <w:rFonts w:ascii="宋体" w:hAnsi="宋体" w:cs="宋体"/>
          <w:b/>
          <w:szCs w:val="21"/>
        </w:rPr>
      </w:pPr>
      <w:r>
        <w:rPr>
          <w:rFonts w:eastAsia="仿宋_GB2312" w:hint="eastAsia"/>
          <w:b/>
          <w:szCs w:val="21"/>
        </w:rPr>
        <w:t>本</w:t>
      </w:r>
      <w:r>
        <w:rPr>
          <w:rFonts w:ascii="宋体" w:hAnsi="宋体" w:cs="宋体" w:hint="eastAsia"/>
          <w:b/>
          <w:szCs w:val="21"/>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65B04" w:rsidRDefault="00D65B04" w:rsidP="00D65B04">
      <w:pPr>
        <w:autoSpaceDE w:val="0"/>
        <w:autoSpaceDN w:val="0"/>
        <w:spacing w:line="440" w:lineRule="exact"/>
        <w:ind w:firstLineChars="200" w:firstLine="422"/>
        <w:rPr>
          <w:rFonts w:ascii="宋体" w:hAnsi="宋体" w:cs="宋体"/>
          <w:b/>
          <w:szCs w:val="21"/>
        </w:rPr>
      </w:pPr>
      <w:r>
        <w:rPr>
          <w:rFonts w:ascii="宋体" w:hAnsi="宋体" w:cs="宋体" w:hint="eastAsia"/>
          <w:b/>
          <w:szCs w:val="21"/>
        </w:rPr>
        <w:t>客户在投资者签字栏签字的行为即表示客户已详细阅知《新昌农商银行“丰收信福6号”</w:t>
      </w:r>
      <w:r w:rsidR="005647B8">
        <w:rPr>
          <w:rFonts w:ascii="宋体" w:hAnsi="宋体" w:cs="宋体" w:hint="eastAsia"/>
          <w:b/>
          <w:szCs w:val="21"/>
        </w:rPr>
        <w:t>2023年第1期</w:t>
      </w:r>
      <w:r>
        <w:rPr>
          <w:rFonts w:ascii="宋体" w:hAnsi="宋体" w:cs="宋体" w:hint="eastAsia"/>
          <w:b/>
          <w:szCs w:val="21"/>
        </w:rPr>
        <w:t>人民币理财产品说明书》、《新昌农商银行“丰收信福6号”人民币理财产品客</w:t>
      </w:r>
      <w:r>
        <w:rPr>
          <w:rFonts w:ascii="宋体" w:hAnsi="宋体" w:cs="宋体" w:hint="eastAsia"/>
          <w:b/>
          <w:szCs w:val="21"/>
        </w:rPr>
        <w:lastRenderedPageBreak/>
        <w:t>户权益需知》、《新昌农商银行“丰收信福6号”人民币理财产品风险揭示书》、《新昌农商银行“丰收信福6号”人民币理财产品协议书》。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65B04" w:rsidRDefault="00D65B04" w:rsidP="00D65B04">
      <w:pPr>
        <w:kinsoku w:val="0"/>
        <w:autoSpaceDE w:val="0"/>
        <w:snapToGrid w:val="0"/>
        <w:spacing w:line="400" w:lineRule="exact"/>
        <w:ind w:firstLineChars="1100" w:firstLine="2319"/>
        <w:rPr>
          <w:rFonts w:eastAsia="楷体_GB2312" w:cs="宋体"/>
          <w:b/>
          <w:bCs/>
          <w:szCs w:val="21"/>
        </w:rPr>
      </w:pPr>
    </w:p>
    <w:p w:rsidR="00D65B04" w:rsidRDefault="00D65B04" w:rsidP="00D65B04">
      <w:pPr>
        <w:kinsoku w:val="0"/>
        <w:autoSpaceDE w:val="0"/>
        <w:snapToGrid w:val="0"/>
        <w:spacing w:line="400" w:lineRule="exact"/>
        <w:ind w:firstLineChars="1700" w:firstLine="3584"/>
        <w:rPr>
          <w:rFonts w:eastAsia="楷体_GB2312" w:cs="宋体"/>
          <w:b/>
          <w:bCs/>
          <w:szCs w:val="21"/>
          <w:u w:val="single"/>
        </w:rPr>
      </w:pPr>
      <w:r>
        <w:rPr>
          <w:rFonts w:eastAsia="楷体_GB2312" w:cs="宋体" w:hint="eastAsia"/>
          <w:b/>
          <w:bCs/>
          <w:szCs w:val="21"/>
        </w:rPr>
        <w:t>投资者签字栏：</w:t>
      </w:r>
    </w:p>
    <w:p w:rsidR="00D65B04" w:rsidRDefault="00D65B04" w:rsidP="00D65B04">
      <w:pPr>
        <w:autoSpaceDE w:val="0"/>
        <w:autoSpaceDN w:val="0"/>
        <w:spacing w:line="336" w:lineRule="auto"/>
        <w:ind w:firstLineChars="2084" w:firstLine="4376"/>
        <w:rPr>
          <w:szCs w:val="21"/>
        </w:rPr>
      </w:pPr>
      <w:r>
        <w:rPr>
          <w:rFonts w:hint="eastAsia"/>
          <w:szCs w:val="21"/>
        </w:rPr>
        <w:t>年月日</w:t>
      </w:r>
    </w:p>
    <w:p w:rsidR="00D65B04" w:rsidRDefault="00D65B04" w:rsidP="00D65B04">
      <w:pPr>
        <w:snapToGrid w:val="0"/>
        <w:spacing w:beforeLines="100" w:before="312"/>
        <w:ind w:leftChars="-67" w:left="-141"/>
        <w:rPr>
          <w:rFonts w:eastAsia="仿宋_GB2312" w:cs="楷体_GB2312"/>
          <w:b/>
          <w:szCs w:val="21"/>
        </w:rPr>
      </w:pPr>
      <w:r>
        <w:rPr>
          <w:rFonts w:eastAsia="仿宋_GB2312" w:cs="楷体_GB2312" w:hint="eastAsia"/>
          <w:b/>
          <w:szCs w:val="21"/>
        </w:rPr>
        <w:t>提示：如影响</w:t>
      </w:r>
      <w:proofErr w:type="gramStart"/>
      <w:r>
        <w:rPr>
          <w:rFonts w:eastAsia="仿宋_GB2312" w:cs="楷体_GB2312" w:hint="eastAsia"/>
          <w:b/>
          <w:szCs w:val="21"/>
        </w:rPr>
        <w:t>您风险</w:t>
      </w:r>
      <w:proofErr w:type="gramEnd"/>
      <w:r>
        <w:rPr>
          <w:rFonts w:eastAsia="仿宋_GB2312" w:cs="楷体_GB2312" w:hint="eastAsia"/>
          <w:b/>
          <w:szCs w:val="21"/>
        </w:rPr>
        <w:t>承受能力的因素发生变化，请及时完成风险承受能力评估。</w:t>
      </w:r>
    </w:p>
    <w:p w:rsidR="00D65B04" w:rsidRDefault="00D65B04" w:rsidP="00D65B04">
      <w:pPr>
        <w:snapToGrid w:val="0"/>
        <w:ind w:leftChars="-67" w:left="-141"/>
        <w:rPr>
          <w:rFonts w:eastAsia="仿宋_GB2312" w:cs="楷体_GB2312"/>
          <w:b/>
          <w:szCs w:val="21"/>
        </w:rPr>
      </w:pPr>
    </w:p>
    <w:p w:rsidR="00D65B04" w:rsidRDefault="00D65B04" w:rsidP="00D65B04">
      <w:pPr>
        <w:kinsoku w:val="0"/>
        <w:autoSpaceDE w:val="0"/>
        <w:snapToGrid w:val="0"/>
        <w:spacing w:line="336" w:lineRule="auto"/>
        <w:jc w:val="center"/>
        <w:rPr>
          <w:rFonts w:eastAsia="黑体" w:cs="宋体"/>
          <w:szCs w:val="21"/>
        </w:rPr>
      </w:pPr>
      <w:r>
        <w:rPr>
          <w:rFonts w:eastAsia="黑体" w:cs="宋体" w:hint="eastAsia"/>
          <w:szCs w:val="21"/>
        </w:rPr>
        <w:t>客户主动要求购买理财产品确认栏</w:t>
      </w:r>
    </w:p>
    <w:p w:rsidR="00951D2C" w:rsidRDefault="00951D2C" w:rsidP="00D65B04">
      <w:pPr>
        <w:kinsoku w:val="0"/>
        <w:autoSpaceDE w:val="0"/>
        <w:snapToGrid w:val="0"/>
        <w:spacing w:line="336" w:lineRule="auto"/>
        <w:jc w:val="center"/>
        <w:rPr>
          <w:rFonts w:eastAsia="黑体" w:cs="宋体"/>
          <w:szCs w:val="21"/>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951D2C" w:rsidTr="00A8002E">
        <w:trPr>
          <w:trHeight w:val="4101"/>
        </w:trPr>
        <w:tc>
          <w:tcPr>
            <w:tcW w:w="8933" w:type="dxa"/>
            <w:tcBorders>
              <w:top w:val="single" w:sz="4" w:space="0" w:color="auto"/>
              <w:left w:val="single" w:sz="4" w:space="0" w:color="auto"/>
              <w:bottom w:val="single" w:sz="4" w:space="0" w:color="auto"/>
              <w:right w:val="single" w:sz="4" w:space="0" w:color="auto"/>
            </w:tcBorders>
          </w:tcPr>
          <w:p w:rsidR="00951D2C" w:rsidRPr="00FA19AC" w:rsidRDefault="00951D2C" w:rsidP="00A8002E">
            <w:pPr>
              <w:spacing w:line="400" w:lineRule="exact"/>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sidRPr="00FA19AC">
              <w:rPr>
                <w:rFonts w:ascii="Times New Roman" w:eastAsia="仿宋_GB2312" w:hAnsi="Times New Roman"/>
                <w:b/>
                <w:color w:val="000000"/>
                <w:szCs w:val="21"/>
              </w:rPr>
              <w:t xml:space="preserve"> </w:t>
            </w:r>
            <w:r w:rsidRPr="00FA19AC">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951D2C" w:rsidRPr="00FA19AC" w:rsidRDefault="00951D2C" w:rsidP="00A8002E">
            <w:pPr>
              <w:autoSpaceDE w:val="0"/>
              <w:autoSpaceDN w:val="0"/>
              <w:spacing w:line="400" w:lineRule="exact"/>
              <w:rPr>
                <w:rFonts w:ascii="Times New Roman" w:eastAsia="仿宋_GB2312" w:hAnsi="Times New Roman" w:cs="Arial Unicode MS"/>
                <w:b/>
                <w:bCs/>
                <w:color w:val="000000"/>
                <w:szCs w:val="21"/>
              </w:rPr>
            </w:pPr>
            <w:r w:rsidRPr="00FA19AC">
              <w:rPr>
                <w:rFonts w:ascii="Times New Roman" w:eastAsia="仿宋_GB2312" w:hAnsi="Times New Roman" w:cs="Arial Unicode MS" w:hint="eastAsia"/>
                <w:b/>
                <w:bCs/>
                <w:color w:val="000000"/>
                <w:szCs w:val="21"/>
              </w:rPr>
              <w:t>“本人已经阅读风险揭示，愿意承担投资风险。”</w:t>
            </w:r>
          </w:p>
          <w:p w:rsidR="00951D2C" w:rsidRPr="00FA19AC" w:rsidRDefault="00951D2C" w:rsidP="00A8002E">
            <w:pPr>
              <w:spacing w:line="400" w:lineRule="exact"/>
              <w:rPr>
                <w:rFonts w:ascii="Times New Roman" w:eastAsia="仿宋_GB2312" w:hAnsi="Times New Roman" w:cs="Arial Unicode MS"/>
                <w:color w:val="000000"/>
                <w:szCs w:val="21"/>
              </w:rPr>
            </w:pPr>
          </w:p>
          <w:p w:rsidR="00951D2C" w:rsidRPr="00FA19AC" w:rsidRDefault="00951D2C" w:rsidP="00A8002E">
            <w:pPr>
              <w:spacing w:line="400" w:lineRule="exact"/>
              <w:rPr>
                <w:rFonts w:ascii="Times New Roman" w:eastAsia="仿宋_GB2312" w:hAnsi="Times New Roman" w:cs="Arial Unicode MS"/>
                <w:color w:val="000000"/>
                <w:szCs w:val="21"/>
                <w:u w:val="single"/>
              </w:rPr>
            </w:pPr>
            <w:r w:rsidRPr="00FA19AC">
              <w:rPr>
                <w:rFonts w:ascii="Times New Roman" w:eastAsia="仿宋_GB2312" w:hAnsi="Times New Roman" w:cs="Arial Unicode MS" w:hint="eastAsia"/>
                <w:color w:val="000000"/>
                <w:szCs w:val="21"/>
              </w:rPr>
              <w:t>投资者确认栏：</w:t>
            </w:r>
            <w:r w:rsidRPr="00FA19AC">
              <w:rPr>
                <w:rFonts w:ascii="Times New Roman" w:eastAsia="仿宋_GB2312" w:hAnsi="Times New Roman" w:cs="Arial Unicode MS"/>
                <w:color w:val="000000"/>
                <w:szCs w:val="21"/>
                <w:u w:val="single"/>
              </w:rPr>
              <w:t xml:space="preserve">                                                                     </w:t>
            </w:r>
          </w:p>
          <w:p w:rsidR="00951D2C" w:rsidRPr="00FA19AC" w:rsidRDefault="00951D2C" w:rsidP="00A8002E">
            <w:pPr>
              <w:spacing w:line="400" w:lineRule="exact"/>
              <w:rPr>
                <w:rFonts w:ascii="Times New Roman" w:eastAsia="仿宋_GB2312" w:hAnsi="Times New Roman" w:cs="Arial Unicode MS"/>
                <w:color w:val="000000"/>
                <w:szCs w:val="21"/>
                <w:u w:val="single"/>
              </w:rPr>
            </w:pPr>
          </w:p>
          <w:p w:rsidR="00951D2C" w:rsidRPr="00FA19AC" w:rsidRDefault="00951D2C" w:rsidP="00A8002E">
            <w:pPr>
              <w:spacing w:line="400" w:lineRule="exact"/>
              <w:rPr>
                <w:rFonts w:ascii="Times New Roman" w:eastAsia="仿宋_GB2312" w:hAnsi="Times New Roman" w:cs="Arial Unicode MS"/>
                <w:color w:val="000000"/>
                <w:szCs w:val="21"/>
              </w:rPr>
            </w:pPr>
            <w:r w:rsidRPr="00FA19AC">
              <w:rPr>
                <w:rFonts w:ascii="Times New Roman" w:eastAsia="仿宋_GB2312" w:hAnsi="Times New Roman" w:cs="Arial Unicode MS"/>
                <w:color w:val="000000"/>
                <w:szCs w:val="21"/>
                <w:u w:val="single"/>
              </w:rPr>
              <w:t xml:space="preserve">                                                                                   </w:t>
            </w:r>
          </w:p>
          <w:p w:rsidR="00951D2C" w:rsidRPr="00FA19AC" w:rsidRDefault="00951D2C" w:rsidP="00A8002E">
            <w:pPr>
              <w:spacing w:line="400" w:lineRule="exact"/>
              <w:rPr>
                <w:rFonts w:ascii="Times New Roman" w:eastAsia="仿宋_GB2312" w:hAnsi="Times New Roman" w:cs="Arial Unicode MS"/>
                <w:color w:val="000000"/>
                <w:szCs w:val="21"/>
              </w:rPr>
            </w:pPr>
          </w:p>
          <w:p w:rsidR="00951D2C" w:rsidRDefault="00951D2C" w:rsidP="00A8002E">
            <w:pPr>
              <w:spacing w:line="400" w:lineRule="exact"/>
              <w:ind w:firstLine="284"/>
              <w:rPr>
                <w:rFonts w:ascii="Times New Roman" w:eastAsia="仿宋_GB2312" w:hAnsi="Times New Roman"/>
                <w:b/>
                <w:color w:val="000000"/>
                <w:szCs w:val="21"/>
              </w:rPr>
            </w:pPr>
            <w:r w:rsidRPr="00FA19AC">
              <w:rPr>
                <w:rFonts w:ascii="Times New Roman" w:eastAsia="仿宋_GB2312" w:hAnsi="Times New Roman" w:cs="Arial Unicode MS" w:hint="eastAsia"/>
                <w:color w:val="000000"/>
                <w:szCs w:val="21"/>
              </w:rPr>
              <w:t>投资者签名：</w:t>
            </w:r>
            <w:r w:rsidRPr="00FA19AC">
              <w:rPr>
                <w:rFonts w:ascii="Times New Roman" w:eastAsia="仿宋_GB2312" w:hAnsi="Times New Roman" w:cs="Arial Unicode MS"/>
                <w:color w:val="000000"/>
                <w:szCs w:val="21"/>
                <w:u w:val="single"/>
              </w:rPr>
              <w:t xml:space="preserve">                 </w:t>
            </w:r>
            <w:r w:rsidRPr="00FA19AC">
              <w:rPr>
                <w:rFonts w:ascii="Times New Roman" w:eastAsia="仿宋_GB2312" w:hAnsi="Times New Roman" w:cs="Arial Unicode MS"/>
                <w:color w:val="000000"/>
                <w:szCs w:val="21"/>
              </w:rPr>
              <w:t xml:space="preserve">                </w:t>
            </w:r>
            <w:r w:rsidRPr="00FA19AC">
              <w:rPr>
                <w:rFonts w:ascii="Times New Roman" w:eastAsia="仿宋_GB2312" w:hAnsi="Times New Roman"/>
                <w:color w:val="000000"/>
                <w:szCs w:val="21"/>
                <w:u w:val="single"/>
              </w:rPr>
              <w:t xml:space="preserve">        </w:t>
            </w:r>
            <w:r w:rsidRPr="00FA19AC">
              <w:rPr>
                <w:rFonts w:ascii="Times New Roman" w:eastAsia="仿宋_GB2312" w:hAnsi="Times New Roman" w:hint="eastAsia"/>
                <w:color w:val="000000"/>
                <w:szCs w:val="21"/>
              </w:rPr>
              <w:t>年</w:t>
            </w:r>
            <w:r w:rsidRPr="00FA19AC">
              <w:rPr>
                <w:rFonts w:ascii="Times New Roman" w:eastAsia="仿宋_GB2312" w:hAnsi="Times New Roman"/>
                <w:color w:val="000000"/>
                <w:szCs w:val="21"/>
                <w:u w:val="single"/>
              </w:rPr>
              <w:t xml:space="preserve">     </w:t>
            </w:r>
            <w:r w:rsidRPr="00FA19AC">
              <w:rPr>
                <w:rFonts w:ascii="Times New Roman" w:eastAsia="仿宋_GB2312" w:hAnsi="Times New Roman" w:hint="eastAsia"/>
                <w:color w:val="000000"/>
                <w:szCs w:val="21"/>
              </w:rPr>
              <w:t>月</w:t>
            </w:r>
            <w:r w:rsidRPr="00FA19AC">
              <w:rPr>
                <w:rFonts w:ascii="Times New Roman" w:eastAsia="仿宋_GB2312" w:hAnsi="Times New Roman"/>
                <w:color w:val="000000"/>
                <w:szCs w:val="21"/>
                <w:u w:val="single"/>
              </w:rPr>
              <w:t xml:space="preserve">      </w:t>
            </w:r>
            <w:r w:rsidRPr="00FA19AC">
              <w:rPr>
                <w:rFonts w:ascii="Times New Roman" w:eastAsia="仿宋_GB2312" w:hAnsi="Times New Roman" w:hint="eastAsia"/>
                <w:color w:val="000000"/>
                <w:szCs w:val="21"/>
              </w:rPr>
              <w:t>日</w:t>
            </w:r>
          </w:p>
        </w:tc>
      </w:tr>
    </w:tbl>
    <w:p w:rsidR="00D65B04" w:rsidRPr="00951D2C" w:rsidRDefault="00D65B04" w:rsidP="00D65B04">
      <w:pPr>
        <w:rPr>
          <w:szCs w:val="21"/>
        </w:rPr>
      </w:pPr>
    </w:p>
    <w:p w:rsidR="00F7775A" w:rsidRPr="00D65B04" w:rsidRDefault="00F7775A" w:rsidP="00D65B04"/>
    <w:sectPr w:rsidR="00F7775A" w:rsidRPr="00D65B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7B8" w:rsidRDefault="005647B8" w:rsidP="00D964F8">
      <w:r>
        <w:separator/>
      </w:r>
    </w:p>
  </w:endnote>
  <w:endnote w:type="continuationSeparator" w:id="0">
    <w:p w:rsidR="005647B8" w:rsidRDefault="005647B8"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7B8" w:rsidRDefault="005647B8" w:rsidP="00D964F8">
      <w:r>
        <w:separator/>
      </w:r>
    </w:p>
  </w:footnote>
  <w:footnote w:type="continuationSeparator" w:id="0">
    <w:p w:rsidR="005647B8" w:rsidRDefault="005647B8"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1647B9"/>
    <w:rsid w:val="00166904"/>
    <w:rsid w:val="001C640F"/>
    <w:rsid w:val="001F5344"/>
    <w:rsid w:val="002510D4"/>
    <w:rsid w:val="002B79CB"/>
    <w:rsid w:val="00373B67"/>
    <w:rsid w:val="003A5523"/>
    <w:rsid w:val="003A6577"/>
    <w:rsid w:val="003D0735"/>
    <w:rsid w:val="003F6A6A"/>
    <w:rsid w:val="0041170C"/>
    <w:rsid w:val="004663B6"/>
    <w:rsid w:val="00486EC5"/>
    <w:rsid w:val="004D1190"/>
    <w:rsid w:val="005255F1"/>
    <w:rsid w:val="005647B8"/>
    <w:rsid w:val="00611A9B"/>
    <w:rsid w:val="0068225E"/>
    <w:rsid w:val="00774A1C"/>
    <w:rsid w:val="007A7D29"/>
    <w:rsid w:val="007B0BC2"/>
    <w:rsid w:val="007D48BF"/>
    <w:rsid w:val="00861112"/>
    <w:rsid w:val="008B154D"/>
    <w:rsid w:val="008F2E56"/>
    <w:rsid w:val="008F77DE"/>
    <w:rsid w:val="00942E83"/>
    <w:rsid w:val="009500C0"/>
    <w:rsid w:val="00951D2C"/>
    <w:rsid w:val="0098271F"/>
    <w:rsid w:val="00995CB3"/>
    <w:rsid w:val="009B1077"/>
    <w:rsid w:val="009C05DE"/>
    <w:rsid w:val="00A8002E"/>
    <w:rsid w:val="00B37C41"/>
    <w:rsid w:val="00BB12A4"/>
    <w:rsid w:val="00BE4F76"/>
    <w:rsid w:val="00CE7111"/>
    <w:rsid w:val="00D32529"/>
    <w:rsid w:val="00D50278"/>
    <w:rsid w:val="00D6223E"/>
    <w:rsid w:val="00D65B04"/>
    <w:rsid w:val="00D964F8"/>
    <w:rsid w:val="00E24090"/>
    <w:rsid w:val="00ED7DD5"/>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54</cp:revision>
  <dcterms:created xsi:type="dcterms:W3CDTF">2020-04-28T03:10:00Z</dcterms:created>
  <dcterms:modified xsi:type="dcterms:W3CDTF">2022-12-16T01:41:00Z</dcterms:modified>
</cp:coreProperties>
</file>