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4FE9" w14:textId="77777777" w:rsidR="00D15257" w:rsidRDefault="00D15257" w:rsidP="00D15257">
      <w:pPr>
        <w:spacing w:line="360" w:lineRule="auto"/>
        <w:jc w:val="center"/>
        <w:rPr>
          <w:rFonts w:ascii="宋体" w:eastAsia="宋体" w:hAnsi="宋体" w:cs="宋体"/>
          <w:b/>
          <w:bCs/>
          <w:color w:val="000000"/>
          <w:sz w:val="32"/>
          <w:szCs w:val="32"/>
        </w:rPr>
      </w:pPr>
      <w:proofErr w:type="gramStart"/>
      <w:r>
        <w:rPr>
          <w:rFonts w:ascii="宋体" w:eastAsia="宋体" w:hAnsi="宋体" w:cs="宋体" w:hint="eastAsia"/>
          <w:b/>
          <w:bCs/>
          <w:color w:val="000000"/>
          <w:sz w:val="32"/>
          <w:szCs w:val="32"/>
        </w:rPr>
        <w:t>杭银理财</w:t>
      </w:r>
      <w:proofErr w:type="gramEnd"/>
      <w:r>
        <w:rPr>
          <w:rFonts w:ascii="宋体" w:eastAsia="宋体" w:hAnsi="宋体" w:cs="宋体" w:hint="eastAsia"/>
          <w:b/>
          <w:bCs/>
          <w:color w:val="000000"/>
          <w:sz w:val="32"/>
          <w:szCs w:val="32"/>
        </w:rPr>
        <w:t>投资者权益须知</w:t>
      </w:r>
    </w:p>
    <w:p w14:paraId="138673E4" w14:textId="77777777" w:rsidR="00D15257" w:rsidRDefault="00D15257" w:rsidP="00D15257">
      <w:pPr>
        <w:jc w:val="center"/>
        <w:rPr>
          <w:rFonts w:ascii="宋体" w:eastAsia="宋体" w:hAnsi="宋体" w:cs="宋体"/>
          <w:b/>
          <w:bCs/>
          <w:color w:val="000000"/>
        </w:rPr>
      </w:pPr>
      <w:r>
        <w:rPr>
          <w:rFonts w:ascii="宋体" w:eastAsia="宋体" w:hAnsi="宋体" w:cs="宋体" w:hint="eastAsia"/>
        </w:rPr>
        <w:t>（202101版）</w:t>
      </w:r>
    </w:p>
    <w:p w14:paraId="2818A7EE" w14:textId="77777777" w:rsidR="00D15257" w:rsidRDefault="00D15257" w:rsidP="00D15257">
      <w:pPr>
        <w:spacing w:line="360" w:lineRule="auto"/>
        <w:jc w:val="center"/>
        <w:rPr>
          <w:rFonts w:ascii="宋体" w:eastAsia="宋体" w:hAnsi="宋体" w:cs="宋体"/>
          <w:b/>
          <w:bCs/>
          <w:u w:val="single"/>
        </w:rPr>
      </w:pPr>
      <w:r>
        <w:rPr>
          <w:rFonts w:ascii="宋体" w:eastAsia="宋体" w:hAnsi="宋体" w:cs="宋体" w:hint="eastAsia"/>
          <w:b/>
          <w:bCs/>
          <w:u w:val="single"/>
        </w:rPr>
        <w:t>理财非存款、产品有风险、投资须谨慎</w:t>
      </w:r>
    </w:p>
    <w:p w14:paraId="54EF0E7B" w14:textId="77777777" w:rsidR="00D15257" w:rsidRDefault="00D15257" w:rsidP="00D15257">
      <w:pPr>
        <w:spacing w:line="360" w:lineRule="auto"/>
        <w:rPr>
          <w:rFonts w:ascii="宋体" w:eastAsia="宋体" w:hAnsi="宋体" w:cs="宋体"/>
          <w:kern w:val="0"/>
        </w:rPr>
      </w:pPr>
      <w:r>
        <w:rPr>
          <w:rFonts w:ascii="宋体" w:eastAsia="宋体" w:hAnsi="宋体" w:cs="宋体" w:hint="eastAsia"/>
          <w:kern w:val="0"/>
        </w:rPr>
        <w:t>尊敬的投资者：</w:t>
      </w:r>
    </w:p>
    <w:p w14:paraId="720B6749" w14:textId="77777777" w:rsidR="00D15257" w:rsidRDefault="00D15257" w:rsidP="00D15257">
      <w:pPr>
        <w:spacing w:line="360" w:lineRule="auto"/>
        <w:ind w:firstLineChars="200" w:firstLine="420"/>
        <w:rPr>
          <w:rFonts w:ascii="宋体" w:eastAsia="宋体" w:hAnsi="宋体" w:cs="宋体"/>
          <w:kern w:val="0"/>
        </w:rPr>
      </w:pPr>
      <w:r>
        <w:rPr>
          <w:rFonts w:ascii="宋体" w:eastAsia="宋体" w:hAnsi="宋体" w:cs="宋体" w:hint="eastAsia"/>
          <w:kern w:val="0"/>
        </w:rPr>
        <w:t>感谢您</w:t>
      </w:r>
      <w:proofErr w:type="gramStart"/>
      <w:r>
        <w:rPr>
          <w:rFonts w:ascii="宋体" w:eastAsia="宋体" w:hAnsi="宋体" w:cs="宋体" w:hint="eastAsia"/>
          <w:kern w:val="0"/>
        </w:rPr>
        <w:t>对杭银理财</w:t>
      </w:r>
      <w:proofErr w:type="gramEnd"/>
      <w:r>
        <w:rPr>
          <w:rFonts w:ascii="宋体" w:eastAsia="宋体" w:hAnsi="宋体" w:cs="宋体" w:hint="eastAsia"/>
          <w:kern w:val="0"/>
        </w:rPr>
        <w:t>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14:paraId="3A865D39" w14:textId="77777777" w:rsidR="00D15257" w:rsidRDefault="00D15257" w:rsidP="00D15257">
      <w:pPr>
        <w:numPr>
          <w:ilvl w:val="0"/>
          <w:numId w:val="1"/>
        </w:numPr>
        <w:spacing w:line="360" w:lineRule="auto"/>
        <w:rPr>
          <w:rFonts w:ascii="宋体" w:eastAsia="宋体" w:hAnsi="宋体" w:cs="宋体"/>
          <w:b/>
          <w:bCs/>
          <w:kern w:val="0"/>
        </w:rPr>
      </w:pPr>
      <w:r>
        <w:rPr>
          <w:rFonts w:ascii="宋体" w:eastAsia="宋体" w:hAnsi="宋体" w:cs="宋体" w:hint="eastAsia"/>
          <w:b/>
          <w:bCs/>
          <w:kern w:val="0"/>
        </w:rPr>
        <w:t>理财计划办理流程</w:t>
      </w:r>
    </w:p>
    <w:p w14:paraId="4FB3175E" w14:textId="77777777" w:rsidR="00D15257" w:rsidRDefault="00D15257" w:rsidP="00D15257">
      <w:pPr>
        <w:numPr>
          <w:ilvl w:val="0"/>
          <w:numId w:val="2"/>
        </w:numPr>
        <w:spacing w:line="360" w:lineRule="auto"/>
        <w:rPr>
          <w:rFonts w:ascii="宋体" w:eastAsia="宋体" w:hAnsi="宋体" w:cs="宋体"/>
          <w:kern w:val="0"/>
        </w:rPr>
      </w:pPr>
      <w:r>
        <w:rPr>
          <w:rFonts w:ascii="宋体" w:eastAsia="宋体" w:hAnsi="宋体" w:cs="宋体" w:hint="eastAsia"/>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14:paraId="24944BD0" w14:textId="77777777" w:rsidR="00D15257" w:rsidRDefault="00D15257" w:rsidP="00D15257">
      <w:pPr>
        <w:numPr>
          <w:ilvl w:val="0"/>
          <w:numId w:val="2"/>
        </w:numPr>
        <w:spacing w:line="360" w:lineRule="auto"/>
        <w:rPr>
          <w:rFonts w:ascii="宋体" w:eastAsia="宋体" w:hAnsi="宋体" w:cs="宋体"/>
          <w:kern w:val="0"/>
        </w:rPr>
      </w:pPr>
      <w:r>
        <w:rPr>
          <w:rFonts w:ascii="宋体" w:eastAsia="宋体" w:hAnsi="宋体" w:cs="宋体" w:hint="eastAsia"/>
          <w:kern w:val="0"/>
        </w:rPr>
        <w:t>首次在销售机构购买杭银</w:t>
      </w:r>
      <w:proofErr w:type="gramStart"/>
      <w:r>
        <w:rPr>
          <w:rFonts w:ascii="宋体" w:eastAsia="宋体" w:hAnsi="宋体" w:cs="宋体" w:hint="eastAsia"/>
          <w:kern w:val="0"/>
        </w:rPr>
        <w:t>理财理财</w:t>
      </w:r>
      <w:proofErr w:type="gramEnd"/>
      <w:r>
        <w:rPr>
          <w:rFonts w:ascii="宋体" w:eastAsia="宋体" w:hAnsi="宋体" w:cs="宋体" w:hint="eastAsia"/>
          <w:kern w:val="0"/>
        </w:rPr>
        <w:t>计划的个人投资者须接受并完成销售机构对您的风险承受能力评估，并确认风险承受能力等级不低于本理财计划风险评级。</w:t>
      </w:r>
    </w:p>
    <w:p w14:paraId="682D3C28" w14:textId="77777777" w:rsidR="00D15257" w:rsidRDefault="00D15257" w:rsidP="00D15257">
      <w:pPr>
        <w:numPr>
          <w:ilvl w:val="0"/>
          <w:numId w:val="2"/>
        </w:numPr>
        <w:spacing w:line="360" w:lineRule="auto"/>
        <w:rPr>
          <w:rFonts w:ascii="宋体" w:eastAsia="宋体" w:hAnsi="宋体" w:cs="宋体"/>
          <w:kern w:val="0"/>
        </w:rPr>
      </w:pPr>
      <w:r>
        <w:rPr>
          <w:rFonts w:ascii="宋体" w:eastAsia="宋体" w:hAnsi="宋体" w:cs="宋体" w:hint="eastAsia"/>
          <w:kern w:val="0"/>
        </w:rPr>
        <w:t>投资者应仔细阅读本理财计划完整合同（包括但不限于风险揭示书、理财计划产品说明书、投资者权益须知、理财计划投资协议书和理财计划销售协议书）等相关协议文件，确认对理财计划条款及风险理解并无疑问和异议后，自主</w:t>
      </w:r>
      <w:proofErr w:type="gramStart"/>
      <w:r>
        <w:rPr>
          <w:rFonts w:ascii="宋体" w:eastAsia="宋体" w:hAnsi="宋体" w:cs="宋体" w:hint="eastAsia"/>
          <w:kern w:val="0"/>
        </w:rPr>
        <w:t>作出</w:t>
      </w:r>
      <w:proofErr w:type="gramEnd"/>
      <w:r>
        <w:rPr>
          <w:rFonts w:ascii="宋体" w:eastAsia="宋体" w:hAnsi="宋体" w:cs="宋体" w:hint="eastAsia"/>
          <w:kern w:val="0"/>
        </w:rPr>
        <w:t>认（申）购和赎回决定，独立抄录风险确认语句并签署相关销售文件，办理理财计划交易手续，自主承担投资风险。</w:t>
      </w:r>
    </w:p>
    <w:p w14:paraId="2A69C351" w14:textId="77777777" w:rsidR="00D15257" w:rsidRDefault="00D15257" w:rsidP="00D15257">
      <w:pPr>
        <w:numPr>
          <w:ilvl w:val="0"/>
          <w:numId w:val="2"/>
        </w:numPr>
        <w:spacing w:line="360" w:lineRule="auto"/>
        <w:rPr>
          <w:rFonts w:ascii="宋体" w:eastAsia="宋体" w:hAnsi="宋体" w:cs="宋体"/>
          <w:kern w:val="0"/>
        </w:rPr>
      </w:pPr>
      <w:r>
        <w:rPr>
          <w:rFonts w:ascii="宋体" w:eastAsia="宋体" w:hAnsi="宋体" w:cs="宋体" w:hint="eastAsia"/>
          <w:kern w:val="0"/>
        </w:rPr>
        <w:t>如在银行营业场所购买杭银</w:t>
      </w:r>
      <w:proofErr w:type="gramStart"/>
      <w:r>
        <w:rPr>
          <w:rFonts w:ascii="宋体" w:eastAsia="宋体" w:hAnsi="宋体" w:cs="宋体" w:hint="eastAsia"/>
          <w:kern w:val="0"/>
        </w:rPr>
        <w:t>理财理财</w:t>
      </w:r>
      <w:proofErr w:type="gramEnd"/>
      <w:r>
        <w:rPr>
          <w:rFonts w:ascii="宋体" w:eastAsia="宋体" w:hAnsi="宋体" w:cs="宋体" w:hint="eastAsia"/>
          <w:kern w:val="0"/>
        </w:rPr>
        <w:t>计划，销售机构需对每笔理财计划销售过程同步录音录像。</w:t>
      </w:r>
    </w:p>
    <w:p w14:paraId="3676CCC6" w14:textId="77777777" w:rsidR="00D15257" w:rsidRDefault="00D15257" w:rsidP="00D15257">
      <w:pPr>
        <w:numPr>
          <w:ilvl w:val="0"/>
          <w:numId w:val="2"/>
        </w:numPr>
        <w:spacing w:line="360" w:lineRule="auto"/>
        <w:rPr>
          <w:rFonts w:ascii="宋体" w:eastAsia="宋体" w:hAnsi="宋体" w:cs="宋体"/>
          <w:kern w:val="0"/>
        </w:rPr>
      </w:pPr>
      <w:r>
        <w:rPr>
          <w:rFonts w:ascii="宋体" w:eastAsia="宋体" w:hAnsi="宋体" w:cs="宋体" w:hint="eastAsia"/>
          <w:kern w:val="0"/>
        </w:rPr>
        <w:t>投资者确定交易金额，完成交易申请，并在确认份额后进行查询。</w:t>
      </w:r>
    </w:p>
    <w:p w14:paraId="069A9350" w14:textId="77777777" w:rsidR="00D15257" w:rsidRDefault="00D15257" w:rsidP="00D15257">
      <w:pPr>
        <w:numPr>
          <w:ilvl w:val="0"/>
          <w:numId w:val="3"/>
        </w:numPr>
        <w:spacing w:line="360" w:lineRule="auto"/>
        <w:rPr>
          <w:rFonts w:ascii="宋体" w:eastAsia="宋体" w:hAnsi="宋体" w:cs="宋体"/>
          <w:b/>
          <w:bCs/>
          <w:kern w:val="0"/>
        </w:rPr>
      </w:pPr>
      <w:proofErr w:type="gramStart"/>
      <w:r>
        <w:rPr>
          <w:rFonts w:ascii="宋体" w:eastAsia="宋体" w:hAnsi="宋体" w:cs="宋体" w:hint="eastAsia"/>
          <w:b/>
          <w:bCs/>
          <w:kern w:val="0"/>
        </w:rPr>
        <w:t>杭银理财</w:t>
      </w:r>
      <w:proofErr w:type="gramEnd"/>
      <w:r>
        <w:rPr>
          <w:rFonts w:ascii="宋体" w:eastAsia="宋体" w:hAnsi="宋体" w:cs="宋体" w:hint="eastAsia"/>
          <w:b/>
          <w:bCs/>
          <w:kern w:val="0"/>
        </w:rPr>
        <w:t>产品风险评级</w:t>
      </w:r>
    </w:p>
    <w:p w14:paraId="73120D32" w14:textId="77777777" w:rsidR="00D15257" w:rsidRDefault="00D15257" w:rsidP="00D15257">
      <w:pPr>
        <w:spacing w:line="360" w:lineRule="auto"/>
        <w:ind w:firstLineChars="200" w:firstLine="420"/>
        <w:rPr>
          <w:rFonts w:ascii="宋体" w:eastAsia="宋体" w:hAnsi="宋体" w:cs="宋体"/>
          <w:kern w:val="0"/>
        </w:rPr>
      </w:pPr>
      <w:r>
        <w:rPr>
          <w:rFonts w:ascii="宋体" w:eastAsia="宋体" w:hAnsi="宋体" w:cs="宋体" w:hint="eastAsia"/>
          <w:kern w:val="0"/>
        </w:rPr>
        <w:t>产品类型按照风险由低到高依次划分为低风险（R1）、中低风险（R2）、中等风险（R3）、中高风险（R4）和高风险（R5）五个级别，</w:t>
      </w:r>
      <w:proofErr w:type="gramStart"/>
      <w:r>
        <w:rPr>
          <w:rFonts w:ascii="宋体" w:eastAsia="宋体" w:hAnsi="宋体" w:cs="宋体" w:hint="eastAsia"/>
          <w:kern w:val="0"/>
        </w:rPr>
        <w:t>杭银理财</w:t>
      </w:r>
      <w:proofErr w:type="gramEnd"/>
      <w:r>
        <w:rPr>
          <w:rFonts w:ascii="宋体" w:eastAsia="宋体" w:hAnsi="宋体" w:cs="宋体" w:hint="eastAsia"/>
          <w:kern w:val="0"/>
        </w:rPr>
        <w:t>根据产品投资组合、实际的风险控制情况、投资运作情况等确定产品归属的风险等级，并在产品说明书中对产品风险等级及其适合销售的投资者范围进行披露，</w:t>
      </w:r>
      <w:proofErr w:type="gramStart"/>
      <w:r>
        <w:rPr>
          <w:rFonts w:ascii="宋体" w:eastAsia="宋体" w:hAnsi="宋体" w:cs="宋体" w:hint="eastAsia"/>
          <w:kern w:val="0"/>
        </w:rPr>
        <w:t>属于杭银理财</w:t>
      </w:r>
      <w:proofErr w:type="gramEnd"/>
      <w:r>
        <w:rPr>
          <w:rFonts w:ascii="宋体" w:eastAsia="宋体" w:hAnsi="宋体" w:cs="宋体" w:hint="eastAsia"/>
          <w:kern w:val="0"/>
        </w:rPr>
        <w:t>内部评级，仅供投资者参考，不具有任何法律约束力。各级产品的风险特性如下：</w:t>
      </w:r>
    </w:p>
    <w:p w14:paraId="16912CA8" w14:textId="77777777" w:rsidR="00D15257" w:rsidRDefault="00D15257" w:rsidP="00D15257">
      <w:pPr>
        <w:spacing w:line="360" w:lineRule="auto"/>
        <w:ind w:firstLineChars="200" w:firstLine="420"/>
        <w:rPr>
          <w:rFonts w:ascii="宋体" w:eastAsia="宋体" w:hAnsi="宋体" w:cs="宋体"/>
          <w:kern w:val="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4287"/>
        <w:gridCol w:w="2490"/>
      </w:tblGrid>
      <w:tr w:rsidR="00D15257" w14:paraId="311106AD" w14:textId="77777777" w:rsidTr="00397A29">
        <w:trPr>
          <w:jc w:val="center"/>
        </w:trPr>
        <w:tc>
          <w:tcPr>
            <w:tcW w:w="1745" w:type="dxa"/>
            <w:tcBorders>
              <w:top w:val="single" w:sz="4" w:space="0" w:color="auto"/>
              <w:left w:val="single" w:sz="4" w:space="0" w:color="auto"/>
              <w:bottom w:val="single" w:sz="4" w:space="0" w:color="auto"/>
              <w:right w:val="single" w:sz="4" w:space="0" w:color="auto"/>
            </w:tcBorders>
            <w:vAlign w:val="center"/>
          </w:tcPr>
          <w:p w14:paraId="5A6AD550" w14:textId="77777777" w:rsidR="00D15257" w:rsidRDefault="00D15257" w:rsidP="00397A29">
            <w:pPr>
              <w:spacing w:line="360" w:lineRule="auto"/>
              <w:jc w:val="center"/>
              <w:rPr>
                <w:rFonts w:ascii="宋体" w:eastAsia="宋体" w:hAnsi="宋体" w:cs="宋体"/>
                <w:b/>
                <w:bCs/>
                <w:kern w:val="0"/>
              </w:rPr>
            </w:pPr>
            <w:r>
              <w:rPr>
                <w:rFonts w:ascii="宋体" w:eastAsia="宋体" w:hAnsi="宋体" w:cs="宋体" w:hint="eastAsia"/>
                <w:b/>
                <w:bCs/>
                <w:kern w:val="0"/>
              </w:rPr>
              <w:lastRenderedPageBreak/>
              <w:t>产品风险等级</w:t>
            </w:r>
          </w:p>
        </w:tc>
        <w:tc>
          <w:tcPr>
            <w:tcW w:w="4287" w:type="dxa"/>
            <w:tcBorders>
              <w:top w:val="single" w:sz="4" w:space="0" w:color="auto"/>
              <w:left w:val="nil"/>
              <w:bottom w:val="single" w:sz="4" w:space="0" w:color="auto"/>
              <w:right w:val="single" w:sz="4" w:space="0" w:color="auto"/>
            </w:tcBorders>
            <w:vAlign w:val="center"/>
          </w:tcPr>
          <w:p w14:paraId="4F864550" w14:textId="77777777" w:rsidR="00D15257" w:rsidRDefault="00D15257" w:rsidP="00397A29">
            <w:pPr>
              <w:spacing w:line="360" w:lineRule="auto"/>
              <w:jc w:val="center"/>
              <w:rPr>
                <w:rFonts w:ascii="宋体" w:eastAsia="宋体" w:hAnsi="宋体" w:cs="宋体"/>
                <w:b/>
                <w:bCs/>
                <w:kern w:val="0"/>
              </w:rPr>
            </w:pPr>
            <w:r>
              <w:rPr>
                <w:rFonts w:ascii="宋体" w:eastAsia="宋体" w:hAnsi="宋体" w:cs="宋体" w:hint="eastAsia"/>
                <w:b/>
                <w:bCs/>
                <w:kern w:val="0"/>
              </w:rPr>
              <w:t>风险等级说明</w:t>
            </w:r>
          </w:p>
        </w:tc>
        <w:tc>
          <w:tcPr>
            <w:tcW w:w="2490" w:type="dxa"/>
            <w:tcBorders>
              <w:top w:val="single" w:sz="4" w:space="0" w:color="auto"/>
              <w:left w:val="nil"/>
              <w:bottom w:val="single" w:sz="4" w:space="0" w:color="auto"/>
              <w:right w:val="single" w:sz="4" w:space="0" w:color="auto"/>
            </w:tcBorders>
            <w:vAlign w:val="center"/>
          </w:tcPr>
          <w:p w14:paraId="6D1DF370" w14:textId="77777777" w:rsidR="00D15257" w:rsidRDefault="00D15257" w:rsidP="00397A29">
            <w:pPr>
              <w:spacing w:line="360" w:lineRule="auto"/>
              <w:jc w:val="center"/>
              <w:rPr>
                <w:rFonts w:ascii="宋体" w:eastAsia="宋体" w:hAnsi="宋体" w:cs="宋体"/>
                <w:b/>
                <w:bCs/>
                <w:kern w:val="0"/>
              </w:rPr>
            </w:pPr>
            <w:r>
              <w:rPr>
                <w:rFonts w:ascii="宋体" w:eastAsia="宋体" w:hAnsi="宋体" w:cs="宋体" w:hint="eastAsia"/>
                <w:b/>
                <w:bCs/>
                <w:kern w:val="0"/>
              </w:rPr>
              <w:t>适合销售的投资者</w:t>
            </w:r>
          </w:p>
        </w:tc>
      </w:tr>
      <w:tr w:rsidR="00D15257" w14:paraId="2BE54932" w14:textId="77777777" w:rsidTr="00397A29">
        <w:trPr>
          <w:jc w:val="center"/>
        </w:trPr>
        <w:tc>
          <w:tcPr>
            <w:tcW w:w="1745" w:type="dxa"/>
            <w:tcBorders>
              <w:top w:val="single" w:sz="4" w:space="0" w:color="auto"/>
              <w:left w:val="single" w:sz="4" w:space="0" w:color="auto"/>
              <w:bottom w:val="single" w:sz="4" w:space="0" w:color="auto"/>
              <w:right w:val="single" w:sz="4" w:space="0" w:color="auto"/>
            </w:tcBorders>
            <w:vAlign w:val="center"/>
          </w:tcPr>
          <w:p w14:paraId="7539DF67" w14:textId="77777777" w:rsidR="00D15257" w:rsidRDefault="00D15257" w:rsidP="00397A29">
            <w:pPr>
              <w:spacing w:line="360" w:lineRule="auto"/>
              <w:jc w:val="center"/>
              <w:rPr>
                <w:rFonts w:ascii="宋体" w:eastAsia="宋体" w:hAnsi="宋体" w:cs="宋体"/>
                <w:kern w:val="0"/>
              </w:rPr>
            </w:pPr>
            <w:r>
              <w:rPr>
                <w:rFonts w:ascii="宋体" w:eastAsia="宋体" w:hAnsi="宋体" w:cs="宋体" w:hint="eastAsia"/>
                <w:kern w:val="0"/>
              </w:rPr>
              <w:t>R1</w:t>
            </w:r>
          </w:p>
        </w:tc>
        <w:tc>
          <w:tcPr>
            <w:tcW w:w="4287" w:type="dxa"/>
            <w:tcBorders>
              <w:top w:val="single" w:sz="4" w:space="0" w:color="auto"/>
              <w:left w:val="nil"/>
              <w:bottom w:val="single" w:sz="4" w:space="0" w:color="auto"/>
              <w:right w:val="single" w:sz="4" w:space="0" w:color="auto"/>
            </w:tcBorders>
            <w:vAlign w:val="center"/>
          </w:tcPr>
          <w:p w14:paraId="483C7A56"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产品总体风险程度低，收益波动小，产品本金安全性高，收益不能实现的可能性很小</w:t>
            </w:r>
          </w:p>
        </w:tc>
        <w:tc>
          <w:tcPr>
            <w:tcW w:w="2490" w:type="dxa"/>
            <w:tcBorders>
              <w:top w:val="single" w:sz="4" w:space="0" w:color="auto"/>
              <w:left w:val="nil"/>
              <w:bottom w:val="single" w:sz="4" w:space="0" w:color="auto"/>
              <w:right w:val="single" w:sz="4" w:space="0" w:color="auto"/>
            </w:tcBorders>
            <w:vAlign w:val="center"/>
          </w:tcPr>
          <w:p w14:paraId="532E2243"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机构投资者及保守型、稳健型、平衡型、成长型、进取型的个人投资者</w:t>
            </w:r>
          </w:p>
        </w:tc>
      </w:tr>
      <w:tr w:rsidR="00D15257" w14:paraId="2D9C3F7F" w14:textId="77777777" w:rsidTr="00397A29">
        <w:trPr>
          <w:jc w:val="center"/>
        </w:trPr>
        <w:tc>
          <w:tcPr>
            <w:tcW w:w="1745" w:type="dxa"/>
            <w:tcBorders>
              <w:top w:val="single" w:sz="4" w:space="0" w:color="auto"/>
              <w:left w:val="single" w:sz="4" w:space="0" w:color="auto"/>
              <w:bottom w:val="single" w:sz="4" w:space="0" w:color="auto"/>
              <w:right w:val="single" w:sz="4" w:space="0" w:color="auto"/>
            </w:tcBorders>
            <w:vAlign w:val="center"/>
          </w:tcPr>
          <w:p w14:paraId="1635C960" w14:textId="77777777" w:rsidR="00D15257" w:rsidRDefault="00D15257" w:rsidP="00397A29">
            <w:pPr>
              <w:spacing w:line="360" w:lineRule="auto"/>
              <w:jc w:val="center"/>
              <w:rPr>
                <w:rFonts w:ascii="宋体" w:eastAsia="宋体" w:hAnsi="宋体" w:cs="宋体"/>
                <w:kern w:val="0"/>
              </w:rPr>
            </w:pPr>
            <w:r>
              <w:rPr>
                <w:rFonts w:ascii="宋体" w:eastAsia="宋体" w:hAnsi="宋体" w:cs="宋体" w:hint="eastAsia"/>
                <w:kern w:val="0"/>
              </w:rPr>
              <w:t>R2</w:t>
            </w:r>
          </w:p>
        </w:tc>
        <w:tc>
          <w:tcPr>
            <w:tcW w:w="4287" w:type="dxa"/>
            <w:tcBorders>
              <w:top w:val="single" w:sz="4" w:space="0" w:color="auto"/>
              <w:left w:val="nil"/>
              <w:bottom w:val="single" w:sz="4" w:space="0" w:color="auto"/>
              <w:right w:val="single" w:sz="4" w:space="0" w:color="auto"/>
            </w:tcBorders>
            <w:vAlign w:val="center"/>
          </w:tcPr>
          <w:p w14:paraId="287B22EC"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产品总体风险程度较低，收益波动较小，虽然存在一些可能对产品本金和收益安全产生不利影响的因素，但产品本金出现损失的可能性较小</w:t>
            </w:r>
          </w:p>
        </w:tc>
        <w:tc>
          <w:tcPr>
            <w:tcW w:w="2490" w:type="dxa"/>
            <w:tcBorders>
              <w:top w:val="single" w:sz="4" w:space="0" w:color="auto"/>
              <w:left w:val="nil"/>
              <w:bottom w:val="single" w:sz="4" w:space="0" w:color="auto"/>
              <w:right w:val="single" w:sz="4" w:space="0" w:color="auto"/>
            </w:tcBorders>
            <w:vAlign w:val="center"/>
          </w:tcPr>
          <w:p w14:paraId="16F7704F"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机构投资者及稳健型、平衡型、成长型、进取型的个人投资者</w:t>
            </w:r>
          </w:p>
        </w:tc>
      </w:tr>
      <w:tr w:rsidR="00D15257" w14:paraId="2303A3A3" w14:textId="77777777" w:rsidTr="00397A29">
        <w:trPr>
          <w:jc w:val="center"/>
        </w:trPr>
        <w:tc>
          <w:tcPr>
            <w:tcW w:w="1745" w:type="dxa"/>
            <w:tcBorders>
              <w:top w:val="single" w:sz="4" w:space="0" w:color="auto"/>
              <w:left w:val="single" w:sz="4" w:space="0" w:color="auto"/>
              <w:bottom w:val="single" w:sz="4" w:space="0" w:color="auto"/>
              <w:right w:val="single" w:sz="4" w:space="0" w:color="auto"/>
            </w:tcBorders>
            <w:vAlign w:val="center"/>
          </w:tcPr>
          <w:p w14:paraId="5E3CB8D6" w14:textId="77777777" w:rsidR="00D15257" w:rsidRDefault="00D15257" w:rsidP="00397A29">
            <w:pPr>
              <w:spacing w:line="360" w:lineRule="auto"/>
              <w:jc w:val="center"/>
              <w:rPr>
                <w:rFonts w:ascii="宋体" w:eastAsia="宋体" w:hAnsi="宋体" w:cs="宋体"/>
                <w:kern w:val="0"/>
              </w:rPr>
            </w:pPr>
            <w:r>
              <w:rPr>
                <w:rFonts w:ascii="宋体" w:eastAsia="宋体" w:hAnsi="宋体" w:cs="宋体" w:hint="eastAsia"/>
                <w:kern w:val="0"/>
              </w:rPr>
              <w:t>R3</w:t>
            </w:r>
          </w:p>
        </w:tc>
        <w:tc>
          <w:tcPr>
            <w:tcW w:w="4287" w:type="dxa"/>
            <w:tcBorders>
              <w:top w:val="single" w:sz="4" w:space="0" w:color="auto"/>
              <w:left w:val="nil"/>
              <w:bottom w:val="single" w:sz="4" w:space="0" w:color="auto"/>
              <w:right w:val="single" w:sz="4" w:space="0" w:color="auto"/>
            </w:tcBorders>
            <w:vAlign w:val="center"/>
          </w:tcPr>
          <w:p w14:paraId="5A8BD171"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产品总体风险程度适中，收益存在一定的波动，产品本金出现损失的可能性不容忽视</w:t>
            </w:r>
          </w:p>
        </w:tc>
        <w:tc>
          <w:tcPr>
            <w:tcW w:w="2490" w:type="dxa"/>
            <w:tcBorders>
              <w:top w:val="single" w:sz="4" w:space="0" w:color="auto"/>
              <w:left w:val="nil"/>
              <w:bottom w:val="single" w:sz="4" w:space="0" w:color="auto"/>
              <w:right w:val="single" w:sz="4" w:space="0" w:color="auto"/>
            </w:tcBorders>
            <w:vAlign w:val="center"/>
          </w:tcPr>
          <w:p w14:paraId="40EEC4E0"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机构投资者及平衡型、成长型、进取型的个人投资者</w:t>
            </w:r>
          </w:p>
        </w:tc>
      </w:tr>
      <w:tr w:rsidR="00D15257" w14:paraId="5CCA0E5F" w14:textId="77777777" w:rsidTr="00397A29">
        <w:trPr>
          <w:jc w:val="center"/>
        </w:trPr>
        <w:tc>
          <w:tcPr>
            <w:tcW w:w="1745" w:type="dxa"/>
            <w:tcBorders>
              <w:top w:val="single" w:sz="4" w:space="0" w:color="auto"/>
              <w:left w:val="single" w:sz="4" w:space="0" w:color="auto"/>
              <w:bottom w:val="single" w:sz="4" w:space="0" w:color="auto"/>
              <w:right w:val="single" w:sz="4" w:space="0" w:color="auto"/>
            </w:tcBorders>
            <w:vAlign w:val="center"/>
          </w:tcPr>
          <w:p w14:paraId="5DA96B05" w14:textId="77777777" w:rsidR="00D15257" w:rsidRDefault="00D15257" w:rsidP="00397A29">
            <w:pPr>
              <w:spacing w:line="360" w:lineRule="auto"/>
              <w:jc w:val="center"/>
              <w:rPr>
                <w:rFonts w:ascii="宋体" w:eastAsia="宋体" w:hAnsi="宋体" w:cs="宋体"/>
                <w:kern w:val="0"/>
              </w:rPr>
            </w:pPr>
            <w:r>
              <w:rPr>
                <w:rFonts w:ascii="宋体" w:eastAsia="宋体" w:hAnsi="宋体" w:cs="宋体" w:hint="eastAsia"/>
                <w:kern w:val="0"/>
              </w:rPr>
              <w:t>R4</w:t>
            </w:r>
          </w:p>
        </w:tc>
        <w:tc>
          <w:tcPr>
            <w:tcW w:w="4287" w:type="dxa"/>
            <w:tcBorders>
              <w:top w:val="single" w:sz="4" w:space="0" w:color="auto"/>
              <w:left w:val="nil"/>
              <w:bottom w:val="single" w:sz="4" w:space="0" w:color="auto"/>
              <w:right w:val="single" w:sz="4" w:space="0" w:color="auto"/>
            </w:tcBorders>
            <w:vAlign w:val="center"/>
          </w:tcPr>
          <w:p w14:paraId="477B919B"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产品总体风险程度较高，收益波动较明显，产品本金出现损失的可能性高</w:t>
            </w:r>
          </w:p>
        </w:tc>
        <w:tc>
          <w:tcPr>
            <w:tcW w:w="2490" w:type="dxa"/>
            <w:tcBorders>
              <w:top w:val="single" w:sz="4" w:space="0" w:color="auto"/>
              <w:left w:val="nil"/>
              <w:bottom w:val="single" w:sz="4" w:space="0" w:color="auto"/>
              <w:right w:val="single" w:sz="4" w:space="0" w:color="auto"/>
            </w:tcBorders>
            <w:vAlign w:val="center"/>
          </w:tcPr>
          <w:p w14:paraId="6A8DCBA3"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机构投资者及成长型、进取型的个人投资者</w:t>
            </w:r>
          </w:p>
        </w:tc>
      </w:tr>
      <w:tr w:rsidR="00D15257" w14:paraId="2230442A" w14:textId="77777777" w:rsidTr="00397A29">
        <w:trPr>
          <w:jc w:val="center"/>
        </w:trPr>
        <w:tc>
          <w:tcPr>
            <w:tcW w:w="1745" w:type="dxa"/>
            <w:tcBorders>
              <w:top w:val="single" w:sz="4" w:space="0" w:color="auto"/>
              <w:left w:val="single" w:sz="4" w:space="0" w:color="auto"/>
              <w:bottom w:val="single" w:sz="4" w:space="0" w:color="auto"/>
              <w:right w:val="single" w:sz="4" w:space="0" w:color="auto"/>
            </w:tcBorders>
            <w:vAlign w:val="center"/>
          </w:tcPr>
          <w:p w14:paraId="4E962A67" w14:textId="77777777" w:rsidR="00D15257" w:rsidRDefault="00D15257" w:rsidP="00397A29">
            <w:pPr>
              <w:spacing w:line="360" w:lineRule="auto"/>
              <w:jc w:val="center"/>
              <w:rPr>
                <w:rFonts w:ascii="宋体" w:eastAsia="宋体" w:hAnsi="宋体" w:cs="宋体"/>
                <w:kern w:val="0"/>
              </w:rPr>
            </w:pPr>
            <w:r>
              <w:rPr>
                <w:rFonts w:ascii="宋体" w:eastAsia="宋体" w:hAnsi="宋体" w:cs="宋体" w:hint="eastAsia"/>
                <w:kern w:val="0"/>
              </w:rPr>
              <w:t>R5</w:t>
            </w:r>
          </w:p>
        </w:tc>
        <w:tc>
          <w:tcPr>
            <w:tcW w:w="4287" w:type="dxa"/>
            <w:tcBorders>
              <w:top w:val="single" w:sz="4" w:space="0" w:color="auto"/>
              <w:left w:val="nil"/>
              <w:bottom w:val="single" w:sz="4" w:space="0" w:color="auto"/>
              <w:right w:val="single" w:sz="4" w:space="0" w:color="auto"/>
            </w:tcBorders>
            <w:vAlign w:val="center"/>
          </w:tcPr>
          <w:p w14:paraId="71E58DBA"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产品总体风险程度高，收益波动明显，产品本金出现损失的可能性很高，产品本金出现全部损失的可能性不容忽视</w:t>
            </w:r>
          </w:p>
        </w:tc>
        <w:tc>
          <w:tcPr>
            <w:tcW w:w="2490" w:type="dxa"/>
            <w:tcBorders>
              <w:top w:val="single" w:sz="4" w:space="0" w:color="auto"/>
              <w:left w:val="nil"/>
              <w:bottom w:val="single" w:sz="4" w:space="0" w:color="auto"/>
              <w:right w:val="single" w:sz="4" w:space="0" w:color="auto"/>
            </w:tcBorders>
            <w:vAlign w:val="center"/>
          </w:tcPr>
          <w:p w14:paraId="0E7B1062" w14:textId="77777777" w:rsidR="00D15257" w:rsidRDefault="00D15257" w:rsidP="00397A29">
            <w:pPr>
              <w:spacing w:line="360" w:lineRule="auto"/>
              <w:rPr>
                <w:rFonts w:ascii="宋体" w:eastAsia="宋体" w:hAnsi="宋体" w:cs="宋体"/>
                <w:kern w:val="0"/>
              </w:rPr>
            </w:pPr>
            <w:r>
              <w:rPr>
                <w:rFonts w:ascii="宋体" w:eastAsia="宋体" w:hAnsi="宋体" w:cs="宋体" w:hint="eastAsia"/>
                <w:kern w:val="0"/>
              </w:rPr>
              <w:t>机构投资者及进取型的个人投资者</w:t>
            </w:r>
          </w:p>
        </w:tc>
      </w:tr>
    </w:tbl>
    <w:p w14:paraId="30B3BA74" w14:textId="77777777" w:rsidR="00D15257" w:rsidRDefault="00D15257" w:rsidP="00D15257">
      <w:pPr>
        <w:numPr>
          <w:ilvl w:val="0"/>
          <w:numId w:val="4"/>
        </w:numPr>
        <w:spacing w:line="360" w:lineRule="auto"/>
        <w:rPr>
          <w:rFonts w:ascii="宋体" w:eastAsia="宋体" w:hAnsi="宋体" w:cs="宋体"/>
          <w:b/>
          <w:bCs/>
          <w:kern w:val="0"/>
        </w:rPr>
      </w:pPr>
      <w:r>
        <w:rPr>
          <w:rFonts w:ascii="宋体" w:eastAsia="宋体" w:hAnsi="宋体" w:cs="宋体" w:hint="eastAsia"/>
          <w:b/>
          <w:bCs/>
          <w:kern w:val="0"/>
        </w:rPr>
        <w:t>投资者风险承受能力评估</w:t>
      </w:r>
    </w:p>
    <w:p w14:paraId="7A04BAA5" w14:textId="77777777" w:rsidR="00D15257" w:rsidRDefault="00D15257" w:rsidP="00D15257">
      <w:pPr>
        <w:numPr>
          <w:ilvl w:val="0"/>
          <w:numId w:val="5"/>
        </w:numPr>
        <w:spacing w:line="360" w:lineRule="auto"/>
        <w:rPr>
          <w:rFonts w:ascii="宋体" w:eastAsia="宋体" w:hAnsi="宋体" w:cs="宋体"/>
          <w:kern w:val="0"/>
        </w:rPr>
      </w:pPr>
      <w:r>
        <w:rPr>
          <w:rFonts w:ascii="宋体" w:eastAsia="宋体" w:hAnsi="宋体" w:cs="宋体" w:hint="eastAsia"/>
          <w:kern w:val="0"/>
        </w:rPr>
        <w:t>本理财计划销售工作及投资者适当性评估由销售机构负责。个人投资者首次通过销售机构购买杭银</w:t>
      </w:r>
      <w:proofErr w:type="gramStart"/>
      <w:r>
        <w:rPr>
          <w:rFonts w:ascii="宋体" w:eastAsia="宋体" w:hAnsi="宋体" w:cs="宋体" w:hint="eastAsia"/>
          <w:kern w:val="0"/>
        </w:rPr>
        <w:t>理财理财</w:t>
      </w:r>
      <w:proofErr w:type="gramEnd"/>
      <w:r>
        <w:rPr>
          <w:rFonts w:ascii="宋体" w:eastAsia="宋体" w:hAnsi="宋体" w:cs="宋体" w:hint="eastAsia"/>
          <w:kern w:val="0"/>
        </w:rPr>
        <w:t>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14:paraId="22794939" w14:textId="77777777" w:rsidR="00D15257" w:rsidRDefault="00D15257" w:rsidP="00D15257">
      <w:pPr>
        <w:numPr>
          <w:ilvl w:val="0"/>
          <w:numId w:val="5"/>
        </w:numPr>
        <w:spacing w:line="360" w:lineRule="auto"/>
        <w:rPr>
          <w:rFonts w:ascii="宋体" w:eastAsia="宋体" w:hAnsi="宋体" w:cs="宋体"/>
          <w:kern w:val="0"/>
        </w:rPr>
      </w:pPr>
      <w:r>
        <w:rPr>
          <w:rFonts w:ascii="宋体" w:eastAsia="宋体" w:hAnsi="宋体" w:cs="宋体" w:hint="eastAsia"/>
          <w:kern w:val="0"/>
        </w:rPr>
        <w:t>个人投资者风险承受能力评估结果有效期为一年，如风险承受能力评估时效已超过一年，或影响风险承受能力的因素发生变化，请及时完成风险承受能力的重新评估。</w:t>
      </w:r>
    </w:p>
    <w:p w14:paraId="21FADE29" w14:textId="77777777" w:rsidR="00D15257" w:rsidRDefault="00D15257" w:rsidP="00D15257">
      <w:pPr>
        <w:numPr>
          <w:ilvl w:val="0"/>
          <w:numId w:val="5"/>
        </w:numPr>
        <w:spacing w:line="360" w:lineRule="auto"/>
        <w:rPr>
          <w:rFonts w:ascii="宋体" w:eastAsia="宋体" w:hAnsi="宋体" w:cs="宋体"/>
          <w:kern w:val="0"/>
        </w:rPr>
      </w:pPr>
      <w:r>
        <w:rPr>
          <w:rFonts w:ascii="宋体" w:eastAsia="宋体" w:hAnsi="宋体" w:cs="宋体" w:hint="eastAsia"/>
          <w:kern w:val="0"/>
        </w:rPr>
        <w:t>个人投资者风险承受能力评估流程（详</w:t>
      </w:r>
      <w:proofErr w:type="gramStart"/>
      <w:r>
        <w:rPr>
          <w:rFonts w:ascii="宋体" w:eastAsia="宋体" w:hAnsi="宋体" w:cs="宋体" w:hint="eastAsia"/>
          <w:kern w:val="0"/>
        </w:rPr>
        <w:t>询</w:t>
      </w:r>
      <w:proofErr w:type="gramEnd"/>
      <w:r>
        <w:rPr>
          <w:rFonts w:ascii="宋体" w:eastAsia="宋体" w:hAnsi="宋体" w:cs="宋体" w:hint="eastAsia"/>
          <w:kern w:val="0"/>
        </w:rPr>
        <w:t>销售机构工作人员）</w:t>
      </w:r>
    </w:p>
    <w:p w14:paraId="30298531" w14:textId="77777777" w:rsidR="00D15257" w:rsidRDefault="00D15257" w:rsidP="00D15257">
      <w:pPr>
        <w:numPr>
          <w:ilvl w:val="0"/>
          <w:numId w:val="6"/>
        </w:numPr>
        <w:spacing w:line="360" w:lineRule="auto"/>
        <w:rPr>
          <w:rFonts w:ascii="宋体" w:eastAsia="宋体" w:hAnsi="宋体" w:cs="宋体"/>
          <w:kern w:val="0"/>
        </w:rPr>
      </w:pPr>
      <w:r>
        <w:rPr>
          <w:rFonts w:ascii="宋体" w:eastAsia="宋体" w:hAnsi="宋体" w:cs="宋体" w:hint="eastAsia"/>
          <w:kern w:val="0"/>
        </w:rPr>
        <w:t>个人投资者在销售机构进行风险承受能力评估；</w:t>
      </w:r>
    </w:p>
    <w:p w14:paraId="43E7686A" w14:textId="77777777" w:rsidR="00D15257" w:rsidRDefault="00D15257" w:rsidP="00D15257">
      <w:pPr>
        <w:numPr>
          <w:ilvl w:val="0"/>
          <w:numId w:val="6"/>
        </w:numPr>
        <w:spacing w:line="360" w:lineRule="auto"/>
        <w:rPr>
          <w:rFonts w:ascii="宋体" w:eastAsia="宋体" w:hAnsi="宋体" w:cs="宋体"/>
          <w:kern w:val="0"/>
        </w:rPr>
      </w:pPr>
      <w:r>
        <w:rPr>
          <w:rFonts w:ascii="宋体" w:eastAsia="宋体" w:hAnsi="宋体" w:cs="宋体" w:hint="eastAsia"/>
          <w:kern w:val="0"/>
        </w:rPr>
        <w:t>填写销售机构个人投资者风险承受能力测试问卷；</w:t>
      </w:r>
    </w:p>
    <w:p w14:paraId="1F9D8C84" w14:textId="77777777" w:rsidR="00D15257" w:rsidRDefault="00D15257" w:rsidP="00D15257">
      <w:pPr>
        <w:numPr>
          <w:ilvl w:val="0"/>
          <w:numId w:val="6"/>
        </w:numPr>
        <w:spacing w:line="360" w:lineRule="auto"/>
        <w:rPr>
          <w:rFonts w:ascii="宋体" w:eastAsia="宋体" w:hAnsi="宋体" w:cs="宋体"/>
          <w:kern w:val="0"/>
        </w:rPr>
      </w:pPr>
      <w:r>
        <w:rPr>
          <w:rFonts w:ascii="宋体" w:eastAsia="宋体" w:hAnsi="宋体" w:cs="宋体" w:hint="eastAsia"/>
          <w:kern w:val="0"/>
        </w:rPr>
        <w:t>生成相应的个人投资者风险承受能力评估结果；</w:t>
      </w:r>
    </w:p>
    <w:p w14:paraId="7A246DE7" w14:textId="77777777" w:rsidR="00D15257" w:rsidRDefault="00D15257" w:rsidP="00D15257">
      <w:pPr>
        <w:numPr>
          <w:ilvl w:val="0"/>
          <w:numId w:val="6"/>
        </w:numPr>
        <w:spacing w:line="360" w:lineRule="auto"/>
        <w:rPr>
          <w:rFonts w:ascii="宋体" w:eastAsia="宋体" w:hAnsi="宋体" w:cs="宋体"/>
          <w:kern w:val="0"/>
        </w:rPr>
      </w:pPr>
      <w:r>
        <w:rPr>
          <w:rFonts w:ascii="宋体" w:eastAsia="宋体" w:hAnsi="宋体" w:cs="宋体" w:hint="eastAsia"/>
          <w:kern w:val="0"/>
        </w:rPr>
        <w:t>投资者对评估结果进行确认。</w:t>
      </w:r>
    </w:p>
    <w:p w14:paraId="629941D5" w14:textId="77777777" w:rsidR="00D15257" w:rsidRDefault="00D15257" w:rsidP="00D15257">
      <w:pPr>
        <w:numPr>
          <w:ilvl w:val="0"/>
          <w:numId w:val="7"/>
        </w:numPr>
        <w:spacing w:line="360" w:lineRule="auto"/>
        <w:rPr>
          <w:rFonts w:ascii="宋体" w:eastAsia="宋体" w:hAnsi="宋体" w:cs="宋体"/>
          <w:kern w:val="0"/>
        </w:rPr>
      </w:pPr>
      <w:r>
        <w:rPr>
          <w:rFonts w:ascii="宋体" w:eastAsia="宋体" w:hAnsi="宋体" w:cs="宋体" w:hint="eastAsia"/>
          <w:kern w:val="0"/>
        </w:rPr>
        <w:t>风险承受能力评估结果将作为评价个人投资者是否适合购买理财计划的重要因</w:t>
      </w:r>
      <w:r>
        <w:rPr>
          <w:rFonts w:ascii="宋体" w:eastAsia="宋体" w:hAnsi="宋体" w:cs="宋体" w:hint="eastAsia"/>
          <w:kern w:val="0"/>
        </w:rPr>
        <w:lastRenderedPageBreak/>
        <w:t>素，风险承受能力评级越高适合购买的理财计划风险评级越高，适合购买的理财计划类型越丰富。</w:t>
      </w:r>
    </w:p>
    <w:p w14:paraId="2C7F7F97" w14:textId="77777777" w:rsidR="00D15257" w:rsidRDefault="00D15257" w:rsidP="00D15257">
      <w:pPr>
        <w:numPr>
          <w:ilvl w:val="0"/>
          <w:numId w:val="7"/>
        </w:numPr>
        <w:spacing w:line="360" w:lineRule="auto"/>
        <w:rPr>
          <w:rFonts w:ascii="宋体" w:eastAsia="宋体" w:hAnsi="宋体" w:cs="宋体"/>
          <w:kern w:val="0"/>
        </w:rPr>
      </w:pPr>
      <w:r>
        <w:rPr>
          <w:rFonts w:ascii="宋体" w:eastAsia="宋体" w:hAnsi="宋体" w:cs="宋体" w:hint="eastAsia"/>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14:paraId="324E9D52" w14:textId="77777777" w:rsidR="00D15257" w:rsidRDefault="00D15257" w:rsidP="00D15257">
      <w:pPr>
        <w:numPr>
          <w:ilvl w:val="0"/>
          <w:numId w:val="7"/>
        </w:numPr>
        <w:spacing w:line="360" w:lineRule="auto"/>
        <w:rPr>
          <w:rFonts w:ascii="宋体" w:eastAsia="宋体" w:hAnsi="宋体" w:cs="宋体"/>
          <w:kern w:val="0"/>
        </w:rPr>
      </w:pPr>
      <w:r>
        <w:rPr>
          <w:rFonts w:ascii="宋体" w:eastAsia="宋体" w:hAnsi="宋体" w:cs="宋体" w:hint="eastAsia"/>
          <w:kern w:val="0"/>
        </w:rPr>
        <w:t>机构投资者购买理财计划前无须进行风险评估能力测试。机构投资者不适用个人投资者的风险承受能力评估，</w:t>
      </w:r>
      <w:proofErr w:type="gramStart"/>
      <w:r>
        <w:rPr>
          <w:rFonts w:ascii="宋体" w:eastAsia="宋体" w:hAnsi="宋体" w:cs="宋体" w:hint="eastAsia"/>
          <w:kern w:val="0"/>
        </w:rPr>
        <w:t>请机构</w:t>
      </w:r>
      <w:proofErr w:type="gramEnd"/>
      <w:r>
        <w:rPr>
          <w:rFonts w:ascii="宋体" w:eastAsia="宋体" w:hAnsi="宋体" w:cs="宋体" w:hint="eastAsia"/>
          <w:kern w:val="0"/>
        </w:rPr>
        <w:t>投资者根据自身财务状况、投资风格、资金需求等要素，并在阅读本权益须知、产品说明书和风险揭示书的基础上，充分认识投资本理财计划需要承担的风险。</w:t>
      </w:r>
    </w:p>
    <w:p w14:paraId="0CF627FC" w14:textId="77777777" w:rsidR="00D15257" w:rsidRDefault="00D15257" w:rsidP="00D15257">
      <w:pPr>
        <w:spacing w:line="360" w:lineRule="auto"/>
        <w:ind w:firstLineChars="200" w:firstLine="422"/>
        <w:rPr>
          <w:rFonts w:ascii="宋体" w:eastAsia="宋体" w:hAnsi="宋体" w:cs="宋体"/>
          <w:b/>
          <w:bCs/>
          <w:kern w:val="0"/>
        </w:rPr>
      </w:pPr>
      <w:r>
        <w:rPr>
          <w:rFonts w:ascii="宋体" w:eastAsia="宋体" w:hAnsi="宋体" w:cs="宋体" w:hint="eastAsia"/>
          <w:b/>
          <w:bCs/>
          <w:kern w:val="0"/>
        </w:rPr>
        <w:t>四、理财计划信息披露</w:t>
      </w:r>
    </w:p>
    <w:p w14:paraId="5A68B62D" w14:textId="77777777" w:rsidR="00D15257" w:rsidRDefault="00D15257" w:rsidP="00D15257">
      <w:pPr>
        <w:spacing w:line="360" w:lineRule="auto"/>
        <w:ind w:firstLineChars="200" w:firstLine="420"/>
        <w:rPr>
          <w:rFonts w:ascii="宋体" w:eastAsia="宋体" w:hAnsi="宋体" w:cs="宋体"/>
          <w:kern w:val="0"/>
        </w:rPr>
      </w:pPr>
      <w:r>
        <w:rPr>
          <w:rFonts w:ascii="宋体" w:eastAsia="宋体" w:hAnsi="宋体" w:cs="宋体" w:hint="eastAsia"/>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14:paraId="7E21CF0F" w14:textId="77777777" w:rsidR="00D15257" w:rsidRDefault="00D15257" w:rsidP="00D15257">
      <w:pPr>
        <w:spacing w:line="360" w:lineRule="auto"/>
        <w:ind w:firstLineChars="200" w:firstLine="422"/>
        <w:rPr>
          <w:rFonts w:ascii="宋体" w:eastAsia="宋体" w:hAnsi="宋体" w:cs="宋体"/>
          <w:b/>
          <w:bCs/>
          <w:kern w:val="0"/>
        </w:rPr>
      </w:pPr>
      <w:r>
        <w:rPr>
          <w:rFonts w:ascii="宋体" w:eastAsia="宋体" w:hAnsi="宋体" w:cs="宋体" w:hint="eastAsia"/>
          <w:b/>
          <w:bCs/>
          <w:kern w:val="0"/>
        </w:rPr>
        <w:t>五、投资者信息管理</w:t>
      </w:r>
    </w:p>
    <w:p w14:paraId="7211762C" w14:textId="77777777" w:rsidR="00D15257" w:rsidRDefault="00D15257" w:rsidP="00D15257">
      <w:pPr>
        <w:spacing w:line="360" w:lineRule="auto"/>
        <w:ind w:firstLineChars="200" w:firstLine="420"/>
        <w:rPr>
          <w:rFonts w:ascii="宋体" w:eastAsia="宋体" w:hAnsi="宋体" w:cs="宋体"/>
          <w:kern w:val="0"/>
        </w:rPr>
      </w:pPr>
      <w:r>
        <w:rPr>
          <w:rFonts w:ascii="宋体" w:eastAsia="宋体" w:hAnsi="宋体" w:cs="宋体" w:hint="eastAsia"/>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14:paraId="22EF5C6A" w14:textId="77777777" w:rsidR="00D15257" w:rsidRDefault="00D15257" w:rsidP="00D15257">
      <w:pPr>
        <w:spacing w:line="360" w:lineRule="auto"/>
        <w:ind w:firstLineChars="200" w:firstLine="420"/>
        <w:rPr>
          <w:rFonts w:ascii="宋体" w:eastAsia="宋体" w:hAnsi="宋体" w:cs="宋体"/>
          <w:kern w:val="0"/>
        </w:rPr>
      </w:pPr>
      <w:r>
        <w:rPr>
          <w:rFonts w:ascii="宋体" w:eastAsia="宋体" w:hAnsi="宋体" w:cs="宋体" w:hint="eastAsia"/>
          <w:kern w:val="0"/>
        </w:rPr>
        <w:t>本公司及销售机构收集、使用个人信息，应当按照法律法规规定，遵循正当、必要原则，保证信息采集、处理及使用的安全性和合法性。未经客户专门授权，不得将投资者信息及相关理财计划销售信息提供</w:t>
      </w:r>
      <w:proofErr w:type="gramStart"/>
      <w:r>
        <w:rPr>
          <w:rFonts w:ascii="宋体" w:eastAsia="宋体" w:hAnsi="宋体" w:cs="宋体" w:hint="eastAsia"/>
          <w:kern w:val="0"/>
        </w:rPr>
        <w:t>其他第三</w:t>
      </w:r>
      <w:proofErr w:type="gramEnd"/>
      <w:r>
        <w:rPr>
          <w:rFonts w:ascii="宋体" w:eastAsia="宋体" w:hAnsi="宋体" w:cs="宋体" w:hint="eastAsia"/>
          <w:kern w:val="0"/>
        </w:rPr>
        <w:t>方机构和个人，法律、行政法规和国务院银行业监督管理机构另有规定的除外。</w:t>
      </w:r>
    </w:p>
    <w:p w14:paraId="53B90DAC" w14:textId="77777777" w:rsidR="00D15257" w:rsidRDefault="00D15257" w:rsidP="00D15257">
      <w:pPr>
        <w:spacing w:line="360" w:lineRule="auto"/>
        <w:ind w:firstLineChars="200" w:firstLine="422"/>
        <w:rPr>
          <w:rFonts w:ascii="宋体" w:eastAsia="宋体" w:hAnsi="宋体" w:cs="宋体"/>
          <w:b/>
          <w:bCs/>
          <w:kern w:val="0"/>
        </w:rPr>
      </w:pPr>
      <w:r>
        <w:rPr>
          <w:rFonts w:ascii="宋体" w:eastAsia="宋体" w:hAnsi="宋体" w:cs="宋体" w:hint="eastAsia"/>
          <w:b/>
          <w:bCs/>
          <w:kern w:val="0"/>
        </w:rPr>
        <w:t>六、投诉与建议</w:t>
      </w:r>
    </w:p>
    <w:p w14:paraId="7D4E5E0A" w14:textId="77777777" w:rsidR="00D15257" w:rsidRDefault="00D15257" w:rsidP="00D15257">
      <w:pPr>
        <w:numPr>
          <w:ilvl w:val="0"/>
          <w:numId w:val="8"/>
        </w:numPr>
        <w:spacing w:line="360" w:lineRule="auto"/>
        <w:rPr>
          <w:rFonts w:ascii="宋体" w:eastAsia="宋体" w:hAnsi="宋体" w:cs="宋体"/>
          <w:kern w:val="0"/>
        </w:rPr>
      </w:pPr>
      <w:r>
        <w:rPr>
          <w:rFonts w:ascii="宋体" w:eastAsia="宋体" w:hAnsi="宋体" w:cs="宋体" w:hint="eastAsia"/>
          <w:kern w:val="0"/>
        </w:rPr>
        <w:t>投资者如认为销售机构推介、销售理财计划时有不实或未尽风险告知职责或其它疑义事项，或对理财计划、销售机构及理财计划管理人服务有任何意见或建议，可通过拨打销售机构热线或客</w:t>
      </w:r>
      <w:proofErr w:type="gramStart"/>
      <w:r>
        <w:rPr>
          <w:rFonts w:ascii="宋体" w:eastAsia="宋体" w:hAnsi="宋体" w:cs="宋体" w:hint="eastAsia"/>
          <w:kern w:val="0"/>
        </w:rPr>
        <w:t>服电话</w:t>
      </w:r>
      <w:proofErr w:type="gramEnd"/>
      <w:r>
        <w:rPr>
          <w:rFonts w:ascii="宋体" w:eastAsia="宋体" w:hAnsi="宋体" w:cs="宋体" w:hint="eastAsia"/>
          <w:kern w:val="0"/>
        </w:rPr>
        <w:t>进行反馈。销售机构将由专人接听、记录您的意见建议，并由双方协商共同解决。</w:t>
      </w:r>
    </w:p>
    <w:p w14:paraId="427AAEAD" w14:textId="77777777" w:rsidR="00D15257" w:rsidRDefault="00D15257" w:rsidP="00D15257">
      <w:pPr>
        <w:numPr>
          <w:ilvl w:val="0"/>
          <w:numId w:val="8"/>
        </w:numPr>
        <w:spacing w:line="360" w:lineRule="auto"/>
        <w:rPr>
          <w:rFonts w:ascii="宋体" w:eastAsia="宋体" w:hAnsi="宋体" w:cs="宋体"/>
          <w:kern w:val="0"/>
        </w:rPr>
      </w:pPr>
      <w:r>
        <w:rPr>
          <w:rFonts w:ascii="宋体" w:eastAsia="宋体" w:hAnsi="宋体" w:cs="宋体" w:hint="eastAsia"/>
          <w:kern w:val="0"/>
        </w:rPr>
        <w:t>联络方式</w:t>
      </w:r>
    </w:p>
    <w:p w14:paraId="778C053A" w14:textId="77777777" w:rsidR="00D15257" w:rsidRDefault="00D15257" w:rsidP="00D15257">
      <w:pPr>
        <w:spacing w:line="360" w:lineRule="auto"/>
        <w:ind w:firstLineChars="200" w:firstLine="420"/>
        <w:rPr>
          <w:rFonts w:ascii="宋体" w:eastAsia="宋体" w:hAnsi="宋体" w:cs="宋体"/>
          <w:kern w:val="0"/>
        </w:rPr>
      </w:pPr>
      <w:r>
        <w:rPr>
          <w:rFonts w:ascii="宋体" w:eastAsia="宋体" w:hAnsi="宋体" w:cs="宋体" w:hint="eastAsia"/>
          <w:kern w:val="0"/>
        </w:rPr>
        <w:lastRenderedPageBreak/>
        <w:t>在杭州银行（作为销售机构）购买本理财计划的请联系杭州银行，杭州银行客户服务热线：95398、4008888508，杭州银行官方网站：www.hzbank.com.cn。</w:t>
      </w:r>
    </w:p>
    <w:p w14:paraId="51B16EDE" w14:textId="77777777" w:rsidR="00D15257" w:rsidRDefault="00D15257" w:rsidP="00D15257">
      <w:pPr>
        <w:spacing w:line="360" w:lineRule="auto"/>
        <w:ind w:firstLineChars="200" w:firstLine="420"/>
        <w:rPr>
          <w:rFonts w:ascii="宋体" w:eastAsia="宋体" w:hAnsi="宋体" w:cs="宋体"/>
          <w:kern w:val="0"/>
        </w:rPr>
      </w:pPr>
      <w:r>
        <w:rPr>
          <w:rFonts w:ascii="宋体" w:eastAsia="宋体" w:hAnsi="宋体" w:cs="宋体" w:hint="eastAsia"/>
          <w:kern w:val="0"/>
        </w:rPr>
        <w:t>在其他销售机构购买理财计划的，请联系其他销售机构，联系方式以其披露为准。</w:t>
      </w:r>
    </w:p>
    <w:p w14:paraId="1EF70A99" w14:textId="77777777" w:rsidR="00D15257" w:rsidRDefault="00D15257" w:rsidP="00D15257">
      <w:pPr>
        <w:spacing w:line="360" w:lineRule="auto"/>
        <w:ind w:firstLineChars="200" w:firstLine="420"/>
        <w:rPr>
          <w:rFonts w:ascii="宋体" w:eastAsia="宋体" w:hAnsi="宋体" w:cs="宋体"/>
          <w:kern w:val="0"/>
        </w:rPr>
      </w:pPr>
      <w:proofErr w:type="gramStart"/>
      <w:r>
        <w:rPr>
          <w:rFonts w:ascii="宋体" w:eastAsia="宋体" w:hAnsi="宋体" w:cs="宋体" w:hint="eastAsia"/>
          <w:kern w:val="0"/>
        </w:rPr>
        <w:t>杭银理财</w:t>
      </w:r>
      <w:proofErr w:type="gramEnd"/>
      <w:r>
        <w:rPr>
          <w:rFonts w:ascii="宋体" w:eastAsia="宋体" w:hAnsi="宋体" w:cs="宋体" w:hint="eastAsia"/>
          <w:kern w:val="0"/>
        </w:rPr>
        <w:t>联络方式：</w:t>
      </w:r>
    </w:p>
    <w:p w14:paraId="065E6228" w14:textId="77777777" w:rsidR="00D15257" w:rsidRDefault="00D15257" w:rsidP="00D15257">
      <w:pPr>
        <w:pStyle w:val="ListParagraph2"/>
        <w:numPr>
          <w:ilvl w:val="0"/>
          <w:numId w:val="9"/>
        </w:numPr>
        <w:spacing w:line="360" w:lineRule="auto"/>
        <w:ind w:firstLineChars="0"/>
        <w:rPr>
          <w:rFonts w:ascii="宋体" w:eastAsia="宋体" w:hAnsi="宋体" w:cs="宋体"/>
          <w:kern w:val="0"/>
          <w:szCs w:val="21"/>
        </w:rPr>
      </w:pPr>
      <w:r>
        <w:rPr>
          <w:rFonts w:ascii="宋体" w:eastAsia="宋体" w:hAnsi="宋体" w:cs="宋体" w:hint="eastAsia"/>
          <w:kern w:val="0"/>
          <w:szCs w:val="21"/>
        </w:rPr>
        <w:t>官方网站：www.hzbankwealth.com.cn</w:t>
      </w:r>
    </w:p>
    <w:p w14:paraId="6DE85273" w14:textId="77777777" w:rsidR="00D15257" w:rsidRDefault="00D15257" w:rsidP="00D15257">
      <w:pPr>
        <w:pStyle w:val="ListParagraph2"/>
        <w:numPr>
          <w:ilvl w:val="0"/>
          <w:numId w:val="9"/>
        </w:numPr>
        <w:spacing w:line="360" w:lineRule="auto"/>
        <w:ind w:firstLineChars="0"/>
        <w:rPr>
          <w:rFonts w:ascii="宋体" w:eastAsia="宋体" w:hAnsi="宋体" w:cs="宋体"/>
        </w:rPr>
      </w:pPr>
      <w:r>
        <w:rPr>
          <w:rFonts w:ascii="宋体" w:eastAsia="宋体" w:hAnsi="宋体" w:cs="宋体" w:hint="eastAsia"/>
          <w:kern w:val="0"/>
          <w:szCs w:val="21"/>
        </w:rPr>
        <w:t>公司地址：杭州市拱</w:t>
      </w:r>
      <w:proofErr w:type="gramStart"/>
      <w:r>
        <w:rPr>
          <w:rFonts w:ascii="宋体" w:eastAsia="宋体" w:hAnsi="宋体" w:cs="宋体" w:hint="eastAsia"/>
          <w:kern w:val="0"/>
          <w:szCs w:val="21"/>
        </w:rPr>
        <w:t>墅</w:t>
      </w:r>
      <w:proofErr w:type="gramEnd"/>
      <w:r>
        <w:rPr>
          <w:rFonts w:ascii="宋体" w:eastAsia="宋体" w:hAnsi="宋体" w:cs="宋体" w:hint="eastAsia"/>
          <w:kern w:val="0"/>
          <w:szCs w:val="21"/>
        </w:rPr>
        <w:t>区庆春路38号金龙财富中心6楼</w:t>
      </w:r>
    </w:p>
    <w:p w14:paraId="04AFEF48" w14:textId="77777777" w:rsidR="00D15257" w:rsidRDefault="00D15257" w:rsidP="00D15257">
      <w:pPr>
        <w:pStyle w:val="ListParagraph2"/>
        <w:numPr>
          <w:ilvl w:val="0"/>
          <w:numId w:val="10"/>
        </w:numPr>
        <w:spacing w:line="360" w:lineRule="auto"/>
        <w:ind w:firstLineChars="0"/>
        <w:rPr>
          <w:rFonts w:ascii="宋体" w:eastAsia="宋体" w:hAnsi="宋体" w:cs="宋体"/>
        </w:rPr>
      </w:pPr>
      <w:r>
        <w:rPr>
          <w:rFonts w:ascii="宋体" w:eastAsia="宋体" w:hAnsi="宋体" w:cs="宋体" w:hint="eastAsia"/>
          <w:kern w:val="0"/>
        </w:rPr>
        <w:t>若</w:t>
      </w:r>
      <w:proofErr w:type="gramStart"/>
      <w:r>
        <w:rPr>
          <w:rFonts w:ascii="宋体" w:eastAsia="宋体" w:hAnsi="宋体" w:cs="宋体" w:hint="eastAsia"/>
          <w:kern w:val="0"/>
        </w:rPr>
        <w:t>上述联系</w:t>
      </w:r>
      <w:proofErr w:type="gramEnd"/>
      <w:r>
        <w:rPr>
          <w:rFonts w:ascii="宋体" w:eastAsia="宋体" w:hAnsi="宋体" w:cs="宋体" w:hint="eastAsia"/>
          <w:kern w:val="0"/>
        </w:rPr>
        <w:t>方式变更，</w:t>
      </w:r>
      <w:proofErr w:type="gramStart"/>
      <w:r>
        <w:rPr>
          <w:rFonts w:ascii="宋体" w:eastAsia="宋体" w:hAnsi="宋体" w:cs="宋体" w:hint="eastAsia"/>
          <w:kern w:val="0"/>
        </w:rPr>
        <w:t>杭银理财</w:t>
      </w:r>
      <w:proofErr w:type="gramEnd"/>
      <w:r>
        <w:rPr>
          <w:rFonts w:ascii="宋体" w:eastAsia="宋体" w:hAnsi="宋体" w:cs="宋体" w:hint="eastAsia"/>
          <w:kern w:val="0"/>
        </w:rPr>
        <w:t>将提前通过官方渠道及时告知投资者。</w:t>
      </w:r>
    </w:p>
    <w:p w14:paraId="4283FF1E" w14:textId="77777777" w:rsidR="00D15257" w:rsidRPr="00D15257" w:rsidRDefault="00D15257"/>
    <w:sectPr w:rsidR="00D15257" w:rsidRPr="00D15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FD6"/>
    <w:multiLevelType w:val="multilevel"/>
    <w:tmpl w:val="09966FD6"/>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6713138"/>
    <w:multiLevelType w:val="multilevel"/>
    <w:tmpl w:val="16713138"/>
    <w:lvl w:ilvl="0">
      <w:start w:val="3"/>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B720CFF"/>
    <w:multiLevelType w:val="multilevel"/>
    <w:tmpl w:val="1B720CFF"/>
    <w:lvl w:ilvl="0">
      <w:start w:val="2"/>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2961531"/>
    <w:multiLevelType w:val="multilevel"/>
    <w:tmpl w:val="22961531"/>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3A93630"/>
    <w:multiLevelType w:val="multilevel"/>
    <w:tmpl w:val="23A93630"/>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35C0F0E"/>
    <w:multiLevelType w:val="multilevel"/>
    <w:tmpl w:val="335C0F0E"/>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579E11A2"/>
    <w:multiLevelType w:val="multilevel"/>
    <w:tmpl w:val="579E11A2"/>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8F71E4A"/>
    <w:multiLevelType w:val="multilevel"/>
    <w:tmpl w:val="68F71E4A"/>
    <w:lvl w:ilvl="0">
      <w:start w:val="4"/>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6FD4618F"/>
    <w:multiLevelType w:val="multilevel"/>
    <w:tmpl w:val="6FD4618F"/>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05525612">
    <w:abstractNumId w:val="3"/>
    <w:lvlOverride w:ilvl="0">
      <w:startOverride w:val="1"/>
    </w:lvlOverride>
  </w:num>
  <w:num w:numId="2" w16cid:durableId="1464695779">
    <w:abstractNumId w:val="6"/>
    <w:lvlOverride w:ilvl="0">
      <w:startOverride w:val="1"/>
    </w:lvlOverride>
  </w:num>
  <w:num w:numId="3" w16cid:durableId="1094203685">
    <w:abstractNumId w:val="2"/>
    <w:lvlOverride w:ilvl="0">
      <w:startOverride w:val="2"/>
    </w:lvlOverride>
  </w:num>
  <w:num w:numId="4" w16cid:durableId="134419538">
    <w:abstractNumId w:val="1"/>
    <w:lvlOverride w:ilvl="0">
      <w:startOverride w:val="3"/>
    </w:lvlOverride>
  </w:num>
  <w:num w:numId="5" w16cid:durableId="1771000864">
    <w:abstractNumId w:val="8"/>
    <w:lvlOverride w:ilvl="0">
      <w:startOverride w:val="1"/>
    </w:lvlOverride>
  </w:num>
  <w:num w:numId="6" w16cid:durableId="1527979784">
    <w:abstractNumId w:val="5"/>
    <w:lvlOverride w:ilvl="0">
      <w:startOverride w:val="1"/>
    </w:lvlOverride>
  </w:num>
  <w:num w:numId="7" w16cid:durableId="844442559">
    <w:abstractNumId w:val="7"/>
    <w:lvlOverride w:ilvl="0">
      <w:startOverride w:val="4"/>
    </w:lvlOverride>
  </w:num>
  <w:num w:numId="8" w16cid:durableId="869225089">
    <w:abstractNumId w:val="0"/>
    <w:lvlOverride w:ilvl="0">
      <w:startOverride w:val="1"/>
    </w:lvlOverride>
  </w:num>
  <w:num w:numId="9" w16cid:durableId="578947234">
    <w:abstractNumId w:val="4"/>
    <w:lvlOverride w:ilvl="0">
      <w:startOverride w:val="1"/>
    </w:lvlOverride>
  </w:num>
  <w:num w:numId="10" w16cid:durableId="165016305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57"/>
    <w:rsid w:val="00D1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7155"/>
  <w15:chartTrackingRefBased/>
  <w15:docId w15:val="{00E3048C-1C89-4173-88A1-8E108601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57"/>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2">
    <w:name w:val="List Paragraph2"/>
    <w:basedOn w:val="a"/>
    <w:unhideWhenUsed/>
    <w:qFormat/>
    <w:rsid w:val="00D15257"/>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chi</dc:creator>
  <cp:keywords/>
  <dc:description/>
  <cp:lastModifiedBy>zhang chi</cp:lastModifiedBy>
  <cp:revision>1</cp:revision>
  <dcterms:created xsi:type="dcterms:W3CDTF">2022-10-24T01:36:00Z</dcterms:created>
  <dcterms:modified xsi:type="dcterms:W3CDTF">2022-10-24T01:36:00Z</dcterms:modified>
</cp:coreProperties>
</file>