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9EC56" w14:textId="77777777" w:rsidR="00E3486E" w:rsidRDefault="00E3486E" w:rsidP="00E3486E">
      <w:pPr>
        <w:autoSpaceDE w:val="0"/>
        <w:autoSpaceDN w:val="0"/>
        <w:adjustRightInd w:val="0"/>
        <w:spacing w:line="420" w:lineRule="exact"/>
        <w:jc w:val="center"/>
        <w:outlineLvl w:val="0"/>
        <w:rPr>
          <w:rFonts w:ascii="宋体" w:eastAsia="宋体" w:hAnsi="宋体" w:cs="宋体"/>
          <w:b/>
          <w:kern w:val="0"/>
          <w:sz w:val="28"/>
          <w:szCs w:val="28"/>
        </w:rPr>
      </w:pPr>
      <w:proofErr w:type="gramStart"/>
      <w:r>
        <w:rPr>
          <w:rFonts w:ascii="宋体" w:eastAsia="宋体" w:hAnsi="宋体" w:cs="宋体" w:hint="eastAsia"/>
          <w:b/>
          <w:kern w:val="0"/>
          <w:sz w:val="28"/>
          <w:szCs w:val="28"/>
        </w:rPr>
        <w:t>杭银理财</w:t>
      </w:r>
      <w:proofErr w:type="gramEnd"/>
      <w:r>
        <w:rPr>
          <w:rFonts w:ascii="宋体" w:eastAsia="宋体" w:hAnsi="宋体" w:cs="宋体" w:hint="eastAsia"/>
          <w:b/>
          <w:kern w:val="0"/>
          <w:sz w:val="28"/>
          <w:szCs w:val="28"/>
        </w:rPr>
        <w:t>幸福99零钱包开放式理财计划风险揭示书</w:t>
      </w:r>
    </w:p>
    <w:p w14:paraId="30BC91CF" w14:textId="77777777" w:rsidR="00E3486E" w:rsidRDefault="00E3486E" w:rsidP="00E3486E">
      <w:pPr>
        <w:autoSpaceDE w:val="0"/>
        <w:autoSpaceDN w:val="0"/>
        <w:adjustRightInd w:val="0"/>
        <w:spacing w:line="360" w:lineRule="auto"/>
        <w:ind w:firstLineChars="128" w:firstLine="270"/>
        <w:jc w:val="center"/>
        <w:rPr>
          <w:rFonts w:ascii="宋体" w:eastAsia="宋体" w:hAnsi="宋体" w:cs="宋体"/>
          <w:b/>
          <w:kern w:val="0"/>
        </w:rPr>
      </w:pPr>
      <w:r>
        <w:rPr>
          <w:rFonts w:ascii="宋体" w:eastAsia="宋体" w:hAnsi="宋体" w:cs="宋体" w:hint="eastAsia"/>
          <w:b/>
          <w:kern w:val="0"/>
        </w:rPr>
        <w:t>“理财非存款、产品有风险、投资须谨慎</w:t>
      </w:r>
      <w:r>
        <w:rPr>
          <w:rFonts w:ascii="宋体" w:eastAsia="宋体" w:hAnsi="宋体" w:cs="宋体" w:hint="eastAsia"/>
          <w:kern w:val="0"/>
        </w:rPr>
        <w:t>”</w:t>
      </w:r>
    </w:p>
    <w:p w14:paraId="4D3281B3" w14:textId="77777777" w:rsidR="00E3486E" w:rsidRDefault="00E3486E" w:rsidP="00E3486E">
      <w:pPr>
        <w:autoSpaceDE w:val="0"/>
        <w:autoSpaceDN w:val="0"/>
        <w:adjustRightInd w:val="0"/>
        <w:spacing w:line="360" w:lineRule="auto"/>
        <w:rPr>
          <w:rFonts w:ascii="宋体" w:eastAsia="宋体" w:hAnsi="宋体" w:cs="宋体"/>
          <w:kern w:val="0"/>
        </w:rPr>
      </w:pPr>
      <w:r>
        <w:rPr>
          <w:rFonts w:ascii="宋体" w:eastAsia="宋体" w:hAnsi="宋体" w:cs="宋体" w:hint="eastAsia"/>
          <w:kern w:val="0"/>
        </w:rPr>
        <w:t>尊敬的理财投资者：</w:t>
      </w:r>
    </w:p>
    <w:p w14:paraId="25A67F27" w14:textId="77777777" w:rsidR="00E3486E" w:rsidRDefault="00E3486E" w:rsidP="00E3486E">
      <w:pPr>
        <w:autoSpaceDE w:val="0"/>
        <w:autoSpaceDN w:val="0"/>
        <w:spacing w:line="520" w:lineRule="exact"/>
        <w:ind w:firstLine="420"/>
        <w:rPr>
          <w:rFonts w:ascii="宋体" w:eastAsia="宋体" w:hAnsi="宋体" w:cs="宋体"/>
          <w:b/>
          <w:bCs/>
        </w:rPr>
      </w:pPr>
      <w:r>
        <w:rPr>
          <w:rFonts w:ascii="宋体" w:eastAsia="宋体" w:hAnsi="宋体" w:cs="宋体" w:hint="eastAsia"/>
        </w:rPr>
        <w:t>本理财产品：幸福99零钱包开放式理财计划，属于</w:t>
      </w:r>
      <w:r>
        <w:rPr>
          <w:rFonts w:ascii="宋体" w:eastAsia="宋体" w:hAnsi="宋体" w:cs="宋体" w:hint="eastAsia"/>
          <w:b/>
          <w:bCs/>
        </w:rPr>
        <w:t>非保本浮动收益型</w:t>
      </w:r>
      <w:r>
        <w:rPr>
          <w:rFonts w:ascii="宋体" w:eastAsia="宋体" w:hAnsi="宋体" w:cs="宋体" w:hint="eastAsia"/>
        </w:rPr>
        <w:t>，为</w:t>
      </w:r>
      <w:r>
        <w:rPr>
          <w:rFonts w:ascii="宋体" w:eastAsia="宋体" w:hAnsi="宋体" w:cs="宋体" w:hint="eastAsia"/>
          <w:b/>
          <w:bCs/>
        </w:rPr>
        <w:t>开放式净值型管理</w:t>
      </w:r>
      <w:r>
        <w:rPr>
          <w:rFonts w:ascii="宋体" w:eastAsia="宋体" w:hAnsi="宋体" w:cs="宋体" w:hint="eastAsia"/>
        </w:rPr>
        <w:t>的</w:t>
      </w:r>
      <w:r>
        <w:rPr>
          <w:rFonts w:ascii="宋体" w:eastAsia="宋体" w:hAnsi="宋体" w:cs="宋体" w:hint="eastAsia"/>
          <w:b/>
          <w:bCs/>
        </w:rPr>
        <w:t>固定收益类</w:t>
      </w:r>
      <w:r>
        <w:rPr>
          <w:rFonts w:ascii="宋体" w:eastAsia="宋体" w:hAnsi="宋体" w:cs="宋体" w:hint="eastAsia"/>
        </w:rPr>
        <w:t>理财产品。本产品有投资风险，不保证本金和收益，理财本金与收益可能会因市场变动而蒙受重大损失。</w:t>
      </w:r>
      <w:r>
        <w:rPr>
          <w:rFonts w:ascii="宋体" w:eastAsia="宋体" w:hAnsi="宋体" w:cs="宋体" w:hint="eastAsia"/>
          <w:b/>
          <w:bCs/>
        </w:rPr>
        <w:t>本理财产品收益每日计提，按日结转份额。</w:t>
      </w:r>
      <w:r>
        <w:rPr>
          <w:rFonts w:ascii="宋体" w:eastAsia="宋体" w:hAnsi="宋体" w:cs="宋体" w:hint="eastAsia"/>
        </w:rPr>
        <w:t>管理人将根据产品实际投资运作情况计算每一产品开放日的理财收益（扣除产品托管费、固定管理费、销售服务费等税费后），并于下一产品开放日公布。非产品开放日的万份收益和</w:t>
      </w:r>
      <w:proofErr w:type="gramStart"/>
      <w:r>
        <w:rPr>
          <w:rFonts w:ascii="宋体" w:eastAsia="宋体" w:hAnsi="宋体" w:cs="宋体" w:hint="eastAsia"/>
        </w:rPr>
        <w:t>七日年化收益率</w:t>
      </w:r>
      <w:proofErr w:type="gramEnd"/>
      <w:r>
        <w:rPr>
          <w:rFonts w:ascii="宋体" w:eastAsia="宋体" w:hAnsi="宋体" w:cs="宋体" w:hint="eastAsia"/>
        </w:rPr>
        <w:t>将于下一产品开放日公布。管理人对本产品的内部风险评级结果为</w:t>
      </w:r>
      <w:r>
        <w:rPr>
          <w:rFonts w:ascii="宋体" w:eastAsia="宋体" w:hAnsi="宋体" w:cs="宋体" w:hint="eastAsia"/>
          <w:b/>
          <w:bCs/>
          <w:sz w:val="28"/>
          <w:szCs w:val="28"/>
        </w:rPr>
        <w:t>R1,</w:t>
      </w:r>
      <w:r>
        <w:rPr>
          <w:rFonts w:ascii="宋体" w:eastAsia="宋体" w:hAnsi="宋体" w:cs="宋体" w:hint="eastAsia"/>
          <w:b/>
          <w:bCs/>
        </w:rPr>
        <w:t>低风险，本产品理财本金亏损的概率较低。</w:t>
      </w:r>
    </w:p>
    <w:p w14:paraId="7F68CDCF" w14:textId="77777777" w:rsidR="00E3486E" w:rsidRDefault="00E3486E" w:rsidP="00E3486E">
      <w:pPr>
        <w:autoSpaceDE w:val="0"/>
        <w:autoSpaceDN w:val="0"/>
        <w:spacing w:line="520" w:lineRule="exact"/>
        <w:ind w:firstLine="420"/>
        <w:rPr>
          <w:rFonts w:ascii="宋体" w:eastAsia="宋体" w:hAnsi="宋体" w:cs="宋体"/>
        </w:rPr>
      </w:pPr>
      <w:r>
        <w:rPr>
          <w:rFonts w:ascii="宋体" w:eastAsia="宋体" w:hAnsi="宋体" w:cs="宋体" w:hint="eastAsia"/>
          <w:b/>
          <w:bCs/>
        </w:rPr>
        <w:t>您应仔细阅读理财产品风险揭示书、理财产品说明书、投资者权益须知、理财计划投资协议书、理财计划销售协议书全部条款，</w:t>
      </w:r>
      <w:r>
        <w:rPr>
          <w:rFonts w:ascii="宋体" w:eastAsia="宋体" w:hAnsi="宋体" w:cs="宋体" w:hint="eastAsia"/>
        </w:rPr>
        <w:t>这些销售文件将共同构成与管理人之间的理财交易合同（若通过电子渠道购买的，成功交易后视同为投资者与管理人已完成理财计划交易合同的签订），同时您还可向销售机构详细了解本理财产品特性、资金投向及投资组合安排、风险揭示内容及风险管控措施。本理财产品最终收益的实现将视市场情况等因素而定，您应该充分认识本产品的投资风险，敬请仔细判别，谨慎投资：</w:t>
      </w:r>
    </w:p>
    <w:p w14:paraId="72AC8BD0" w14:textId="77777777" w:rsidR="00E3486E" w:rsidRDefault="00E3486E" w:rsidP="00E3486E">
      <w:pPr>
        <w:spacing w:line="520" w:lineRule="exact"/>
        <w:ind w:firstLineChars="250" w:firstLine="525"/>
        <w:rPr>
          <w:rFonts w:ascii="宋体" w:eastAsia="宋体" w:hAnsi="宋体" w:cs="宋体"/>
          <w:kern w:val="0"/>
        </w:rPr>
      </w:pPr>
      <w:r>
        <w:rPr>
          <w:rFonts w:ascii="宋体" w:eastAsia="宋体" w:hAnsi="宋体" w:cs="宋体" w:hint="eastAsia"/>
          <w:kern w:val="0"/>
        </w:rPr>
        <w:t>第一条 理财产品共性风险提示和管控措施</w:t>
      </w:r>
    </w:p>
    <w:p w14:paraId="607C9017" w14:textId="77777777" w:rsidR="00E3486E" w:rsidRDefault="00E3486E" w:rsidP="00E3486E">
      <w:pPr>
        <w:autoSpaceDE w:val="0"/>
        <w:autoSpaceDN w:val="0"/>
        <w:spacing w:line="520" w:lineRule="exact"/>
        <w:ind w:firstLine="420"/>
        <w:rPr>
          <w:rFonts w:ascii="宋体" w:eastAsia="宋体" w:hAnsi="宋体" w:cs="宋体"/>
        </w:rPr>
      </w:pPr>
      <w:r>
        <w:rPr>
          <w:rFonts w:ascii="宋体" w:eastAsia="宋体" w:hAnsi="宋体" w:cs="宋体" w:hint="eastAsia"/>
        </w:rPr>
        <w:t>（一）信用风险：理财产品面临的信用风险主要是指因理财产品配置资产所涉及的相关债务主体到期未能履行还款义务，使理财产品本金或收益蒙受损失的风险。</w:t>
      </w:r>
    </w:p>
    <w:p w14:paraId="25B0A0FE" w14:textId="77777777" w:rsidR="00E3486E" w:rsidRDefault="00E3486E" w:rsidP="00E3486E">
      <w:pPr>
        <w:autoSpaceDE w:val="0"/>
        <w:autoSpaceDN w:val="0"/>
        <w:spacing w:line="520" w:lineRule="exact"/>
        <w:ind w:firstLine="420"/>
        <w:rPr>
          <w:rFonts w:ascii="宋体" w:eastAsia="宋体" w:hAnsi="宋体" w:cs="宋体"/>
        </w:rPr>
      </w:pPr>
      <w:r>
        <w:rPr>
          <w:rFonts w:ascii="宋体" w:eastAsia="宋体" w:hAnsi="宋体" w:cs="宋体" w:hint="eastAsia"/>
        </w:rPr>
        <w:t xml:space="preserve"> 管理人针对理财产品配置资产的不同特征，采取了多种管理措施，针对有信用评级的固定收益产品，将其纳入信用产品投资管理范畴，依据其信用评级、财务状况、市场影响等多重指标对已投资和</w:t>
      </w:r>
      <w:proofErr w:type="gramStart"/>
      <w:r>
        <w:rPr>
          <w:rFonts w:ascii="宋体" w:eastAsia="宋体" w:hAnsi="宋体" w:cs="宋体" w:hint="eastAsia"/>
        </w:rPr>
        <w:t>待投资</w:t>
      </w:r>
      <w:proofErr w:type="gramEnd"/>
      <w:r>
        <w:rPr>
          <w:rFonts w:ascii="宋体" w:eastAsia="宋体" w:hAnsi="宋体" w:cs="宋体" w:hint="eastAsia"/>
        </w:rPr>
        <w:t>的资产定期进行评估，符合投资要求的信用产品方可继续持有或允许投资，不符合投资要求的资产则限期出售或不予投资，并在运作过程中严格监控所投资资产的信用等级，以控制理财产品的信用风险。</w:t>
      </w:r>
    </w:p>
    <w:p w14:paraId="041CF390" w14:textId="77777777" w:rsidR="00E3486E" w:rsidRDefault="00E3486E" w:rsidP="00E3486E">
      <w:pPr>
        <w:autoSpaceDE w:val="0"/>
        <w:autoSpaceDN w:val="0"/>
        <w:spacing w:line="520" w:lineRule="exact"/>
        <w:ind w:firstLine="420"/>
        <w:rPr>
          <w:rFonts w:ascii="宋体" w:eastAsia="宋体" w:hAnsi="宋体" w:cs="宋体"/>
        </w:rPr>
      </w:pPr>
      <w:r>
        <w:rPr>
          <w:rFonts w:ascii="宋体" w:eastAsia="宋体" w:hAnsi="宋体" w:cs="宋体" w:hint="eastAsia"/>
        </w:rPr>
        <w:t>（二）市场风险：理财产品面临的市场风险主要指因国家政策、经济周期、利率、汇率等因素可能发生变化，使得理财产品配置资产的价格发生波动，导致理财产品本金或收益蒙受损失的风险。</w:t>
      </w:r>
    </w:p>
    <w:p w14:paraId="65B89322" w14:textId="77777777" w:rsidR="00E3486E" w:rsidRDefault="00E3486E" w:rsidP="00E3486E">
      <w:pPr>
        <w:autoSpaceDE w:val="0"/>
        <w:autoSpaceDN w:val="0"/>
        <w:spacing w:line="520" w:lineRule="exact"/>
        <w:ind w:firstLine="420"/>
        <w:rPr>
          <w:rFonts w:ascii="宋体" w:eastAsia="宋体" w:hAnsi="宋体" w:cs="宋体"/>
        </w:rPr>
      </w:pPr>
      <w:r>
        <w:rPr>
          <w:rFonts w:ascii="宋体" w:eastAsia="宋体" w:hAnsi="宋体" w:cs="宋体" w:hint="eastAsia"/>
        </w:rPr>
        <w:lastRenderedPageBreak/>
        <w:t xml:space="preserve"> 管理人主要依托银行间市场、证券交易所交易平台，密切监控理财产品配置资产的交易情况，如交易价格或成交量发生异动、重大事件发生时（债券发行人涉及重大亏损、诉讼等），及时采取相应措施，控制理财产品面临的市场风险。本期理财产品也将面临一定的因相关金融工具市场价格波动而带来的市场风险。</w:t>
      </w:r>
    </w:p>
    <w:p w14:paraId="74F1658D" w14:textId="77777777" w:rsidR="00E3486E" w:rsidRDefault="00E3486E" w:rsidP="00E3486E">
      <w:pPr>
        <w:autoSpaceDE w:val="0"/>
        <w:autoSpaceDN w:val="0"/>
        <w:spacing w:line="520" w:lineRule="exact"/>
        <w:ind w:firstLine="420"/>
        <w:rPr>
          <w:rFonts w:ascii="宋体" w:eastAsia="宋体" w:hAnsi="宋体" w:cs="宋体"/>
        </w:rPr>
      </w:pPr>
      <w:r>
        <w:rPr>
          <w:rFonts w:ascii="宋体" w:eastAsia="宋体" w:hAnsi="宋体" w:cs="宋体" w:hint="eastAsia"/>
          <w:color w:val="000000"/>
        </w:rPr>
        <w:t>（三）流动性风险：指理财计划投资组合内的资产不能迅速转变成现金，或因资产变现而导致的额外资金成本增加的风险。本理财产品存续期间，投资者只能在本理财产品说明书规定的时间内办理申购与赎回，投资者在其他时间急需流动性时，无法及时变现理财产品。理财产品存续期内任</w:t>
      </w:r>
      <w:proofErr w:type="gramStart"/>
      <w:r>
        <w:rPr>
          <w:rFonts w:ascii="宋体" w:eastAsia="宋体" w:hAnsi="宋体" w:cs="宋体" w:hint="eastAsia"/>
          <w:color w:val="000000"/>
        </w:rPr>
        <w:t>一</w:t>
      </w:r>
      <w:proofErr w:type="gramEnd"/>
      <w:r>
        <w:rPr>
          <w:rFonts w:ascii="宋体" w:eastAsia="宋体" w:hAnsi="宋体" w:cs="宋体" w:hint="eastAsia"/>
          <w:color w:val="000000"/>
        </w:rPr>
        <w:t>产品开放日，若遇巨额赎回时，可能影响投资者的资金安排，带来流动性风险。</w:t>
      </w:r>
    </w:p>
    <w:p w14:paraId="6BD1C922" w14:textId="77777777" w:rsidR="00E3486E" w:rsidRDefault="00E3486E" w:rsidP="00E3486E">
      <w:pPr>
        <w:autoSpaceDE w:val="0"/>
        <w:autoSpaceDN w:val="0"/>
        <w:spacing w:line="520" w:lineRule="exact"/>
        <w:ind w:firstLine="420"/>
        <w:rPr>
          <w:rFonts w:ascii="宋体" w:eastAsia="宋体" w:hAnsi="宋体" w:cs="宋体"/>
          <w:color w:val="FF0000"/>
        </w:rPr>
      </w:pPr>
      <w:r>
        <w:rPr>
          <w:rFonts w:ascii="宋体" w:eastAsia="宋体" w:hAnsi="宋体" w:cs="宋体" w:hint="eastAsia"/>
        </w:rPr>
        <w:t>从理财产品资产配置的角度，管理人内部风险评估在理财产品成立期初，对理财产品及其所配置资产的存续期进行评估，配置资产中可以变现的高流动性资产保持较高的比例并对理财产品所配置资产自身的流动性进行分析，对流动性较差的资产，将谨慎投资，以控制流动性风险；在投资者方面，管理人将充分提示投资者根据本理财产品开放的期限，合理安排自身投资计划。</w:t>
      </w:r>
    </w:p>
    <w:p w14:paraId="6A1E0161" w14:textId="77777777" w:rsidR="00E3486E" w:rsidRDefault="00E3486E" w:rsidP="00E3486E">
      <w:pPr>
        <w:autoSpaceDE w:val="0"/>
        <w:autoSpaceDN w:val="0"/>
        <w:spacing w:line="520" w:lineRule="exact"/>
        <w:ind w:firstLine="426"/>
        <w:rPr>
          <w:rFonts w:ascii="宋体" w:eastAsia="宋体" w:hAnsi="宋体" w:cs="宋体"/>
        </w:rPr>
      </w:pPr>
      <w:r>
        <w:rPr>
          <w:rFonts w:ascii="宋体" w:eastAsia="宋体" w:hAnsi="宋体" w:cs="宋体" w:hint="eastAsia"/>
        </w:rPr>
        <w:t>（四）交易对手风险：理财产品面临的交易对手风险主要是指管理人为理财产品配置资产的过程中，因交易对手交易失误等原因，导致理财产品本金或收益蒙受损失的风险。</w:t>
      </w:r>
    </w:p>
    <w:p w14:paraId="1C27D2F6" w14:textId="77777777" w:rsidR="00E3486E" w:rsidRDefault="00E3486E" w:rsidP="00E3486E">
      <w:pPr>
        <w:autoSpaceDE w:val="0"/>
        <w:autoSpaceDN w:val="0"/>
        <w:spacing w:line="520" w:lineRule="exact"/>
        <w:ind w:firstLine="420"/>
        <w:rPr>
          <w:rFonts w:ascii="宋体" w:eastAsia="宋体" w:hAnsi="宋体" w:cs="宋体"/>
        </w:rPr>
      </w:pPr>
      <w:r>
        <w:rPr>
          <w:rFonts w:ascii="宋体" w:eastAsia="宋体" w:hAnsi="宋体" w:cs="宋体" w:hint="eastAsia"/>
        </w:rPr>
        <w:t>由于交易对手受经验、技能、执行力等综合因素的限制，可能会影响本产品的投资管理，管理人加强对交易对手的跟踪调查，在配置资产过程中严格选择信用水平较高的交易对手。当期理财产品在资产配置过程中也存在一定的交易对手风险。</w:t>
      </w:r>
    </w:p>
    <w:p w14:paraId="3ED4F059" w14:textId="77777777" w:rsidR="00E3486E" w:rsidRDefault="00E3486E" w:rsidP="00E3486E">
      <w:pPr>
        <w:autoSpaceDE w:val="0"/>
        <w:autoSpaceDN w:val="0"/>
        <w:spacing w:line="520" w:lineRule="exact"/>
        <w:ind w:firstLine="420"/>
        <w:rPr>
          <w:rFonts w:ascii="宋体" w:eastAsia="宋体" w:hAnsi="宋体" w:cs="宋体"/>
        </w:rPr>
      </w:pPr>
      <w:r>
        <w:rPr>
          <w:rFonts w:ascii="宋体" w:eastAsia="宋体" w:hAnsi="宋体" w:cs="宋体" w:hint="eastAsia"/>
        </w:rPr>
        <w:t xml:space="preserve">（五）信息传递风险：理财产品面临的信息传递风险是指由于投资者未能及时主动了解产品信息，或由于通信故障、系统故障以及其他不可抗力等因素的影响，使得投资者无法及时了解产品信息，而导致投资者无法及时做出合理决策，致使投资蒙受损失的风险。 </w:t>
      </w:r>
    </w:p>
    <w:p w14:paraId="0A155D07" w14:textId="77777777" w:rsidR="00E3486E" w:rsidRDefault="00E3486E" w:rsidP="00E3486E">
      <w:pPr>
        <w:autoSpaceDE w:val="0"/>
        <w:autoSpaceDN w:val="0"/>
        <w:spacing w:line="520" w:lineRule="exact"/>
        <w:ind w:firstLine="420"/>
        <w:rPr>
          <w:rFonts w:ascii="宋体" w:eastAsia="宋体" w:hAnsi="宋体" w:cs="宋体"/>
        </w:rPr>
      </w:pPr>
      <w:r>
        <w:rPr>
          <w:rFonts w:ascii="宋体" w:eastAsia="宋体" w:hAnsi="宋体" w:cs="宋体" w:hint="eastAsia"/>
        </w:rPr>
        <w:t>管理人或销售机构按照理财产品说明书有关条款的约定，发布理财产品的运作、到期清算或提前终止等信息公告。投资者应根据约定及时登陆管理人或销售机构网站查询，如果投资者未及时查询，或由于通信故障、系统故障以及其他不可抗力等因素的影响使得投资者无法及时了解产品信息，因此而产生的责任和风险由投资者自行承担。对于个人投资者，</w:t>
      </w:r>
      <w:r>
        <w:rPr>
          <w:rFonts w:ascii="宋体" w:eastAsia="宋体" w:hAnsi="宋体" w:cs="宋体" w:hint="eastAsia"/>
          <w:b/>
        </w:rPr>
        <w:t>如果</w:t>
      </w:r>
      <w:r>
        <w:rPr>
          <w:rFonts w:ascii="宋体" w:eastAsia="宋体" w:hAnsi="宋体" w:cs="宋体" w:hint="eastAsia"/>
          <w:b/>
        </w:rPr>
        <w:lastRenderedPageBreak/>
        <w:t>影响投资者风险承受能力的因素发生变化或风险承受能力评估结果已过一年的有效期，请及时完成风险承受能力评估，否则可能造成投资者无法认购，由此产生的责任和风险由投资者自行承担。</w:t>
      </w:r>
      <w:r>
        <w:rPr>
          <w:rFonts w:ascii="宋体" w:eastAsia="宋体" w:hAnsi="宋体" w:cs="宋体" w:hint="eastAsia"/>
        </w:rPr>
        <w:t>另外，投资者预留在销售机构的有效联系方式进行变更的，应及时告知销售机构，如投资者未及时告知销售机构联系方式变更的，销售机构可能在需要时无法及时联系投资者，并可能会由此影响投资者的决策，由此产生的责任和风险由投资者自行承担。</w:t>
      </w:r>
    </w:p>
    <w:p w14:paraId="709E8F16" w14:textId="77777777" w:rsidR="00E3486E" w:rsidRDefault="00E3486E" w:rsidP="00E3486E">
      <w:pPr>
        <w:autoSpaceDE w:val="0"/>
        <w:autoSpaceDN w:val="0"/>
        <w:spacing w:line="520" w:lineRule="exact"/>
        <w:ind w:firstLine="420"/>
        <w:rPr>
          <w:rFonts w:ascii="宋体" w:eastAsia="宋体" w:hAnsi="宋体" w:cs="宋体"/>
        </w:rPr>
      </w:pPr>
      <w:r>
        <w:rPr>
          <w:rFonts w:ascii="宋体" w:eastAsia="宋体" w:hAnsi="宋体" w:cs="宋体" w:hint="eastAsia"/>
        </w:rPr>
        <w:t>（六）不可抗力风险：理财产品面临的不可抗力风险是指由于战争、重大自然灾害等不可抗力因素的出现，严重影响金融市场的正常运行，从而导致理财产品受到干扰和破坏，甚至影响理财产品的受理、投资、兑付等事宜的正常进行，进而导致投资者蒙受损失的风险。由此产生的风险由投资者自行承担。</w:t>
      </w:r>
    </w:p>
    <w:p w14:paraId="0DE42C04" w14:textId="77777777" w:rsidR="00E3486E" w:rsidRDefault="00E3486E" w:rsidP="00E3486E">
      <w:pPr>
        <w:autoSpaceDE w:val="0"/>
        <w:autoSpaceDN w:val="0"/>
        <w:spacing w:line="520" w:lineRule="exact"/>
        <w:ind w:firstLine="426"/>
        <w:rPr>
          <w:rFonts w:ascii="宋体" w:eastAsia="宋体" w:hAnsi="宋体" w:cs="宋体"/>
        </w:rPr>
      </w:pPr>
      <w:r>
        <w:rPr>
          <w:rFonts w:ascii="宋体" w:eastAsia="宋体" w:hAnsi="宋体" w:cs="宋体" w:hint="eastAsia"/>
        </w:rPr>
        <w:t>（七）代销风险：本理财产品通过代销渠道销售，投资者认购理财产品的资金由代销机构从投资者资金账户扣收；份额赎回或现金分红时，赎回资金及分红资金按本理财产品合同约定划付至代销机构清算账户后，由代销机构向投资者划付投资者应得赎回资金及分红资金。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向代销机构依法主张。</w:t>
      </w:r>
    </w:p>
    <w:p w14:paraId="05795406" w14:textId="77777777" w:rsidR="00E3486E" w:rsidRDefault="00E3486E" w:rsidP="00E3486E">
      <w:pPr>
        <w:spacing w:line="520" w:lineRule="exact"/>
        <w:ind w:firstLineChars="202" w:firstLine="424"/>
        <w:rPr>
          <w:rFonts w:ascii="宋体" w:eastAsia="宋体" w:hAnsi="宋体" w:cs="宋体"/>
          <w:color w:val="000000"/>
          <w:kern w:val="0"/>
        </w:rPr>
      </w:pPr>
      <w:r>
        <w:rPr>
          <w:rFonts w:ascii="宋体" w:eastAsia="宋体" w:hAnsi="宋体" w:cs="宋体" w:hint="eastAsia"/>
          <w:color w:val="000000"/>
          <w:kern w:val="0"/>
        </w:rPr>
        <w:t xml:space="preserve"> (八)理财产品不成立风险：如自本理财产品认购起始日</w:t>
      </w:r>
      <w:proofErr w:type="gramStart"/>
      <w:r>
        <w:rPr>
          <w:rFonts w:ascii="宋体" w:eastAsia="宋体" w:hAnsi="宋体" w:cs="宋体" w:hint="eastAsia"/>
          <w:color w:val="000000"/>
          <w:kern w:val="0"/>
        </w:rPr>
        <w:t>至产品</w:t>
      </w:r>
      <w:proofErr w:type="gramEnd"/>
      <w:r>
        <w:rPr>
          <w:rFonts w:ascii="宋体" w:eastAsia="宋体" w:hAnsi="宋体" w:cs="宋体" w:hint="eastAsia"/>
          <w:color w:val="000000"/>
          <w:kern w:val="0"/>
        </w:rPr>
        <w:t>成立日前，理财产品</w:t>
      </w:r>
      <w:proofErr w:type="gramStart"/>
      <w:r>
        <w:rPr>
          <w:rFonts w:ascii="宋体" w:eastAsia="宋体" w:hAnsi="宋体" w:cs="宋体" w:hint="eastAsia"/>
          <w:color w:val="000000"/>
          <w:kern w:val="0"/>
        </w:rPr>
        <w:t>认购总</w:t>
      </w:r>
      <w:proofErr w:type="gramEnd"/>
      <w:r>
        <w:rPr>
          <w:rFonts w:ascii="宋体" w:eastAsia="宋体" w:hAnsi="宋体" w:cs="宋体" w:hint="eastAsia"/>
          <w:color w:val="000000"/>
          <w:kern w:val="0"/>
        </w:rPr>
        <w:t>金额未达到最低发行规模，或因本理财产品资产运作模式等与法律法规的规定或者监管机构的要求存在冲突，或因国家法律法规或者监管部门发布的通知、决定等导致本理财产品无法按原先约定条件成立，或市场发生剧烈波动、经管理人合理判断难以按照本产品说明书规定向投资者提供本理财产品，管理人有权宣布本理财产品不成立。若</w:t>
      </w:r>
      <w:proofErr w:type="gramStart"/>
      <w:r>
        <w:rPr>
          <w:rFonts w:ascii="宋体" w:eastAsia="宋体" w:hAnsi="宋体" w:cs="宋体" w:hint="eastAsia"/>
          <w:color w:val="000000"/>
          <w:kern w:val="0"/>
        </w:rPr>
        <w:t>遇本理财</w:t>
      </w:r>
      <w:proofErr w:type="gramEnd"/>
      <w:r>
        <w:rPr>
          <w:rFonts w:ascii="宋体" w:eastAsia="宋体" w:hAnsi="宋体" w:cs="宋体" w:hint="eastAsia"/>
          <w:color w:val="000000"/>
          <w:kern w:val="0"/>
        </w:rPr>
        <w:t>产品不成立，管理人将于产品成立日当日通过管理人或销售机构网站及时公告相关信息，敬请投资者予以关注。</w:t>
      </w:r>
    </w:p>
    <w:p w14:paraId="1A9910FF" w14:textId="77777777" w:rsidR="00E3486E" w:rsidRDefault="00E3486E" w:rsidP="00E3486E">
      <w:pPr>
        <w:spacing w:line="520" w:lineRule="exact"/>
        <w:ind w:firstLineChars="202" w:firstLine="424"/>
        <w:rPr>
          <w:rFonts w:ascii="宋体" w:eastAsia="宋体" w:hAnsi="宋体" w:cs="宋体"/>
          <w:color w:val="000000"/>
          <w:kern w:val="0"/>
        </w:rPr>
      </w:pPr>
      <w:r>
        <w:rPr>
          <w:rFonts w:ascii="宋体" w:eastAsia="宋体" w:hAnsi="宋体" w:cs="宋体" w:hint="eastAsia"/>
          <w:color w:val="000000"/>
          <w:kern w:val="0"/>
        </w:rPr>
        <w:t>（九）政策风险：本理财产品是针对当前的相关法规和政策设计的，如国家宏观政策以及市场相关法规政策等发生变化，或因国家法律法规或者监管部门发布的通知、决定可能影响本理财产品的受理、投资、偿还等的正常进行，以及产品说明书的修订导致本理财产品收</w:t>
      </w:r>
      <w:r>
        <w:rPr>
          <w:rFonts w:ascii="宋体" w:eastAsia="宋体" w:hAnsi="宋体" w:cs="宋体" w:hint="eastAsia"/>
          <w:color w:val="000000"/>
          <w:kern w:val="0"/>
        </w:rPr>
        <w:lastRenderedPageBreak/>
        <w:t>益降低甚至本金损失。</w:t>
      </w:r>
      <w:r>
        <w:rPr>
          <w:rFonts w:ascii="宋体" w:eastAsia="宋体" w:hAnsi="宋体" w:cs="宋体" w:hint="eastAsia"/>
        </w:rPr>
        <w:t>由此产生的风险由投资者自行承担</w:t>
      </w:r>
      <w:r>
        <w:rPr>
          <w:rFonts w:ascii="宋体" w:eastAsia="宋体" w:hAnsi="宋体" w:cs="宋体" w:hint="eastAsia"/>
          <w:color w:val="000000"/>
          <w:kern w:val="0"/>
        </w:rPr>
        <w:t>。</w:t>
      </w:r>
    </w:p>
    <w:p w14:paraId="7D2DBD8E" w14:textId="77777777" w:rsidR="00E3486E" w:rsidRDefault="00E3486E" w:rsidP="00E3486E">
      <w:pPr>
        <w:spacing w:line="520" w:lineRule="exact"/>
        <w:ind w:firstLineChars="202" w:firstLine="424"/>
        <w:rPr>
          <w:rFonts w:ascii="宋体" w:eastAsia="宋体" w:hAnsi="宋体" w:cs="宋体"/>
          <w:kern w:val="0"/>
        </w:rPr>
      </w:pPr>
      <w:r>
        <w:rPr>
          <w:rFonts w:ascii="宋体" w:eastAsia="宋体" w:hAnsi="宋体" w:cs="宋体" w:hint="eastAsia"/>
          <w:kern w:val="0"/>
        </w:rPr>
        <w:t>第二条 本理财产品特定风险揭示</w:t>
      </w:r>
    </w:p>
    <w:p w14:paraId="5ECDF642" w14:textId="77777777" w:rsidR="00E3486E" w:rsidRDefault="00E3486E" w:rsidP="00E3486E">
      <w:pPr>
        <w:spacing w:line="520" w:lineRule="exact"/>
        <w:ind w:firstLineChars="200" w:firstLine="420"/>
        <w:rPr>
          <w:rFonts w:ascii="宋体" w:eastAsia="宋体" w:hAnsi="宋体" w:cs="宋体"/>
          <w:bCs/>
          <w:color w:val="000000"/>
        </w:rPr>
      </w:pPr>
      <w:r>
        <w:rPr>
          <w:rFonts w:ascii="宋体" w:eastAsia="宋体" w:hAnsi="宋体" w:cs="宋体" w:hint="eastAsia"/>
        </w:rPr>
        <w:t>本理财产品类型：非保本净值型；【无固定期限】；本理财产品风险评级结果：根据本公司理财产品内部风险评级，该产品风险评级结果为</w:t>
      </w:r>
      <w:r>
        <w:rPr>
          <w:rFonts w:ascii="宋体" w:eastAsia="宋体" w:hAnsi="宋体" w:cs="宋体" w:hint="eastAsia"/>
          <w:b/>
          <w:sz w:val="24"/>
        </w:rPr>
        <w:t>R1</w:t>
      </w:r>
      <w:r>
        <w:rPr>
          <w:rFonts w:ascii="宋体" w:eastAsia="宋体" w:hAnsi="宋体" w:cs="宋体" w:hint="eastAsia"/>
        </w:rPr>
        <w:t>（</w:t>
      </w:r>
      <w:proofErr w:type="gramStart"/>
      <w:r>
        <w:rPr>
          <w:rFonts w:ascii="宋体" w:eastAsia="宋体" w:hAnsi="宋体" w:cs="宋体" w:hint="eastAsia"/>
        </w:rPr>
        <w:t>本风险</w:t>
      </w:r>
      <w:proofErr w:type="gramEnd"/>
      <w:r>
        <w:rPr>
          <w:rFonts w:ascii="宋体" w:eastAsia="宋体" w:hAnsi="宋体" w:cs="宋体" w:hint="eastAsia"/>
        </w:rPr>
        <w:t>等级为我公司内部风险评级结果，仅供参考）；本理财计划通过代理销售机构渠道销售的，理财计划产品评级应当以代理销售机构最终披露的评级结果为准。适合购买本理财产品的投资者：</w:t>
      </w:r>
      <w:r>
        <w:rPr>
          <w:rFonts w:ascii="宋体" w:eastAsia="宋体" w:hAnsi="宋体" w:cs="宋体" w:hint="eastAsia"/>
          <w:b/>
        </w:rPr>
        <w:t>本理财产品适合机构投资者及保守型、稳健型、平衡型、成长型、进取型的个人投资者。</w:t>
      </w:r>
      <w:r>
        <w:rPr>
          <w:rFonts w:ascii="宋体" w:eastAsia="宋体" w:hAnsi="宋体" w:cs="宋体" w:hint="eastAsia"/>
          <w:color w:val="333333"/>
          <w:szCs w:val="21"/>
          <w:shd w:val="clear" w:color="auto" w:fill="FFFFFF"/>
        </w:rPr>
        <w:t>本理财计划通过销售机构渠道销售的，理财计划产品评级应当以销售机构最终披露的评级结果为准。</w:t>
      </w:r>
      <w:r>
        <w:rPr>
          <w:rFonts w:ascii="宋体" w:eastAsia="宋体" w:hAnsi="宋体" w:cs="宋体" w:hint="eastAsia"/>
          <w:bCs/>
        </w:rPr>
        <w:t>本理财产品投资者适应性评估由销售机构负责，销售机构应确保个人投资者的风险承受能力不低于本产品风险评级。</w:t>
      </w:r>
      <w:r>
        <w:rPr>
          <w:rFonts w:ascii="宋体" w:eastAsia="宋体" w:hAnsi="宋体" w:cs="宋体" w:hint="eastAsia"/>
          <w:bCs/>
          <w:color w:val="000000"/>
        </w:rPr>
        <w:t>本理财产品总体风险程度低，收益波动小，管理人不承诺本金保障。</w:t>
      </w:r>
    </w:p>
    <w:p w14:paraId="1E6D1D9E" w14:textId="77777777" w:rsidR="00E3486E" w:rsidRDefault="00E3486E" w:rsidP="00E3486E">
      <w:pPr>
        <w:spacing w:line="520" w:lineRule="exact"/>
        <w:ind w:firstLineChars="200" w:firstLine="420"/>
        <w:rPr>
          <w:rFonts w:ascii="宋体" w:eastAsia="宋体" w:hAnsi="宋体" w:cs="宋体"/>
          <w:bCs/>
          <w:color w:val="000000"/>
        </w:rPr>
      </w:pPr>
      <w:r>
        <w:rPr>
          <w:rFonts w:ascii="宋体" w:eastAsia="宋体" w:hAnsi="宋体" w:cs="宋体" w:hint="eastAsia"/>
          <w:bCs/>
          <w:color w:val="000000"/>
        </w:rPr>
        <w:t>最不利投资情形下的投资结果示例：若理财产品运作期间，该产品投资标的出现风险，则投资者可能无法获得理财收益，甚至投资者的投资本金将遭受损失，在最不利的极端情况下，投资者可能损失全部本金。</w:t>
      </w:r>
    </w:p>
    <w:p w14:paraId="5B15EF7E" w14:textId="77777777" w:rsidR="00E3486E" w:rsidRDefault="00E3486E" w:rsidP="00E3486E">
      <w:pPr>
        <w:spacing w:line="520" w:lineRule="exact"/>
        <w:ind w:firstLineChars="200" w:firstLine="420"/>
        <w:rPr>
          <w:rFonts w:ascii="宋体" w:eastAsia="宋体" w:hAnsi="宋体" w:cs="宋体"/>
          <w:bCs/>
          <w:color w:val="000000"/>
        </w:rPr>
      </w:pPr>
      <w:r>
        <w:rPr>
          <w:rFonts w:ascii="宋体" w:eastAsia="宋体" w:hAnsi="宋体" w:cs="宋体" w:hint="eastAsia"/>
          <w:bCs/>
          <w:color w:val="000000"/>
        </w:rPr>
        <w:t>上述风险客观存在，敬请投资人予以充分关注！</w:t>
      </w:r>
    </w:p>
    <w:p w14:paraId="73919E58" w14:textId="77777777" w:rsidR="00E3486E" w:rsidRDefault="00E3486E" w:rsidP="00E3486E">
      <w:pPr>
        <w:autoSpaceDE w:val="0"/>
        <w:autoSpaceDN w:val="0"/>
        <w:spacing w:line="520" w:lineRule="exact"/>
        <w:ind w:firstLine="420"/>
        <w:rPr>
          <w:rFonts w:ascii="宋体" w:eastAsia="宋体" w:hAnsi="宋体" w:cs="宋体"/>
        </w:rPr>
      </w:pPr>
    </w:p>
    <w:p w14:paraId="3474938D" w14:textId="77777777" w:rsidR="00E3486E" w:rsidRDefault="00E3486E" w:rsidP="00E3486E">
      <w:pPr>
        <w:pStyle w:val="Default"/>
        <w:spacing w:line="360" w:lineRule="auto"/>
        <w:ind w:firstLineChars="200" w:firstLine="420"/>
        <w:jc w:val="right"/>
        <w:rPr>
          <w:rFonts w:ascii="宋体" w:eastAsia="宋体" w:hAnsi="宋体" w:cs="宋体"/>
          <w:sz w:val="21"/>
          <w:szCs w:val="21"/>
        </w:rPr>
      </w:pPr>
      <w:r>
        <w:rPr>
          <w:rFonts w:ascii="宋体" w:eastAsia="宋体" w:hAnsi="宋体" w:cs="宋体" w:hint="eastAsia"/>
          <w:sz w:val="21"/>
          <w:szCs w:val="21"/>
        </w:rPr>
        <w:t xml:space="preserve">风险提示方： </w:t>
      </w:r>
      <w:proofErr w:type="gramStart"/>
      <w:r>
        <w:rPr>
          <w:rFonts w:ascii="宋体" w:eastAsia="宋体" w:hAnsi="宋体" w:cs="宋体" w:hint="eastAsia"/>
          <w:sz w:val="21"/>
          <w:szCs w:val="21"/>
        </w:rPr>
        <w:t>杭银理财</w:t>
      </w:r>
      <w:proofErr w:type="gramEnd"/>
      <w:r>
        <w:rPr>
          <w:rFonts w:ascii="宋体" w:eastAsia="宋体" w:hAnsi="宋体" w:cs="宋体" w:hint="eastAsia"/>
          <w:sz w:val="21"/>
          <w:szCs w:val="21"/>
        </w:rPr>
        <w:t>有限责任公司</w:t>
      </w:r>
    </w:p>
    <w:p w14:paraId="774D4C2E" w14:textId="77777777" w:rsidR="00E3486E" w:rsidRDefault="00E3486E" w:rsidP="00E3486E">
      <w:pPr>
        <w:pStyle w:val="Default"/>
        <w:spacing w:line="360" w:lineRule="auto"/>
        <w:ind w:firstLineChars="200" w:firstLine="422"/>
        <w:jc w:val="both"/>
        <w:rPr>
          <w:rFonts w:ascii="宋体" w:eastAsia="宋体" w:hAnsi="宋体" w:cs="宋体"/>
          <w:b/>
          <w:color w:val="auto"/>
          <w:sz w:val="21"/>
          <w:szCs w:val="21"/>
        </w:rPr>
      </w:pPr>
    </w:p>
    <w:p w14:paraId="6B70773F" w14:textId="77777777" w:rsidR="00E3486E" w:rsidRDefault="00E3486E" w:rsidP="00E3486E">
      <w:pPr>
        <w:pStyle w:val="Default"/>
        <w:spacing w:line="360" w:lineRule="auto"/>
        <w:ind w:firstLineChars="200" w:firstLine="422"/>
        <w:jc w:val="both"/>
        <w:rPr>
          <w:rFonts w:ascii="宋体" w:eastAsia="宋体" w:hAnsi="宋体" w:cs="宋体"/>
          <w:b/>
          <w:color w:val="auto"/>
          <w:sz w:val="21"/>
          <w:szCs w:val="21"/>
        </w:rPr>
      </w:pPr>
    </w:p>
    <w:p w14:paraId="549B9383" w14:textId="77777777" w:rsidR="00E3486E" w:rsidRDefault="00E3486E" w:rsidP="00E3486E">
      <w:pPr>
        <w:pStyle w:val="Default"/>
        <w:spacing w:line="360" w:lineRule="auto"/>
        <w:ind w:firstLineChars="200" w:firstLine="422"/>
        <w:jc w:val="both"/>
        <w:rPr>
          <w:rFonts w:ascii="宋体" w:eastAsia="宋体" w:hAnsi="宋体" w:cs="宋体"/>
          <w:b/>
          <w:color w:val="auto"/>
          <w:sz w:val="21"/>
          <w:szCs w:val="21"/>
        </w:rPr>
      </w:pPr>
    </w:p>
    <w:p w14:paraId="6F76EA85" w14:textId="77777777" w:rsidR="00E3486E" w:rsidRDefault="00E3486E" w:rsidP="00E3486E">
      <w:pPr>
        <w:pStyle w:val="Default"/>
        <w:spacing w:line="360" w:lineRule="auto"/>
        <w:ind w:firstLineChars="200" w:firstLine="422"/>
        <w:jc w:val="both"/>
        <w:rPr>
          <w:rFonts w:ascii="宋体" w:eastAsia="宋体" w:hAnsi="宋体" w:cs="宋体"/>
          <w:b/>
          <w:color w:val="auto"/>
          <w:sz w:val="21"/>
          <w:szCs w:val="21"/>
        </w:rPr>
      </w:pPr>
    </w:p>
    <w:p w14:paraId="400FD9AA" w14:textId="77777777" w:rsidR="00E3486E" w:rsidRDefault="00E3486E" w:rsidP="00E3486E">
      <w:pPr>
        <w:pStyle w:val="Default"/>
        <w:spacing w:line="360" w:lineRule="auto"/>
        <w:ind w:firstLineChars="200" w:firstLine="422"/>
        <w:jc w:val="both"/>
        <w:rPr>
          <w:rFonts w:ascii="宋体" w:eastAsia="宋体" w:hAnsi="宋体" w:cs="宋体"/>
          <w:b/>
          <w:color w:val="auto"/>
          <w:sz w:val="21"/>
          <w:szCs w:val="21"/>
        </w:rPr>
      </w:pPr>
    </w:p>
    <w:p w14:paraId="3B1E3795" w14:textId="77777777" w:rsidR="00E3486E" w:rsidRDefault="00E3486E" w:rsidP="00E3486E">
      <w:pPr>
        <w:pStyle w:val="Default"/>
        <w:spacing w:line="360" w:lineRule="auto"/>
        <w:ind w:firstLineChars="200" w:firstLine="422"/>
        <w:jc w:val="both"/>
        <w:rPr>
          <w:rFonts w:ascii="宋体" w:eastAsia="宋体" w:hAnsi="宋体" w:cs="宋体"/>
          <w:b/>
          <w:color w:val="auto"/>
          <w:sz w:val="21"/>
          <w:szCs w:val="21"/>
        </w:rPr>
      </w:pPr>
    </w:p>
    <w:p w14:paraId="11472D64" w14:textId="77777777" w:rsidR="00E3486E" w:rsidRDefault="00E3486E" w:rsidP="00E3486E">
      <w:pPr>
        <w:pStyle w:val="Default"/>
        <w:spacing w:line="360" w:lineRule="auto"/>
        <w:ind w:firstLineChars="200" w:firstLine="422"/>
        <w:jc w:val="both"/>
        <w:rPr>
          <w:rFonts w:ascii="宋体" w:eastAsia="宋体" w:hAnsi="宋体" w:cs="宋体"/>
          <w:b/>
          <w:color w:val="auto"/>
          <w:sz w:val="21"/>
          <w:szCs w:val="21"/>
        </w:rPr>
      </w:pPr>
    </w:p>
    <w:p w14:paraId="72A51C22" w14:textId="77777777" w:rsidR="00E3486E" w:rsidRDefault="00E3486E" w:rsidP="00E3486E">
      <w:pPr>
        <w:pStyle w:val="Default"/>
        <w:spacing w:line="360" w:lineRule="auto"/>
        <w:ind w:firstLineChars="200" w:firstLine="422"/>
        <w:jc w:val="both"/>
        <w:rPr>
          <w:rFonts w:ascii="宋体" w:eastAsia="宋体" w:hAnsi="宋体" w:cs="宋体"/>
          <w:b/>
          <w:color w:val="auto"/>
          <w:sz w:val="21"/>
          <w:szCs w:val="21"/>
        </w:rPr>
      </w:pPr>
    </w:p>
    <w:p w14:paraId="43353724" w14:textId="77777777" w:rsidR="00E3486E" w:rsidRDefault="00E3486E" w:rsidP="00E3486E">
      <w:pPr>
        <w:pStyle w:val="Default"/>
        <w:spacing w:line="360" w:lineRule="auto"/>
        <w:ind w:firstLineChars="200" w:firstLine="422"/>
        <w:jc w:val="both"/>
        <w:rPr>
          <w:rFonts w:ascii="宋体" w:eastAsia="宋体" w:hAnsi="宋体" w:cs="宋体"/>
          <w:b/>
          <w:color w:val="auto"/>
          <w:sz w:val="21"/>
          <w:szCs w:val="21"/>
        </w:rPr>
      </w:pPr>
    </w:p>
    <w:p w14:paraId="6B914468" w14:textId="77777777" w:rsidR="00E3486E" w:rsidRDefault="00E3486E" w:rsidP="00E3486E">
      <w:pPr>
        <w:pStyle w:val="Default"/>
        <w:spacing w:line="360" w:lineRule="auto"/>
        <w:ind w:firstLineChars="200" w:firstLine="422"/>
        <w:jc w:val="both"/>
        <w:rPr>
          <w:rFonts w:ascii="宋体" w:eastAsia="宋体" w:hAnsi="宋体" w:cs="宋体"/>
          <w:b/>
          <w:color w:val="auto"/>
          <w:sz w:val="21"/>
          <w:szCs w:val="21"/>
        </w:rPr>
      </w:pPr>
    </w:p>
    <w:p w14:paraId="3EFA2BF0" w14:textId="77777777" w:rsidR="00E3486E" w:rsidRDefault="00E3486E" w:rsidP="00E3486E">
      <w:pPr>
        <w:pStyle w:val="Default"/>
        <w:spacing w:line="360" w:lineRule="auto"/>
        <w:ind w:firstLineChars="200" w:firstLine="422"/>
        <w:jc w:val="both"/>
        <w:rPr>
          <w:rFonts w:ascii="宋体" w:eastAsia="宋体" w:hAnsi="宋体" w:cs="宋体"/>
          <w:b/>
          <w:color w:val="auto"/>
          <w:sz w:val="21"/>
          <w:szCs w:val="21"/>
        </w:rPr>
      </w:pPr>
    </w:p>
    <w:p w14:paraId="1E746E3B" w14:textId="77777777" w:rsidR="00E3486E" w:rsidRDefault="00E3486E" w:rsidP="00E3486E">
      <w:pPr>
        <w:pStyle w:val="Default"/>
        <w:spacing w:line="360" w:lineRule="auto"/>
        <w:ind w:firstLineChars="200" w:firstLine="422"/>
        <w:jc w:val="both"/>
        <w:rPr>
          <w:rFonts w:ascii="宋体" w:eastAsia="宋体" w:hAnsi="宋体" w:cs="宋体"/>
          <w:b/>
          <w:color w:val="auto"/>
          <w:sz w:val="21"/>
          <w:szCs w:val="21"/>
        </w:rPr>
      </w:pPr>
    </w:p>
    <w:p w14:paraId="73B59151" w14:textId="77777777" w:rsidR="00E3486E" w:rsidRDefault="00E3486E" w:rsidP="00E3486E">
      <w:pPr>
        <w:pStyle w:val="Default"/>
        <w:spacing w:line="360" w:lineRule="auto"/>
        <w:ind w:firstLineChars="200" w:firstLine="422"/>
        <w:jc w:val="both"/>
        <w:rPr>
          <w:rFonts w:ascii="宋体" w:eastAsia="宋体" w:hAnsi="宋体" w:cs="宋体"/>
          <w:b/>
          <w:color w:val="auto"/>
          <w:sz w:val="21"/>
          <w:szCs w:val="21"/>
        </w:rPr>
      </w:pPr>
      <w:r>
        <w:rPr>
          <w:rFonts w:ascii="宋体" w:eastAsia="宋体" w:hAnsi="宋体" w:cs="宋体" w:hint="eastAsia"/>
          <w:b/>
          <w:color w:val="auto"/>
          <w:sz w:val="21"/>
          <w:szCs w:val="21"/>
        </w:rPr>
        <w:lastRenderedPageBreak/>
        <w:t>本产品全部销售工作及投资者适当性评估由销售机构负责。个人投资者应确保其在销售机构所作的风险承受能力评级结果由投资者本人填写，且风险承受能力等级不低于本产品风险评级。若投资者风险承受能力评估已超过一年，或影响风险承受能力的因素发生变化，请及时完成风险承受能力的重新评估。</w:t>
      </w:r>
    </w:p>
    <w:p w14:paraId="1794BFFF" w14:textId="77777777" w:rsidR="00E3486E" w:rsidRDefault="00E3486E" w:rsidP="00E3486E">
      <w:pPr>
        <w:autoSpaceDE w:val="0"/>
        <w:autoSpaceDN w:val="0"/>
        <w:adjustRightInd w:val="0"/>
        <w:spacing w:line="360" w:lineRule="auto"/>
        <w:ind w:firstLineChars="1400" w:firstLine="2940"/>
        <w:jc w:val="right"/>
        <w:rPr>
          <w:rFonts w:ascii="宋体" w:eastAsia="宋体" w:hAnsi="宋体" w:cs="宋体"/>
          <w:kern w:val="0"/>
        </w:rPr>
      </w:pPr>
    </w:p>
    <w:p w14:paraId="40965EF2" w14:textId="77777777" w:rsidR="00E3486E" w:rsidRDefault="00E3486E" w:rsidP="00E3486E">
      <w:pPr>
        <w:pStyle w:val="Default"/>
        <w:spacing w:line="360" w:lineRule="auto"/>
        <w:jc w:val="center"/>
        <w:rPr>
          <w:rFonts w:ascii="宋体" w:eastAsia="宋体" w:hAnsi="宋体" w:cs="宋体"/>
          <w:color w:val="auto"/>
          <w:sz w:val="21"/>
          <w:szCs w:val="21"/>
        </w:rPr>
      </w:pPr>
      <w:r>
        <w:rPr>
          <w:rFonts w:ascii="宋体" w:eastAsia="宋体" w:hAnsi="宋体" w:cs="宋体" w:hint="eastAsia"/>
          <w:b/>
          <w:color w:val="auto"/>
          <w:sz w:val="21"/>
          <w:szCs w:val="21"/>
        </w:rPr>
        <w:t>投资者确认栏（个人投资者填写）</w:t>
      </w:r>
    </w:p>
    <w:p w14:paraId="63C5446D" w14:textId="77777777" w:rsidR="00E3486E" w:rsidRDefault="00E3486E" w:rsidP="00E3486E">
      <w:pPr>
        <w:pStyle w:val="Default"/>
        <w:spacing w:line="360" w:lineRule="auto"/>
        <w:jc w:val="both"/>
        <w:rPr>
          <w:rFonts w:ascii="宋体" w:eastAsia="宋体" w:hAnsi="宋体" w:cs="宋体"/>
          <w:color w:val="auto"/>
          <w:sz w:val="21"/>
          <w:szCs w:val="21"/>
        </w:rPr>
      </w:pPr>
      <w:r>
        <w:rPr>
          <w:rFonts w:ascii="宋体" w:eastAsia="宋体" w:hAnsi="宋体" w:cs="宋体" w:hint="eastAsia"/>
          <w:color w:val="auto"/>
          <w:sz w:val="21"/>
          <w:szCs w:val="21"/>
        </w:rPr>
        <w:t>本人经销售机构评估的风险承受能力等级为：</w:t>
      </w:r>
    </w:p>
    <w:p w14:paraId="21DEF3A0" w14:textId="77777777" w:rsidR="00E3486E" w:rsidRDefault="00E3486E" w:rsidP="00E3486E">
      <w:pPr>
        <w:pStyle w:val="Default"/>
        <w:spacing w:line="360" w:lineRule="auto"/>
        <w:jc w:val="both"/>
        <w:rPr>
          <w:rFonts w:ascii="宋体" w:eastAsia="宋体" w:hAnsi="宋体" w:cs="宋体"/>
          <w:color w:val="auto"/>
          <w:sz w:val="21"/>
          <w:szCs w:val="21"/>
          <w:u w:val="single"/>
        </w:rPr>
      </w:pPr>
      <w:r>
        <w:rPr>
          <w:rFonts w:ascii="宋体" w:eastAsia="宋体" w:hAnsi="宋体" w:cs="宋体" w:hint="eastAsia"/>
          <w:color w:val="auto"/>
          <w:sz w:val="21"/>
          <w:szCs w:val="21"/>
          <w:u w:val="single"/>
        </w:rPr>
        <w:t xml:space="preserve">□保守型        □稳健型        □平衡型        □成长型        □进取型    </w:t>
      </w:r>
    </w:p>
    <w:p w14:paraId="0134F56E" w14:textId="77777777" w:rsidR="00E3486E" w:rsidRDefault="00E3486E" w:rsidP="00E3486E">
      <w:pPr>
        <w:pStyle w:val="Default"/>
        <w:spacing w:line="360" w:lineRule="auto"/>
        <w:jc w:val="both"/>
        <w:rPr>
          <w:rFonts w:ascii="宋体" w:eastAsia="宋体" w:hAnsi="宋体" w:cs="宋体"/>
          <w:b/>
          <w:bCs/>
          <w:color w:val="auto"/>
          <w:sz w:val="21"/>
          <w:szCs w:val="21"/>
        </w:rPr>
      </w:pPr>
      <w:r>
        <w:rPr>
          <w:rFonts w:ascii="宋体" w:eastAsia="宋体" w:hAnsi="宋体" w:cs="宋体" w:hint="eastAsia"/>
          <w:b/>
          <w:bCs/>
          <w:color w:val="auto"/>
          <w:sz w:val="21"/>
          <w:szCs w:val="21"/>
        </w:rPr>
        <w:t>声明：本人已充分阅读《杭银理财投资者权益须知》《杭银理财幸福99零钱包开放式理财计划产品说明书》《杭银理财理财计划投资协议书》《杭银理财理财计划销售协议书》及</w:t>
      </w:r>
      <w:proofErr w:type="gramStart"/>
      <w:r>
        <w:rPr>
          <w:rFonts w:ascii="宋体" w:eastAsia="宋体" w:hAnsi="宋体" w:cs="宋体" w:hint="eastAsia"/>
          <w:b/>
          <w:bCs/>
          <w:color w:val="auto"/>
          <w:sz w:val="21"/>
          <w:szCs w:val="21"/>
        </w:rPr>
        <w:t>本风险</w:t>
      </w:r>
      <w:proofErr w:type="gramEnd"/>
      <w:r>
        <w:rPr>
          <w:rFonts w:ascii="宋体" w:eastAsia="宋体" w:hAnsi="宋体" w:cs="宋体" w:hint="eastAsia"/>
          <w:b/>
          <w:bCs/>
          <w:color w:val="auto"/>
          <w:sz w:val="21"/>
          <w:szCs w:val="21"/>
        </w:rPr>
        <w:t>揭示书，并已对其作全面、准确的理解，充分认识到投资本理财产品要求承担的风险，并自愿承担此风险。</w:t>
      </w:r>
    </w:p>
    <w:p w14:paraId="67B82831" w14:textId="77777777" w:rsidR="00E3486E" w:rsidRDefault="00E3486E" w:rsidP="00E3486E">
      <w:pPr>
        <w:pStyle w:val="Default"/>
        <w:spacing w:line="360" w:lineRule="auto"/>
        <w:jc w:val="both"/>
        <w:rPr>
          <w:rFonts w:ascii="宋体" w:eastAsia="宋体" w:hAnsi="宋体" w:cs="宋体"/>
          <w:color w:val="auto"/>
          <w:sz w:val="21"/>
          <w:szCs w:val="21"/>
        </w:rPr>
      </w:pPr>
      <w:r>
        <w:rPr>
          <w:rFonts w:ascii="宋体" w:eastAsia="宋体" w:hAnsi="宋体" w:cs="宋体" w:hint="eastAsia"/>
          <w:color w:val="auto"/>
          <w:sz w:val="21"/>
          <w:szCs w:val="21"/>
        </w:rPr>
        <w:t>（投资者需全文抄录以下文字以完成确认：</w:t>
      </w:r>
      <w:r>
        <w:rPr>
          <w:rFonts w:ascii="宋体" w:eastAsia="宋体" w:hAnsi="宋体" w:cs="宋体" w:hint="eastAsia"/>
          <w:b/>
          <w:bCs/>
          <w:color w:val="auto"/>
          <w:sz w:val="21"/>
          <w:szCs w:val="21"/>
        </w:rPr>
        <w:t>“本人已经阅读上述风险揭示，愿意承担投资风险。”</w:t>
      </w:r>
      <w:r>
        <w:rPr>
          <w:rFonts w:ascii="宋体" w:eastAsia="宋体" w:hAnsi="宋体" w:cs="宋体" w:hint="eastAsia"/>
          <w:color w:val="auto"/>
          <w:sz w:val="21"/>
          <w:szCs w:val="21"/>
        </w:rPr>
        <w:t xml:space="preserve">） </w:t>
      </w:r>
    </w:p>
    <w:p w14:paraId="1EEAD897" w14:textId="77777777" w:rsidR="00E3486E" w:rsidRDefault="00E3486E" w:rsidP="00E3486E">
      <w:pPr>
        <w:pStyle w:val="Default"/>
        <w:spacing w:line="360" w:lineRule="auto"/>
        <w:jc w:val="both"/>
        <w:rPr>
          <w:rFonts w:ascii="宋体" w:eastAsia="宋体" w:hAnsi="宋体" w:cs="宋体"/>
          <w:color w:val="auto"/>
          <w:sz w:val="21"/>
          <w:szCs w:val="21"/>
        </w:rPr>
      </w:pPr>
      <w:r>
        <w:rPr>
          <w:rFonts w:ascii="宋体" w:eastAsia="宋体" w:hAnsi="宋体" w:cs="宋体" w:hint="eastAsia"/>
          <w:color w:val="auto"/>
          <w:sz w:val="21"/>
          <w:szCs w:val="21"/>
        </w:rPr>
        <w:t>本人同时确认如下：</w:t>
      </w:r>
    </w:p>
    <w:p w14:paraId="3283D04E" w14:textId="77777777" w:rsidR="00E3486E" w:rsidRDefault="00E3486E" w:rsidP="00E3486E">
      <w:pPr>
        <w:pStyle w:val="Default"/>
        <w:spacing w:line="360" w:lineRule="auto"/>
        <w:jc w:val="both"/>
        <w:rPr>
          <w:rFonts w:ascii="宋体" w:eastAsia="宋体" w:hAnsi="宋体" w:cs="宋体"/>
          <w:color w:val="auto"/>
          <w:sz w:val="21"/>
          <w:szCs w:val="21"/>
        </w:rPr>
      </w:pPr>
      <w:r>
        <w:rPr>
          <w:rFonts w:ascii="宋体" w:eastAsia="宋体" w:hAnsi="宋体" w:cs="宋体" w:hint="eastAsia"/>
          <w:color w:val="auto"/>
          <w:sz w:val="21"/>
          <w:szCs w:val="21"/>
        </w:rPr>
        <w:t>_____________________________________________________________________________</w:t>
      </w:r>
    </w:p>
    <w:p w14:paraId="05DB03B3" w14:textId="77777777" w:rsidR="00E3486E" w:rsidRDefault="00E3486E" w:rsidP="00E3486E">
      <w:pPr>
        <w:pStyle w:val="Default"/>
        <w:spacing w:line="360" w:lineRule="auto"/>
        <w:jc w:val="both"/>
        <w:rPr>
          <w:rFonts w:ascii="宋体" w:eastAsia="宋体" w:hAnsi="宋体" w:cs="宋体"/>
          <w:color w:val="auto"/>
          <w:sz w:val="21"/>
          <w:szCs w:val="21"/>
        </w:rPr>
      </w:pPr>
      <w:r>
        <w:rPr>
          <w:rFonts w:ascii="宋体" w:eastAsia="宋体" w:hAnsi="宋体" w:cs="宋体" w:hint="eastAsia"/>
          <w:color w:val="auto"/>
          <w:sz w:val="21"/>
          <w:szCs w:val="21"/>
        </w:rPr>
        <w:t>_____________________________________________________________________________</w:t>
      </w:r>
    </w:p>
    <w:p w14:paraId="3E29A8D1" w14:textId="77777777" w:rsidR="00E3486E" w:rsidRDefault="00E3486E" w:rsidP="00E3486E">
      <w:pPr>
        <w:pStyle w:val="Default"/>
        <w:spacing w:line="360" w:lineRule="auto"/>
        <w:jc w:val="both"/>
        <w:rPr>
          <w:rFonts w:ascii="宋体" w:eastAsia="宋体" w:hAnsi="宋体" w:cs="宋体"/>
        </w:rPr>
      </w:pPr>
    </w:p>
    <w:p w14:paraId="5F3E3C01" w14:textId="77777777" w:rsidR="00E3486E" w:rsidRDefault="00E3486E" w:rsidP="00E3486E">
      <w:pPr>
        <w:spacing w:line="360" w:lineRule="auto"/>
        <w:rPr>
          <w:rFonts w:ascii="宋体" w:eastAsia="宋体" w:hAnsi="宋体" w:cs="宋体"/>
          <w:kern w:val="0"/>
        </w:rPr>
      </w:pPr>
      <w:r>
        <w:rPr>
          <w:rFonts w:ascii="宋体" w:eastAsia="宋体" w:hAnsi="宋体" w:cs="宋体" w:hint="eastAsia"/>
        </w:rPr>
        <w:t>投资者</w:t>
      </w:r>
      <w:r>
        <w:rPr>
          <w:rFonts w:ascii="宋体" w:eastAsia="宋体" w:hAnsi="宋体" w:cs="宋体" w:hint="eastAsia"/>
          <w:kern w:val="0"/>
        </w:rPr>
        <w:t xml:space="preserve">（签字）：                                             日期： </w:t>
      </w:r>
      <w:r>
        <w:rPr>
          <w:rFonts w:ascii="宋体" w:eastAsia="宋体" w:hAnsi="宋体" w:cs="宋体" w:hint="eastAsia"/>
        </w:rPr>
        <w:t>年  月  日</w:t>
      </w:r>
    </w:p>
    <w:p w14:paraId="7190E9A5" w14:textId="77777777" w:rsidR="00E3486E" w:rsidRDefault="00E3486E" w:rsidP="00E3486E">
      <w:pPr>
        <w:pStyle w:val="Default"/>
        <w:spacing w:line="360" w:lineRule="auto"/>
        <w:jc w:val="both"/>
        <w:rPr>
          <w:rFonts w:ascii="宋体" w:eastAsia="宋体" w:hAnsi="宋体" w:cs="宋体"/>
          <w:b/>
          <w:color w:val="auto"/>
          <w:sz w:val="21"/>
          <w:szCs w:val="21"/>
        </w:rPr>
      </w:pPr>
    </w:p>
    <w:p w14:paraId="5F6065BC" w14:textId="77777777" w:rsidR="00E3486E" w:rsidRDefault="00E3486E" w:rsidP="00E3486E">
      <w:pPr>
        <w:pStyle w:val="Default"/>
        <w:spacing w:line="360" w:lineRule="auto"/>
        <w:jc w:val="center"/>
        <w:rPr>
          <w:rFonts w:ascii="宋体" w:eastAsia="宋体" w:hAnsi="宋体" w:cs="宋体"/>
          <w:b/>
          <w:color w:val="auto"/>
          <w:sz w:val="21"/>
          <w:szCs w:val="21"/>
        </w:rPr>
      </w:pPr>
      <w:r>
        <w:rPr>
          <w:rFonts w:ascii="宋体" w:eastAsia="宋体" w:hAnsi="宋体" w:cs="宋体" w:hint="eastAsia"/>
          <w:b/>
          <w:color w:val="auto"/>
          <w:sz w:val="21"/>
          <w:szCs w:val="21"/>
        </w:rPr>
        <w:t>投资者确认栏（机构投资者填写）</w:t>
      </w:r>
    </w:p>
    <w:p w14:paraId="102BD4D0" w14:textId="77777777" w:rsidR="00E3486E" w:rsidRDefault="00E3486E" w:rsidP="00E3486E">
      <w:pPr>
        <w:pStyle w:val="Default"/>
        <w:spacing w:line="360" w:lineRule="auto"/>
        <w:jc w:val="both"/>
        <w:rPr>
          <w:rFonts w:ascii="宋体" w:eastAsia="宋体" w:hAnsi="宋体" w:cs="宋体"/>
          <w:b/>
          <w:bCs/>
          <w:color w:val="auto"/>
          <w:sz w:val="21"/>
          <w:szCs w:val="21"/>
        </w:rPr>
      </w:pPr>
      <w:r>
        <w:rPr>
          <w:rFonts w:ascii="宋体" w:eastAsia="宋体" w:hAnsi="宋体" w:cs="宋体" w:hint="eastAsia"/>
          <w:b/>
          <w:bCs/>
          <w:color w:val="auto"/>
          <w:sz w:val="21"/>
          <w:szCs w:val="21"/>
        </w:rPr>
        <w:t>声明：我单位已充分阅读《杭银理财投资者权益须知》《杭银理财幸福99零钱包开放式理财计划产品说明书》《杭银理财理财计划投资协议书》《杭银理财理财计划销售协议书》及</w:t>
      </w:r>
      <w:proofErr w:type="gramStart"/>
      <w:r>
        <w:rPr>
          <w:rFonts w:ascii="宋体" w:eastAsia="宋体" w:hAnsi="宋体" w:cs="宋体" w:hint="eastAsia"/>
          <w:b/>
          <w:bCs/>
          <w:color w:val="auto"/>
          <w:sz w:val="21"/>
          <w:szCs w:val="21"/>
        </w:rPr>
        <w:t>本风险</w:t>
      </w:r>
      <w:proofErr w:type="gramEnd"/>
      <w:r>
        <w:rPr>
          <w:rFonts w:ascii="宋体" w:eastAsia="宋体" w:hAnsi="宋体" w:cs="宋体" w:hint="eastAsia"/>
          <w:b/>
          <w:bCs/>
          <w:color w:val="auto"/>
          <w:sz w:val="21"/>
          <w:szCs w:val="21"/>
        </w:rPr>
        <w:t>揭示书，并已对其作全面、准确的理解，充分认识到投资本理财产品要求承担的风险，并自愿承担此风险。</w:t>
      </w:r>
    </w:p>
    <w:p w14:paraId="7C8FD82C" w14:textId="77777777" w:rsidR="00E3486E" w:rsidRDefault="00E3486E" w:rsidP="00E3486E">
      <w:pPr>
        <w:widowControl/>
        <w:spacing w:line="360" w:lineRule="auto"/>
        <w:contextualSpacing/>
        <w:outlineLvl w:val="0"/>
        <w:rPr>
          <w:rFonts w:ascii="宋体" w:eastAsia="宋体" w:hAnsi="宋体" w:cs="宋体"/>
        </w:rPr>
      </w:pPr>
    </w:p>
    <w:p w14:paraId="3564FB0F" w14:textId="77777777" w:rsidR="00E3486E" w:rsidRDefault="00E3486E" w:rsidP="00E3486E">
      <w:pPr>
        <w:pStyle w:val="Default"/>
        <w:spacing w:line="360" w:lineRule="auto"/>
        <w:jc w:val="both"/>
        <w:rPr>
          <w:rFonts w:ascii="宋体" w:eastAsia="宋体" w:hAnsi="宋体" w:cs="宋体"/>
          <w:color w:val="auto"/>
          <w:sz w:val="21"/>
          <w:szCs w:val="21"/>
        </w:rPr>
      </w:pPr>
    </w:p>
    <w:p w14:paraId="7E0037A7" w14:textId="77777777" w:rsidR="00E3486E" w:rsidRDefault="00E3486E" w:rsidP="00E3486E">
      <w:pPr>
        <w:pStyle w:val="Default"/>
        <w:spacing w:line="360" w:lineRule="auto"/>
        <w:jc w:val="both"/>
        <w:rPr>
          <w:rFonts w:ascii="宋体" w:eastAsia="宋体" w:hAnsi="宋体" w:cs="宋体"/>
          <w:color w:val="auto"/>
          <w:sz w:val="21"/>
          <w:szCs w:val="21"/>
        </w:rPr>
      </w:pPr>
      <w:r>
        <w:rPr>
          <w:rFonts w:ascii="宋体" w:eastAsia="宋体" w:hAnsi="宋体" w:cs="宋体" w:hint="eastAsia"/>
          <w:color w:val="auto"/>
          <w:sz w:val="21"/>
          <w:szCs w:val="21"/>
        </w:rPr>
        <w:t>投资者（公章）                            法定代表人或授权代理人（签章）</w:t>
      </w:r>
    </w:p>
    <w:p w14:paraId="6963ED43" w14:textId="77777777" w:rsidR="00E3486E" w:rsidRDefault="00E3486E" w:rsidP="00E3486E">
      <w:pPr>
        <w:pStyle w:val="Default"/>
        <w:spacing w:line="360" w:lineRule="auto"/>
        <w:jc w:val="both"/>
        <w:rPr>
          <w:rFonts w:ascii="宋体" w:eastAsia="宋体" w:hAnsi="宋体" w:cs="宋体"/>
          <w:color w:val="auto"/>
          <w:sz w:val="21"/>
          <w:szCs w:val="21"/>
        </w:rPr>
      </w:pPr>
    </w:p>
    <w:p w14:paraId="69366D72" w14:textId="39921D40" w:rsidR="00E3486E" w:rsidRDefault="00E3486E" w:rsidP="00E3486E">
      <w:r>
        <w:rPr>
          <w:rFonts w:ascii="宋体" w:eastAsia="宋体" w:hAnsi="宋体" w:cs="宋体" w:hint="eastAsia"/>
        </w:rPr>
        <w:t>日期： 年  月  日</w:t>
      </w:r>
    </w:p>
    <w:sectPr w:rsidR="00E348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86E"/>
    <w:rsid w:val="00E348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C00A8"/>
  <w15:chartTrackingRefBased/>
  <w15:docId w15:val="{DA3B5CD4-6683-4EAD-9EA3-D51AF711E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86E"/>
    <w:pPr>
      <w:widowControl w:val="0"/>
      <w:jc w:val="both"/>
    </w:pPr>
    <w:rPr>
      <w:rFonts w:ascii="等线" w:eastAsia="等线" w:hAnsi="等线"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E3486E"/>
    <w:pPr>
      <w:widowControl w:val="0"/>
      <w:autoSpaceDE w:val="0"/>
      <w:autoSpaceDN w:val="0"/>
      <w:adjustRightInd w:val="0"/>
    </w:pPr>
    <w:rPr>
      <w:rFonts w:ascii="Wingdings" w:eastAsia="等线"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615</Words>
  <Characters>3508</Characters>
  <Application>Microsoft Office Word</Application>
  <DocSecurity>0</DocSecurity>
  <Lines>29</Lines>
  <Paragraphs>8</Paragraphs>
  <ScaleCrop>false</ScaleCrop>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chi</dc:creator>
  <cp:keywords/>
  <dc:description/>
  <cp:lastModifiedBy>zhang chi</cp:lastModifiedBy>
  <cp:revision>1</cp:revision>
  <dcterms:created xsi:type="dcterms:W3CDTF">2022-10-24T01:35:00Z</dcterms:created>
  <dcterms:modified xsi:type="dcterms:W3CDTF">2022-10-24T01:35:00Z</dcterms:modified>
</cp:coreProperties>
</file>