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bookmarkStart w:id="243" w:name="_GoBack"/>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b/>
          <w:szCs w:val="21"/>
        </w:rPr>
      </w:pPr>
      <w:r>
        <w:rPr>
          <w:rFonts w:hint="eastAsia" w:ascii="黑体" w:hAnsi="黑体" w:eastAsia="黑体"/>
          <w:b/>
          <w:sz w:val="44"/>
          <w:szCs w:val="44"/>
        </w:rPr>
        <w:t>兴银理财天天万利宝稳利净值型理财产品销售文件</w:t>
      </w:r>
    </w:p>
    <w:tbl>
      <w:tblPr>
        <w:tblStyle w:val="25"/>
        <w:tblW w:w="89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兴银理财天天万利宝稳利净值型理财产品投资协议书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701383"/>
      <w:bookmarkStart w:id="2" w:name="_Toc139992301"/>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39991727"/>
      <w:bookmarkStart w:id="7" w:name="_Toc123701384"/>
      <w:bookmarkStart w:id="8" w:name="_Toc123112225"/>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【2022】年【</w:t>
      </w:r>
      <w:r>
        <w:rPr>
          <w:rStyle w:val="27"/>
          <w:rFonts w:ascii="宋体" w:hAnsi="宋体"/>
          <w:sz w:val="28"/>
          <w:szCs w:val="28"/>
        </w:rPr>
        <w:t>8</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112266"/>
      <w:bookmarkStart w:id="13" w:name="_Toc12370138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兴业银行天天万利宝稳利9号</w:t>
            </w:r>
            <w:r>
              <w:rPr>
                <w:rFonts w:ascii="宋体" w:hAnsi="宋体"/>
                <w:bCs/>
                <w:sz w:val="18"/>
                <w:szCs w:val="18"/>
              </w:rPr>
              <w:t>C</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【稳利恒盈9号C款 9个月A】（适用A类份额）</w:t>
            </w:r>
          </w:p>
          <w:p>
            <w:pPr>
              <w:spacing w:line="360" w:lineRule="auto"/>
              <w:jc w:val="left"/>
              <w:rPr>
                <w:rFonts w:ascii="宋体" w:hAnsi="宋体"/>
                <w:bCs/>
                <w:sz w:val="18"/>
                <w:szCs w:val="18"/>
              </w:rPr>
            </w:pPr>
            <w:r>
              <w:rPr>
                <w:rFonts w:hint="eastAsia" w:ascii="宋体" w:hAnsi="宋体"/>
                <w:bCs/>
                <w:sz w:val="18"/>
                <w:szCs w:val="18"/>
              </w:rPr>
              <w:t>【稳利恒盈9号C款 9个月B】（适用B类份额）</w:t>
            </w:r>
          </w:p>
          <w:p>
            <w:pPr>
              <w:spacing w:line="360" w:lineRule="auto"/>
              <w:jc w:val="left"/>
              <w:rPr>
                <w:rFonts w:ascii="宋体" w:hAnsi="宋体"/>
                <w:bCs/>
                <w:sz w:val="18"/>
                <w:szCs w:val="18"/>
              </w:rPr>
            </w:pPr>
            <w:r>
              <w:rPr>
                <w:rFonts w:hint="eastAsia" w:ascii="宋体" w:hAnsi="宋体"/>
                <w:bCs/>
                <w:sz w:val="18"/>
                <w:szCs w:val="18"/>
              </w:rPr>
              <w:t>【稳利恒盈9号C款 9个月C】（适用C类份额）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Z7002021000242</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【9K209330】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【9K20933A】（适用A类份额）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【9K20933B】（适用B类份额）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【9K20933C】（适用C类份额）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867"/>
      <w:bookmarkStart w:id="15" w:name="_Toc123701389"/>
      <w:bookmarkStart w:id="16" w:name="_Toc6306"/>
      <w:bookmarkStart w:id="17" w:name="_Toc4966"/>
      <w:bookmarkStart w:id="18" w:name="_Toc15517"/>
      <w:bookmarkStart w:id="19" w:name="_Toc8727"/>
      <w:bookmarkStart w:id="20" w:name="_Toc26897"/>
      <w:bookmarkStart w:id="21" w:name="_Toc123112268"/>
      <w:bookmarkStart w:id="22" w:name="_Toc30935"/>
      <w:bookmarkStart w:id="23" w:name="_Toc32639"/>
      <w:bookmarkStart w:id="24" w:name="_Toc29629"/>
      <w:bookmarkStart w:id="25" w:name="_Toc123112229"/>
      <w:bookmarkStart w:id="26" w:name="_Toc139991730"/>
      <w:bookmarkStart w:id="27" w:name="_Toc23386"/>
      <w:bookmarkStart w:id="28" w:name="_Toc141703880"/>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13020"/>
      <w:bookmarkStart w:id="34" w:name="_Toc2465"/>
      <w:bookmarkStart w:id="35" w:name="_Toc3224"/>
      <w:bookmarkStart w:id="36" w:name="_Toc6617"/>
      <w:bookmarkStart w:id="37" w:name="_Toc21301"/>
      <w:bookmarkStart w:id="38" w:name="_Toc19592"/>
      <w:bookmarkStart w:id="39" w:name="_Toc258829399"/>
      <w:bookmarkStart w:id="40" w:name="_Toc24860"/>
      <w:bookmarkStart w:id="41" w:name="_Toc819"/>
      <w:bookmarkStart w:id="42" w:name="_Toc15067"/>
      <w:bookmarkStart w:id="43" w:name="_Toc22864"/>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18631"/>
      <w:bookmarkStart w:id="51" w:name="_Toc13288"/>
      <w:bookmarkStart w:id="52" w:name="_Toc6149"/>
      <w:bookmarkStart w:id="53" w:name="_Toc74065740"/>
      <w:bookmarkStart w:id="54" w:name="_Toc6683"/>
      <w:bookmarkStart w:id="55" w:name="_Toc24571"/>
      <w:bookmarkStart w:id="56" w:name="_Toc22708"/>
      <w:bookmarkStart w:id="57" w:name="_Toc545"/>
      <w:bookmarkStart w:id="58" w:name="_Toc20318"/>
      <w:bookmarkStart w:id="59" w:name="_Toc733"/>
      <w:bookmarkStart w:id="60" w:name="_Toc20627"/>
      <w:bookmarkStart w:id="61" w:name="_Toc258829400"/>
      <w:bookmarkStart w:id="62" w:name="_Toc233456272"/>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95897039"/>
      <w:bookmarkStart w:id="64" w:name="_Toc88482733"/>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88482736"/>
      <w:bookmarkStart w:id="70" w:name="_Toc77953869"/>
      <w:bookmarkStart w:id="71" w:name="_Toc9589704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8255" b="13335"/>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Fonts w:hint="eastAsia" w:ascii="黑体" w:hAnsi="黑体" w:eastAsia="黑体"/>
          <w:b/>
          <w:sz w:val="44"/>
          <w:szCs w:val="44"/>
        </w:rPr>
        <w:t>兴银理财天天万利宝稳利净值型理财产品</w:t>
      </w: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【2022】年【</w:t>
      </w:r>
      <w:r>
        <w:rPr>
          <w:rStyle w:val="27"/>
          <w:rFonts w:ascii="宋体" w:hAnsi="宋体" w:cs="Times New Roman"/>
          <w:sz w:val="32"/>
          <w:szCs w:val="32"/>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70"/>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"_Toc9482"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_Toc9482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"_Toc23998" </w:instrText>
          </w:r>
          <w:r>
            <w:fldChar w:fldCharType="separate"/>
          </w:r>
          <w:r>
            <w:rPr>
              <w:rFonts w:hint="eastAsia" w:hAnsi="宋体"/>
              <w:szCs w:val="28"/>
            </w:rPr>
            <w:t>第二条  理财产品基本情况</w:t>
          </w:r>
          <w:r>
            <w:tab/>
          </w:r>
          <w:r>
            <w:fldChar w:fldCharType="begin"/>
          </w:r>
          <w:r>
            <w:instrText xml:space="preserve"> PAGEREF _Toc23998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"_Toc15862"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_Toc15862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"_Toc28040"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_Toc28040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"_Toc24722"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_Toc24722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"_Toc27357"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_Toc27357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"_Toc10162"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_Toc10162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"_Toc3138"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_Toc3138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"_Toc17110"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_Toc17110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"_Toc4606"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_Toc4606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"_Toc11469"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_Toc11469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"_Toc24766"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_Toc24766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9482"/>
      <w:bookmarkStart w:id="75"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43"/>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23998"/>
      <w:bookmarkStart w:id="77" w:name="_Toc92377131"/>
      <w:bookmarkStart w:id="78" w:name="_Toc79154665"/>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兴业银行天天万利宝稳利9号</w:t>
            </w:r>
            <w:r>
              <w:rPr>
                <w:rFonts w:ascii="宋体" w:hAnsi="宋体"/>
                <w:bCs/>
                <w:sz w:val="18"/>
                <w:szCs w:val="18"/>
              </w:rPr>
              <w:t>C</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【稳利恒盈9号C款 9个月A】（适用A类份额）</w:t>
            </w:r>
          </w:p>
          <w:p>
            <w:pPr>
              <w:spacing w:line="360" w:lineRule="auto"/>
              <w:jc w:val="left"/>
              <w:rPr>
                <w:rFonts w:ascii="宋体" w:hAnsi="宋体"/>
                <w:bCs/>
                <w:sz w:val="18"/>
                <w:szCs w:val="18"/>
              </w:rPr>
            </w:pPr>
            <w:r>
              <w:rPr>
                <w:rFonts w:hint="eastAsia" w:ascii="宋体" w:hAnsi="宋体"/>
                <w:bCs/>
                <w:sz w:val="18"/>
                <w:szCs w:val="18"/>
              </w:rPr>
              <w:t>【稳利恒盈9号C款 9个月B】（适用B类份额）</w:t>
            </w:r>
          </w:p>
          <w:p>
            <w:pPr>
              <w:spacing w:line="360" w:lineRule="auto"/>
              <w:jc w:val="left"/>
              <w:rPr>
                <w:rFonts w:asciiTheme="minorEastAsia" w:hAnsiTheme="minorEastAsia" w:eastAsiaTheme="minorEastAsia" w:cstheme="minorEastAsia"/>
                <w:kern w:val="0"/>
                <w:sz w:val="22"/>
              </w:rPr>
            </w:pPr>
            <w:r>
              <w:rPr>
                <w:rFonts w:hint="eastAsia" w:ascii="宋体" w:hAnsi="宋体"/>
                <w:bCs/>
                <w:sz w:val="18"/>
                <w:szCs w:val="18"/>
              </w:rPr>
              <w:t>【稳利恒盈9号C款 9个月C】（适用C类份额）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Theme="minorEastAsia" w:hAnsiTheme="minorEastAsia" w:eastAsiaTheme="minorEastAsia" w:cstheme="minorEastAsia"/>
                <w:b/>
                <w:sz w:val="18"/>
                <w:szCs w:val="18"/>
              </w:rPr>
            </w:pPr>
            <w:r>
              <w:rPr>
                <w:rFonts w:hint="eastAsia" w:ascii="宋体" w:hAnsi="宋体"/>
                <w:bCs/>
                <w:sz w:val="18"/>
                <w:szCs w:val="18"/>
              </w:rPr>
              <w:t>【</w:t>
            </w:r>
            <w:r>
              <w:rPr>
                <w:rFonts w:ascii="宋体" w:hAnsi="宋体"/>
                <w:bCs/>
                <w:sz w:val="18"/>
                <w:szCs w:val="18"/>
              </w:rPr>
              <w:t>Z7002021000242</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Theme="minorEastAsia" w:hAnsiTheme="minorEastAsia" w:eastAsiaTheme="minorEastAsia" w:cstheme="minorEastAsia"/>
                <w:bCs/>
                <w:sz w:val="18"/>
                <w:szCs w:val="18"/>
              </w:rPr>
            </w:pPr>
            <w:r>
              <w:rPr>
                <w:rFonts w:ascii="宋体" w:hAnsi="宋体"/>
                <w:bCs/>
                <w:color w:val="000000" w:themeColor="text1"/>
                <w:sz w:val="18"/>
                <w:szCs w:val="18"/>
              </w:rPr>
              <w:t>【9K209330】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【9K20933A】（适用A类份额）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【9K20933B】（适用B类份额）</w:t>
            </w:r>
          </w:p>
          <w:p>
            <w:pPr>
              <w:spacing w:line="360" w:lineRule="auto"/>
              <w:jc w:val="left"/>
              <w:rPr>
                <w:rFonts w:asciiTheme="minorEastAsia" w:hAnsiTheme="minorEastAsia" w:eastAsiaTheme="minorEastAsia" w:cstheme="minorEastAsia"/>
                <w:sz w:val="18"/>
                <w:szCs w:val="18"/>
              </w:rPr>
            </w:pPr>
            <w:r>
              <w:rPr>
                <w:rFonts w:hint="eastAsia" w:ascii="宋体" w:hAnsi="宋体"/>
                <w:bCs/>
                <w:color w:val="000000" w:themeColor="text1"/>
                <w:sz w:val="18"/>
                <w:szCs w:val="18"/>
              </w:rPr>
              <w:t>【9K20933C】（适用C类份额）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50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：【2021】年【</w:t>
            </w:r>
            <w:r>
              <w:rPr>
                <w:rFonts w:asciiTheme="minorEastAsia" w:hAnsiTheme="minorEastAsia"/>
                <w:bCs/>
                <w:sz w:val="18"/>
                <w:szCs w:val="18"/>
              </w:rPr>
              <w:t>11</w:t>
            </w:r>
            <w:r>
              <w:rPr>
                <w:rFonts w:hint="eastAsia" w:asciiTheme="minorEastAsia" w:hAnsiTheme="minorEastAsia"/>
                <w:bCs/>
                <w:sz w:val="18"/>
                <w:szCs w:val="18"/>
              </w:rPr>
              <w:t>】月【</w:t>
            </w:r>
            <w:r>
              <w:rPr>
                <w:rFonts w:asciiTheme="minorEastAsia" w:hAnsiTheme="minorEastAsia"/>
                <w:bCs/>
                <w:sz w:val="18"/>
                <w:szCs w:val="18"/>
              </w:rPr>
              <w:t>18</w:t>
            </w:r>
            <w:r>
              <w:rPr>
                <w:rFonts w:hint="eastAsia" w:asciiTheme="minorEastAsia" w:hAnsiTheme="minorEastAsia"/>
                <w:bCs/>
                <w:sz w:val="18"/>
                <w:szCs w:val="18"/>
              </w:rPr>
              <w:t>】日11:00至【2021】年【</w:t>
            </w:r>
            <w:r>
              <w:rPr>
                <w:rFonts w:asciiTheme="minorEastAsia" w:hAnsiTheme="minorEastAsia"/>
                <w:bCs/>
                <w:sz w:val="18"/>
                <w:szCs w:val="18"/>
              </w:rPr>
              <w:t>11</w:t>
            </w:r>
            <w:r>
              <w:rPr>
                <w:rFonts w:hint="eastAsia" w:asciiTheme="minorEastAsia" w:hAnsiTheme="minorEastAsia"/>
                <w:bCs/>
                <w:sz w:val="18"/>
                <w:szCs w:val="18"/>
              </w:rPr>
              <w:t>】月【</w:t>
            </w:r>
            <w:r>
              <w:rPr>
                <w:rFonts w:asciiTheme="minorEastAsia" w:hAnsiTheme="minorEastAsia"/>
                <w:bCs/>
                <w:sz w:val="18"/>
                <w:szCs w:val="18"/>
              </w:rPr>
              <w:t>24</w:t>
            </w:r>
            <w:r>
              <w:rPr>
                <w:rFonts w:hint="eastAsia" w:asciiTheme="minorEastAsia" w:hAnsiTheme="minorEastAsia"/>
                <w:bCs/>
                <w:sz w:val="18"/>
                <w:szCs w:val="18"/>
              </w:rPr>
              <w:t>】日15:45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bCs/>
                <w:sz w:val="18"/>
                <w:szCs w:val="18"/>
              </w:rPr>
              <w:t>【2021】年【</w:t>
            </w:r>
            <w:r>
              <w:rPr>
                <w:rFonts w:asciiTheme="minorEastAsia" w:hAnsiTheme="minorEastAsia"/>
                <w:bCs/>
                <w:sz w:val="18"/>
                <w:szCs w:val="18"/>
              </w:rPr>
              <w:t>11</w:t>
            </w:r>
            <w:r>
              <w:rPr>
                <w:rFonts w:hint="eastAsia" w:asciiTheme="minorEastAsia" w:hAnsiTheme="minorEastAsia"/>
                <w:bCs/>
                <w:sz w:val="18"/>
                <w:szCs w:val="18"/>
              </w:rPr>
              <w:t>】月【</w:t>
            </w:r>
            <w:r>
              <w:rPr>
                <w:rFonts w:asciiTheme="minorEastAsia" w:hAnsiTheme="minorEastAsia"/>
                <w:bCs/>
                <w:sz w:val="18"/>
                <w:szCs w:val="18"/>
              </w:rPr>
              <w:t>25</w:t>
            </w:r>
            <w:r>
              <w:rPr>
                <w:rFonts w:hint="eastAsia" w:asciiTheme="minorEastAsia" w:hAnsiTheme="minorEastAsia"/>
                <w:bCs/>
                <w:sz w:val="18"/>
                <w:szCs w:val="18"/>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asciiTheme="minorEastAsia" w:hAnsiTheme="minorEastAsia" w:eastAsiaTheme="minorEastAsia"/>
                <w:bCs/>
                <w:color w:val="000000" w:themeColor="text1"/>
                <w:sz w:val="18"/>
                <w:szCs w:val="18"/>
              </w:rPr>
              <w:t>1</w:t>
            </w:r>
            <w:r>
              <w:rPr>
                <w:rFonts w:asciiTheme="majorEastAsia" w:hAnsiTheme="majorEastAsia" w:eastAsiaTheme="majorEastAsia"/>
                <w:bCs/>
                <w:color w:val="000000" w:themeColor="text1"/>
                <w:sz w:val="18"/>
                <w:szCs w:val="18"/>
              </w:rPr>
              <w:t>.投资周期的设置</w:t>
            </w:r>
          </w:p>
          <w:p>
            <w:pPr>
              <w:spacing w:line="360" w:lineRule="auto"/>
              <w:rPr>
                <w:rFonts w:asciiTheme="minorEastAsia" w:hAnsiTheme="minorEastAsia" w:eastAsiaTheme="min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投资周期指</w:t>
            </w:r>
            <w:r>
              <w:rPr>
                <w:rFonts w:hint="eastAsia" w:asciiTheme="minorEastAsia" w:hAnsiTheme="minorEastAsia" w:eastAsiaTheme="minorEastAsia"/>
                <w:bCs/>
                <w:color w:val="000000" w:themeColor="text1"/>
                <w:sz w:val="18"/>
                <w:szCs w:val="18"/>
              </w:rPr>
              <w:t>投资者</w:t>
            </w:r>
            <w:r>
              <w:rPr>
                <w:rFonts w:asciiTheme="minorEastAsia" w:hAnsiTheme="minorEastAsia" w:eastAsiaTheme="minorEastAsia"/>
                <w:bCs/>
                <w:color w:val="000000" w:themeColor="text1"/>
                <w:sz w:val="18"/>
                <w:szCs w:val="18"/>
              </w:rPr>
              <w:t>持有理财产品份额</w:t>
            </w:r>
            <w:r>
              <w:rPr>
                <w:rFonts w:hint="eastAsia" w:asciiTheme="minorEastAsia" w:hAnsiTheme="minorEastAsia" w:eastAsiaTheme="minorEastAsia"/>
                <w:bCs/>
                <w:color w:val="000000" w:themeColor="text1"/>
                <w:sz w:val="18"/>
                <w:szCs w:val="18"/>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rPr>
            </w:pPr>
            <w:r>
              <w:rPr>
                <w:rFonts w:hint="eastAsia" w:asciiTheme="majorEastAsia" w:hAnsiTheme="majorEastAsia" w:eastAsiaTheme="majorEastAsia"/>
                <w:bCs/>
                <w:color w:val="000000" w:themeColor="text1"/>
                <w:sz w:val="18"/>
                <w:szCs w:val="18"/>
              </w:rPr>
              <w:t>（2）每一个投资周期：包含</w:t>
            </w:r>
            <w:r>
              <w:rPr>
                <w:rFonts w:hint="eastAsia" w:cs="仿宋_GB2312" w:asciiTheme="majorEastAsia" w:hAnsiTheme="majorEastAsia" w:eastAsiaTheme="majorEastAsia"/>
                <w:color w:val="000000" w:themeColor="text1"/>
                <w:kern w:val="0"/>
                <w:sz w:val="18"/>
                <w:szCs w:val="18"/>
              </w:rPr>
              <w:t>该</w:t>
            </w:r>
            <w:r>
              <w:rPr>
                <w:rFonts w:hint="eastAsia" w:asciiTheme="majorEastAsia" w:hAnsiTheme="majorEastAsia" w:eastAsiaTheme="majorEastAsia"/>
                <w:bCs/>
                <w:color w:val="000000" w:themeColor="text1"/>
                <w:sz w:val="18"/>
                <w:szCs w:val="18"/>
              </w:rPr>
              <w:t>投资者对应产品份额的认购确认日</w:t>
            </w:r>
            <w:r>
              <w:rPr>
                <w:rFonts w:asciiTheme="majorEastAsia" w:hAnsiTheme="majorEastAsia" w:eastAsiaTheme="majorEastAsia"/>
                <w:bCs/>
                <w:color w:val="000000" w:themeColor="text1"/>
                <w:sz w:val="18"/>
                <w:szCs w:val="18"/>
              </w:rPr>
              <w:t>/申购确认日</w:t>
            </w:r>
            <w:r>
              <w:rPr>
                <w:rFonts w:hint="eastAsia" w:cs="仿宋_GB2312" w:asciiTheme="majorEastAsia" w:hAnsiTheme="majorEastAsia" w:eastAsiaTheme="majorEastAsia"/>
                <w:color w:val="000000" w:themeColor="text1"/>
                <w:kern w:val="0"/>
                <w:sz w:val="18"/>
                <w:szCs w:val="18"/>
              </w:rPr>
              <w:t>至该投资者对应产品份额的赎回确认日的期间。</w:t>
            </w:r>
          </w:p>
          <w:p>
            <w:pPr>
              <w:spacing w:line="360" w:lineRule="auto"/>
              <w:rPr>
                <w:rFonts w:asciiTheme="majorEastAsia" w:hAnsiTheme="majorEastAsia" w:eastAsiaTheme="maj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asciiTheme="minorEastAsia" w:hAnsiTheme="minorEastAsia" w:eastAsiaTheme="minorEastAsia"/>
                <w:bCs/>
                <w:color w:val="000000" w:themeColor="text1"/>
                <w:sz w:val="18"/>
                <w:szCs w:val="18"/>
              </w:rPr>
              <w:t>）</w:t>
            </w:r>
            <w:r>
              <w:rPr>
                <w:rFonts w:hint="eastAsia" w:asciiTheme="majorEastAsia" w:hAnsiTheme="majorEastAsia" w:eastAsiaTheme="majorEastAsia"/>
                <w:bCs/>
                <w:color w:val="000000" w:themeColor="text1"/>
                <w:sz w:val="18"/>
                <w:szCs w:val="18"/>
              </w:rPr>
              <w:t>正常情况下，本产品的一个投资周期为【9个月】</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投资周期存在长于或短于【9个月】的可能，投资者具体投资周期以本产品说明书“申购</w:t>
            </w:r>
            <w:r>
              <w:rPr>
                <w:rFonts w:asciiTheme="majorEastAsia" w:hAnsiTheme="majorEastAsia" w:eastAsiaTheme="majorEastAsia"/>
                <w:bCs/>
                <w:color w:val="000000" w:themeColor="text1"/>
                <w:sz w:val="18"/>
                <w:szCs w:val="18"/>
              </w:rPr>
              <w:t>/赎回安排</w:t>
            </w:r>
            <w:r>
              <w:rPr>
                <w:rFonts w:hint="eastAsia" w:asciiTheme="majorEastAsia" w:hAnsiTheme="majorEastAsia" w:eastAsiaTheme="majorEastAsia"/>
                <w:bCs/>
                <w:color w:val="000000" w:themeColor="text1"/>
                <w:sz w:val="18"/>
                <w:szCs w:val="18"/>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2.投资周期的参与</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rPr>
            </w:pP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rPr>
              <w:t>本产品</w:t>
            </w:r>
            <w:r>
              <w:rPr>
                <w:rFonts w:cs="仿宋_GB2312" w:asciiTheme="majorEastAsia" w:hAnsiTheme="majorEastAsia" w:eastAsiaTheme="majorEastAsia"/>
                <w:color w:val="000000" w:themeColor="text1"/>
                <w:kern w:val="0"/>
                <w:sz w:val="18"/>
                <w:szCs w:val="18"/>
              </w:rPr>
              <w:t>成立后管理人可根据募集情况设置预约申购期</w:t>
            </w: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在理财产品运作一个完整的投资周期</w:t>
            </w:r>
            <w:r>
              <w:rPr>
                <w:rFonts w:hint="eastAsia" w:cs="仿宋_GB2312" w:asciiTheme="majorEastAsia" w:hAnsiTheme="majorEastAsia" w:eastAsiaTheme="majorEastAsia"/>
                <w:color w:val="000000" w:themeColor="text1"/>
                <w:kern w:val="0"/>
                <w:sz w:val="18"/>
                <w:szCs w:val="18"/>
              </w:rPr>
              <w:t>结束前后，</w:t>
            </w:r>
            <w:r>
              <w:rPr>
                <w:rFonts w:cs="仿宋_GB2312" w:asciiTheme="majorEastAsia" w:hAnsiTheme="majorEastAsia" w:eastAsiaTheme="majorEastAsia"/>
                <w:color w:val="000000" w:themeColor="text1"/>
                <w:kern w:val="0"/>
                <w:sz w:val="18"/>
                <w:szCs w:val="18"/>
              </w:rPr>
              <w:t>管理人可设置预约申购期</w:t>
            </w:r>
            <w:r>
              <w:rPr>
                <w:rFonts w:hint="eastAsia" w:cs="仿宋_GB2312" w:asciiTheme="majorEastAsia" w:hAnsiTheme="majorEastAsia" w:eastAsiaTheme="majorEastAsia"/>
                <w:color w:val="000000" w:themeColor="text1"/>
                <w:kern w:val="0"/>
                <w:sz w:val="18"/>
                <w:szCs w:val="18"/>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3.投资周期的退出</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（1）本产品成立后，投资者可通过预约赎回方式退出本产品的投资周期。在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在运作一个完整的投资周期结束前，投资者可在预约赎回期内</w:t>
            </w:r>
            <w:r>
              <w:rPr>
                <w:rFonts w:asciiTheme="minorEastAsia" w:hAnsiTheme="minorEastAsia" w:eastAsiaTheme="minorEastAsia"/>
                <w:bCs/>
                <w:color w:val="000000" w:themeColor="text1"/>
                <w:sz w:val="18"/>
                <w:szCs w:val="18"/>
              </w:rPr>
              <w:t>提出预约</w:t>
            </w:r>
            <w:r>
              <w:rPr>
                <w:rFonts w:hint="eastAsia" w:asciiTheme="minorEastAsia" w:hAnsiTheme="minorEastAsia" w:eastAsiaTheme="minorEastAsia"/>
                <w:bCs/>
                <w:color w:val="000000" w:themeColor="text1"/>
                <w:sz w:val="18"/>
                <w:szCs w:val="18"/>
              </w:rPr>
              <w:t>赎回申请，如未赎回将进入下一个投资周期继续运作。</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（2）在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在运作一个完整的投资周期后，投资者</w:t>
            </w:r>
            <w:r>
              <w:rPr>
                <w:rFonts w:asciiTheme="minorEastAsia" w:hAnsiTheme="minorEastAsia" w:eastAsiaTheme="minorEastAsia"/>
                <w:bCs/>
                <w:color w:val="000000" w:themeColor="text1"/>
                <w:sz w:val="18"/>
                <w:szCs w:val="18"/>
              </w:rPr>
              <w:t>也可以继续</w:t>
            </w:r>
            <w:r>
              <w:rPr>
                <w:rFonts w:hint="eastAsia" w:asciiTheme="minorEastAsia" w:hAnsiTheme="minorEastAsia" w:eastAsiaTheme="minorEastAsia"/>
                <w:bCs/>
                <w:color w:val="000000" w:themeColor="text1"/>
                <w:sz w:val="18"/>
                <w:szCs w:val="18"/>
              </w:rPr>
              <w:t>持有理财产品份额进入</w:t>
            </w:r>
            <w:r>
              <w:rPr>
                <w:rFonts w:asciiTheme="minorEastAsia" w:hAnsiTheme="minorEastAsia" w:eastAsiaTheme="minorEastAsia"/>
                <w:bCs/>
                <w:color w:val="000000" w:themeColor="text1"/>
                <w:sz w:val="18"/>
                <w:szCs w:val="18"/>
              </w:rPr>
              <w:t>下一个投资周期</w:t>
            </w:r>
            <w:r>
              <w:rPr>
                <w:rFonts w:hint="eastAsia" w:asciiTheme="minorEastAsia" w:hAnsiTheme="minorEastAsia" w:eastAsiaTheme="minorEastAsia"/>
                <w:bCs/>
                <w:color w:val="000000" w:themeColor="text1"/>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rPr>
            </w:pPr>
            <w:r>
              <w:rPr>
                <w:rFonts w:hint="eastAsia" w:ascii="黑体" w:hAnsi="黑体" w:eastAsia="黑体"/>
                <w:color w:val="000000" w:themeColor="text1"/>
                <w:sz w:val="18"/>
                <w:szCs w:val="18"/>
              </w:rPr>
              <w:t>4</w:t>
            </w:r>
            <w:r>
              <w:rPr>
                <w:rFonts w:ascii="黑体" w:hAnsi="黑体" w:eastAsia="黑体"/>
                <w:color w:val="000000" w:themeColor="text1"/>
                <w:sz w:val="18"/>
                <w:szCs w:val="18"/>
              </w:rPr>
              <w:t>.</w:t>
            </w:r>
            <w:r>
              <w:rPr>
                <w:rFonts w:hint="eastAsia" w:ascii="黑体" w:hAnsi="黑体" w:eastAsia="黑体"/>
                <w:color w:val="000000" w:themeColor="text1"/>
                <w:sz w:val="18"/>
                <w:szCs w:val="18"/>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预约申购具体安排如下：</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□预约申购期：【2022】年【08】月【18】日11:00至【2022】年【08】月【24】日15:45；投资周期【273】天；</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□预约申购期：【2022】年【08】月【25】日11:00至【2022】年【08】月【31】日15:45；投资周期【266】天；</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□预约申购期：【2022】年【09】月【01】日11:00至【2022】年【09】月【07】日15:45；投资周期【259】天。（2）申购的确认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559"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1559" w:type="dxa"/>
                  <w:vAlign w:val="center"/>
                </w:tcPr>
                <w:p>
                  <w:pPr>
                    <w:pStyle w:val="43"/>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申购日</w:t>
                  </w:r>
                </w:p>
              </w:tc>
              <w:tc>
                <w:tcPr>
                  <w:tcW w:w="1843"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2229"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559" w:type="dxa"/>
                </w:tcPr>
                <w:p>
                  <w:pPr>
                    <w:pStyle w:val="43"/>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1559" w:type="dxa"/>
                </w:tcPr>
                <w:p>
                  <w:pPr>
                    <w:pStyle w:val="43"/>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1843" w:type="dxa"/>
                </w:tcPr>
                <w:p>
                  <w:pPr>
                    <w:pStyle w:val="43"/>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2229" w:type="dxa"/>
                </w:tcPr>
                <w:p>
                  <w:pPr>
                    <w:pStyle w:val="43"/>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cs="Times New Roman"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3</w:t>
            </w:r>
            <w:r>
              <w:rPr>
                <w:rFonts w:asciiTheme="majorEastAsia" w:hAnsiTheme="majorEastAsia" w:eastAsiaTheme="majorEastAsia"/>
                <w:bCs/>
                <w:color w:val="000000" w:themeColor="text1"/>
                <w:sz w:val="18"/>
                <w:szCs w:val="18"/>
              </w:rPr>
              <w:t>.预约</w:t>
            </w:r>
            <w:r>
              <w:rPr>
                <w:rFonts w:hint="eastAsia" w:asciiTheme="majorEastAsia" w:hAnsiTheme="majorEastAsia" w:eastAsiaTheme="majorEastAsia"/>
                <w:bCs/>
                <w:color w:val="000000" w:themeColor="text1"/>
                <w:sz w:val="18"/>
                <w:szCs w:val="18"/>
              </w:rPr>
              <w:t>赎回具体安排如下：</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（1）赎回的时间</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预约</w:t>
            </w:r>
            <w:r>
              <w:rPr>
                <w:rFonts w:asciiTheme="majorEastAsia" w:hAnsiTheme="majorEastAsia" w:eastAsiaTheme="majorEastAsia"/>
                <w:bCs/>
                <w:color w:val="000000" w:themeColor="text1"/>
                <w:sz w:val="18"/>
                <w:szCs w:val="18"/>
              </w:rPr>
              <w:t>赎回期</w:t>
            </w:r>
            <w:r>
              <w:rPr>
                <w:rFonts w:hint="eastAsia" w:asciiTheme="majorEastAsia" w:hAnsiTheme="majorEastAsia" w:eastAsiaTheme="majorEastAsia"/>
                <w:bCs/>
                <w:color w:val="000000" w:themeColor="text1"/>
                <w:sz w:val="18"/>
                <w:szCs w:val="18"/>
              </w:rPr>
              <w:t>：【2023】年【05】月【11】日00:00至【2023】年【05】月【24】日15:45。</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（2）赎回的确认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559"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1559" w:type="dxa"/>
                  <w:vAlign w:val="center"/>
                </w:tcPr>
                <w:p>
                  <w:pPr>
                    <w:pStyle w:val="43"/>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赎回日</w:t>
                  </w:r>
                </w:p>
              </w:tc>
              <w:tc>
                <w:tcPr>
                  <w:tcW w:w="1843"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2229"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559" w:type="dxa"/>
                </w:tcPr>
                <w:p>
                  <w:pPr>
                    <w:pStyle w:val="43"/>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1559" w:type="dxa"/>
                </w:tcPr>
                <w:p>
                  <w:pPr>
                    <w:pStyle w:val="43"/>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为预约赎回期内最后一个工作日</w:t>
                  </w:r>
                </w:p>
              </w:tc>
              <w:tc>
                <w:tcPr>
                  <w:tcW w:w="1843" w:type="dxa"/>
                </w:tcPr>
                <w:p>
                  <w:pPr>
                    <w:pStyle w:val="43"/>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2229" w:type="dxa"/>
                </w:tcPr>
                <w:p>
                  <w:pPr>
                    <w:pStyle w:val="43"/>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日后【5】个工作日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4.预约申购期/</w:t>
            </w:r>
            <w:r>
              <w:rPr>
                <w:rFonts w:hint="eastAsia" w:asciiTheme="majorEastAsia" w:hAnsiTheme="majorEastAsia" w:eastAsiaTheme="majorEastAsia"/>
                <w:bCs/>
                <w:color w:val="000000" w:themeColor="text1"/>
                <w:sz w:val="18"/>
                <w:szCs w:val="18"/>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5</w:t>
            </w:r>
            <w:r>
              <w:rPr>
                <w:rFonts w:hint="eastAsia" w:asciiTheme="majorEastAsia" w:hAnsiTheme="majorEastAsia" w:eastAsiaTheme="majorEastAsia"/>
                <w:bCs/>
                <w:color w:val="000000" w:themeColor="text1"/>
                <w:sz w:val="18"/>
                <w:szCs w:val="18"/>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预约赎回期。</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rPr>
              <w:t>（适用【A/C】类份额）</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300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000.00</w:t>
            </w:r>
            <w:r>
              <w:rPr>
                <w:rFonts w:hint="eastAsia" w:asciiTheme="majorEastAsia" w:hAnsiTheme="majorEastAsia" w:eastAsiaTheme="majorEastAsia"/>
                <w:bCs/>
                <w:sz w:val="18"/>
                <w:szCs w:val="18"/>
              </w:rPr>
              <w:t>】元；超出起点金额的部分以【1</w:t>
            </w:r>
            <w:r>
              <w:rPr>
                <w:rFonts w:asciiTheme="majorEastAsia" w:hAnsiTheme="majorEastAsia" w:eastAsiaTheme="majorEastAsia"/>
                <w:bCs/>
                <w:sz w:val="18"/>
                <w:szCs w:val="18"/>
              </w:rPr>
              <w:t>0,000.00</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rPr>
              <w:t>（适用【B】类份额）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43"/>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43"/>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43"/>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以一年期定期存款利率为无风险利率，基于当前对未来市场的判断，根据拟投资固定收益类资产的信用利差、久期敞口以及流动性溢价，预判组合的波动幅度，设定业绩基准。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p>
          <w:p>
            <w:pPr>
              <w:spacing w:line="360" w:lineRule="auto"/>
              <w:jc w:val="left"/>
              <w:rPr>
                <w:rFonts w:asciiTheme="majorEastAsia" w:hAnsiTheme="majorEastAsia"/>
                <w:b/>
                <w:sz w:val="18"/>
              </w:rPr>
            </w:pP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color w:val="000000" w:themeColor="text1"/>
                <w:sz w:val="18"/>
                <w:szCs w:val="18"/>
              </w:rPr>
            </w:pPr>
            <w:r>
              <w:rPr>
                <w:rFonts w:ascii="宋体" w:hAnsi="宋体"/>
                <w:b/>
                <w:bCs/>
                <w:sz w:val="18"/>
                <w:szCs w:val="18"/>
              </w:rPr>
              <w:t>A</w:t>
            </w:r>
            <w:r>
              <w:rPr>
                <w:rFonts w:hint="eastAsia" w:ascii="宋体" w:hAnsi="宋体"/>
                <w:b/>
                <w:bCs/>
                <w:sz w:val="18"/>
                <w:szCs w:val="18"/>
              </w:rPr>
              <w:t>类份额：年化【3.05-3.90%</w:t>
            </w:r>
            <w:r>
              <w:rPr>
                <w:rFonts w:ascii="宋体" w:hAnsi="宋体"/>
                <w:b/>
                <w:bCs/>
                <w:sz w:val="18"/>
                <w:szCs w:val="18"/>
              </w:rPr>
              <w:t>】</w:t>
            </w:r>
          </w:p>
          <w:p>
            <w:pPr>
              <w:spacing w:line="360" w:lineRule="auto"/>
              <w:jc w:val="left"/>
              <w:rPr>
                <w:rFonts w:ascii="宋体" w:hAnsi="宋体"/>
                <w:bCs/>
                <w:color w:val="000000" w:themeColor="text1"/>
                <w:sz w:val="18"/>
                <w:szCs w:val="18"/>
              </w:rPr>
            </w:pPr>
            <w:r>
              <w:rPr>
                <w:rFonts w:ascii="宋体" w:hAnsi="宋体"/>
                <w:b/>
                <w:bCs/>
                <w:sz w:val="18"/>
                <w:szCs w:val="18"/>
              </w:rPr>
              <w:t>B</w:t>
            </w:r>
            <w:r>
              <w:rPr>
                <w:rFonts w:hint="eastAsia" w:ascii="宋体" w:hAnsi="宋体"/>
                <w:b/>
                <w:bCs/>
                <w:sz w:val="18"/>
                <w:szCs w:val="18"/>
              </w:rPr>
              <w:t>类份额：年化【3.10-3.95%</w:t>
            </w:r>
            <w:r>
              <w:rPr>
                <w:rFonts w:ascii="宋体" w:hAnsi="宋体"/>
                <w:b/>
                <w:bCs/>
                <w:sz w:val="18"/>
                <w:szCs w:val="18"/>
              </w:rPr>
              <w:t>】</w:t>
            </w:r>
          </w:p>
          <w:p>
            <w:pPr>
              <w:spacing w:line="360" w:lineRule="auto"/>
              <w:jc w:val="left"/>
              <w:rPr>
                <w:rFonts w:asciiTheme="majorEastAsia" w:hAnsiTheme="majorEastAsia" w:eastAsiaTheme="majorEastAsia"/>
                <w:b/>
                <w:bCs/>
                <w:sz w:val="18"/>
                <w:szCs w:val="18"/>
              </w:rPr>
            </w:pPr>
            <w:r>
              <w:rPr>
                <w:rFonts w:ascii="宋体" w:hAnsi="宋体"/>
                <w:b/>
                <w:bCs/>
                <w:sz w:val="18"/>
                <w:szCs w:val="18"/>
              </w:rPr>
              <w:t>C</w:t>
            </w:r>
            <w:r>
              <w:rPr>
                <w:rFonts w:hint="eastAsia" w:ascii="宋体" w:hAnsi="宋体"/>
                <w:b/>
                <w:bCs/>
                <w:sz w:val="18"/>
                <w:szCs w:val="18"/>
              </w:rPr>
              <w:t>类份额：年化【2.</w:t>
            </w:r>
            <w:r>
              <w:rPr>
                <w:rFonts w:ascii="宋体" w:hAnsi="宋体"/>
                <w:b/>
                <w:bCs/>
                <w:sz w:val="18"/>
                <w:szCs w:val="18"/>
              </w:rPr>
              <w:t>9</w:t>
            </w:r>
            <w:r>
              <w:rPr>
                <w:rFonts w:hint="eastAsia" w:ascii="宋体" w:hAnsi="宋体"/>
                <w:b/>
                <w:bCs/>
                <w:sz w:val="18"/>
                <w:szCs w:val="18"/>
              </w:rPr>
              <w:t>0-3.</w:t>
            </w:r>
            <w:r>
              <w:rPr>
                <w:rFonts w:ascii="宋体" w:hAnsi="宋体"/>
                <w:b/>
                <w:bCs/>
                <w:sz w:val="18"/>
                <w:szCs w:val="18"/>
              </w:rPr>
              <w:t>7</w:t>
            </w:r>
            <w:r>
              <w:rPr>
                <w:rFonts w:hint="eastAsia" w:ascii="宋体" w:hAnsi="宋体"/>
                <w:b/>
                <w:bCs/>
                <w:sz w:val="18"/>
                <w:szCs w:val="18"/>
              </w:rPr>
              <w:t>5%</w:t>
            </w:r>
            <w:r>
              <w:rPr>
                <w:rFonts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管理人对本产品设定业绩报酬计提基准：【业绩比较基准上限】。</w:t>
            </w:r>
          </w:p>
          <w:p>
            <w:pPr>
              <w:spacing w:line="360" w:lineRule="auto"/>
              <w:jc w:val="left"/>
              <w:rPr>
                <w:rFonts w:ascii="宋体" w:hAnsi="宋体"/>
                <w:b/>
                <w:bCs/>
                <w:sz w:val="18"/>
                <w:szCs w:val="18"/>
              </w:rPr>
            </w:pPr>
            <w:r>
              <w:rPr>
                <w:rFonts w:hint="eastAsia" w:ascii="宋体" w:hAnsi="宋体"/>
                <w:b/>
                <w:bCs/>
                <w:sz w:val="18"/>
                <w:szCs w:val="18"/>
              </w:rPr>
              <w:t>业绩报酬计提基准仅作为管理人收取超额业绩报酬的参照数值标准，不代表理财产品未来表现，不等于理财产品实际收益，不作为产品收益的业绩保证，投资须谨慎。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w:t>
            </w:r>
            <w:r>
              <w:rPr>
                <w:rFonts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Theme="majorEastAsia" w:hAnsiTheme="majorEastAsia" w:eastAsiaTheme="majorEastAsia"/>
                <w:b/>
                <w:bCs/>
                <w:color w:val="000000" w:themeColor="text1"/>
                <w:sz w:val="18"/>
                <w:szCs w:val="18"/>
              </w:rPr>
              <w:t>4.销售服</w:t>
            </w:r>
            <w:r>
              <w:rPr>
                <w:rFonts w:hint="eastAsia" w:ascii="宋体" w:hAnsi="宋体"/>
                <w:b/>
                <w:bCs/>
                <w:color w:val="000000" w:themeColor="text1"/>
                <w:sz w:val="18"/>
                <w:szCs w:val="18"/>
              </w:rPr>
              <w:t>务费：</w:t>
            </w:r>
          </w:p>
          <w:p>
            <w:pPr>
              <w:spacing w:line="360" w:lineRule="auto"/>
              <w:rPr>
                <w:rFonts w:ascii="宋体" w:hAnsi="宋体"/>
                <w:bCs/>
                <w:color w:val="000000" w:themeColor="text1"/>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rPr>
              <w:t>（适用A</w:t>
            </w:r>
            <w:r>
              <w:rPr>
                <w:rFonts w:ascii="宋体" w:hAnsi="宋体"/>
                <w:bCs/>
                <w:color w:val="000000" w:themeColor="text1"/>
                <w:sz w:val="18"/>
                <w:szCs w:val="18"/>
              </w:rPr>
              <w:t>/C</w:t>
            </w:r>
            <w:r>
              <w:rPr>
                <w:rFonts w:hint="eastAsia" w:ascii="宋体" w:hAnsi="宋体"/>
                <w:bCs/>
                <w:color w:val="000000" w:themeColor="text1"/>
                <w:sz w:val="18"/>
                <w:szCs w:val="18"/>
              </w:rPr>
              <w:t>类份额）；</w:t>
            </w:r>
          </w:p>
          <w:p>
            <w:pPr>
              <w:spacing w:line="360" w:lineRule="auto"/>
              <w:rPr>
                <w:rFonts w:ascii="宋体" w:hAnsi="宋体"/>
                <w:bCs/>
                <w:color w:val="000000" w:themeColor="text1"/>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35</w:t>
            </w:r>
            <w:r>
              <w:rPr>
                <w:rFonts w:hint="eastAsia" w:asciiTheme="majorEastAsia" w:hAnsiTheme="majorEastAsia" w:eastAsiaTheme="majorEastAsia"/>
                <w:sz w:val="18"/>
                <w:szCs w:val="18"/>
              </w:rPr>
              <w:t>】%</w:t>
            </w:r>
            <w:r>
              <w:rPr>
                <w:rFonts w:hint="eastAsia" w:ascii="宋体" w:hAnsi="宋体"/>
                <w:bCs/>
                <w:color w:val="000000" w:themeColor="text1"/>
                <w:sz w:val="18"/>
                <w:szCs w:val="18"/>
              </w:rPr>
              <w:t>（适用B类份额）。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【0.20</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b/>
                <w:bCs/>
                <w:color w:val="000000" w:themeColor="text1"/>
                <w:sz w:val="18"/>
                <w:szCs w:val="18"/>
              </w:rPr>
            </w:pPr>
            <w:r>
              <w:rPr>
                <w:rFonts w:hint="eastAsia" w:ascii="宋体" w:hAnsi="宋体"/>
                <w:b/>
                <w:bCs/>
                <w:color w:val="000000" w:themeColor="text1"/>
                <w:sz w:val="18"/>
                <w:szCs w:val="18"/>
              </w:rPr>
              <w:t>7</w:t>
            </w:r>
            <w:r>
              <w:rPr>
                <w:rFonts w:ascii="宋体" w:hAnsi="宋体"/>
                <w:b/>
                <w:bCs/>
                <w:color w:val="000000" w:themeColor="text1"/>
                <w:sz w:val="18"/>
                <w:szCs w:val="18"/>
              </w:rPr>
              <w:t>.</w:t>
            </w:r>
            <w:r>
              <w:rPr>
                <w:rFonts w:hint="eastAsia" w:ascii="宋体" w:hAnsi="宋体"/>
                <w:b/>
                <w:bCs/>
                <w:color w:val="000000" w:themeColor="text1"/>
                <w:sz w:val="18"/>
                <w:szCs w:val="18"/>
              </w:rPr>
              <w:t>超额业绩报酬：</w:t>
            </w:r>
          </w:p>
          <w:p>
            <w:pPr>
              <w:widowControl/>
              <w:spacing w:line="360" w:lineRule="auto"/>
              <w:jc w:val="left"/>
              <w:rPr>
                <w:rFonts w:ascii="宋体" w:hAnsi="宋体"/>
                <w:sz w:val="18"/>
                <w:szCs w:val="18"/>
              </w:rPr>
            </w:pPr>
            <w:r>
              <w:rPr>
                <w:rFonts w:hint="eastAsia" w:ascii="宋体" w:hAnsi="宋体"/>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9" w:name="_Toc79154666"/>
      <w:bookmarkStart w:id="80" w:name="_Toc15862"/>
      <w:bookmarkStart w:id="81" w:name="_Toc92377132"/>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79154667"/>
      <w:bookmarkStart w:id="86" w:name="_Toc92377133"/>
      <w:bookmarkStart w:id="87" w:name="_Toc28040"/>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43"/>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line="360" w:lineRule="auto"/>
        <w:jc w:val="center"/>
        <w:rPr>
          <w:rFonts w:ascii="Times New Roman"/>
          <w:sz w:val="30"/>
        </w:rPr>
      </w:pPr>
      <w:bookmarkStart w:id="88" w:name="_Toc90742688"/>
      <w:bookmarkStart w:id="89" w:name="_Toc90742321"/>
      <w:bookmarkStart w:id="90" w:name="_Toc3266"/>
      <w:bookmarkStart w:id="91" w:name="_Toc74065741"/>
      <w:bookmarkStart w:id="92" w:name="_Toc16265"/>
      <w:bookmarkStart w:id="93" w:name="_Toc27189"/>
      <w:bookmarkStart w:id="94" w:name="_Toc15203"/>
      <w:bookmarkStart w:id="95" w:name="_Toc79154668"/>
      <w:bookmarkStart w:id="96" w:name="_Toc6714"/>
      <w:bookmarkStart w:id="97" w:name="_Toc7151"/>
      <w:bookmarkStart w:id="98" w:name="_Toc29948"/>
      <w:bookmarkStart w:id="99" w:name="_Toc90742390"/>
      <w:bookmarkStart w:id="100" w:name="_Toc22074"/>
      <w:bookmarkStart w:id="101" w:name="_Toc29784"/>
      <w:bookmarkStart w:id="102" w:name="_Toc27226"/>
      <w:bookmarkStart w:id="103" w:name="_Toc92377134"/>
      <w:bookmarkStart w:id="104" w:name="_Toc24722"/>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43"/>
        <w:spacing w:line="360" w:lineRule="auto"/>
        <w:ind w:firstLine="423" w:firstLineChars="235"/>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kern w:val="2"/>
          <w:sz w:val="18"/>
          <w:szCs w:val="18"/>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kern w:val="0"/>
          <w:sz w:val="18"/>
          <w:szCs w:val="18"/>
        </w:rPr>
        <w:t xml:space="preserve">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05" w:name="_Toc74065742"/>
      <w:bookmarkStart w:id="106" w:name="_Toc17912"/>
      <w:bookmarkStart w:id="107" w:name="_Toc27357"/>
      <w:bookmarkStart w:id="108" w:name="_Toc139991735"/>
      <w:bookmarkStart w:id="109" w:name="_Toc4741"/>
      <w:bookmarkStart w:id="110" w:name="_Toc18329"/>
      <w:bookmarkStart w:id="111" w:name="_Toc26986"/>
      <w:bookmarkStart w:id="112" w:name="_Toc18797"/>
      <w:bookmarkStart w:id="113" w:name="_Toc92377135"/>
      <w:bookmarkStart w:id="114" w:name="_Toc79154669"/>
      <w:bookmarkStart w:id="115" w:name="_Toc1823"/>
      <w:bookmarkStart w:id="116" w:name="_Toc14893"/>
      <w:bookmarkStart w:id="117" w:name="_Toc141703885"/>
      <w:bookmarkStart w:id="118" w:name="_Toc7848"/>
      <w:bookmarkStart w:id="119" w:name="_Toc18526"/>
      <w:bookmarkStart w:id="120" w:name="_Toc21988"/>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10162"/>
      <w:bookmarkStart w:id="123" w:name="_Toc92377136"/>
      <w:bookmarkStart w:id="124" w:name="_Toc83391971"/>
      <w:bookmarkStart w:id="125" w:name="_Toc610"/>
      <w:bookmarkStart w:id="126" w:name="_Toc23261"/>
      <w:bookmarkStart w:id="127" w:name="_Toc23822"/>
      <w:bookmarkStart w:id="128" w:name="_Toc141703886"/>
      <w:bookmarkStart w:id="129" w:name="_Toc10463"/>
      <w:bookmarkStart w:id="130" w:name="_Toc1427"/>
      <w:bookmarkStart w:id="131" w:name="_Toc123051452"/>
      <w:bookmarkStart w:id="132" w:name="_Toc74065743"/>
      <w:bookmarkStart w:id="133" w:name="_Toc79392606"/>
      <w:bookmarkStart w:id="134" w:name="_Toc123102453"/>
      <w:bookmarkStart w:id="135" w:name="_Toc20733"/>
      <w:bookmarkStart w:id="136" w:name="_Toc79154670"/>
      <w:bookmarkStart w:id="137" w:name="_Toc48649707"/>
      <w:bookmarkStart w:id="138" w:name="_Toc139991736"/>
      <w:bookmarkStart w:id="139" w:name="_Toc4003"/>
      <w:bookmarkStart w:id="140" w:name="_Toc7920"/>
      <w:bookmarkStart w:id="141" w:name="_Toc17244"/>
      <w:bookmarkStart w:id="142" w:name="_Toc98560352"/>
      <w:bookmarkStart w:id="143" w:name="_Toc123112234"/>
      <w:bookmarkStart w:id="144" w:name="_Toc1270"/>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43"/>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123051453"/>
      <w:bookmarkStart w:id="147" w:name="_Toc3601"/>
      <w:bookmarkStart w:id="148" w:name="_Toc74065744"/>
      <w:bookmarkStart w:id="149" w:name="_Toc141703887"/>
      <w:bookmarkStart w:id="150" w:name="_Toc123102454"/>
      <w:bookmarkStart w:id="151" w:name="_Toc3138"/>
      <w:bookmarkStart w:id="152" w:name="_Toc31644"/>
      <w:bookmarkStart w:id="153" w:name="_Toc139991737"/>
      <w:bookmarkStart w:id="154" w:name="_Toc31235"/>
      <w:bookmarkStart w:id="155" w:name="_Toc29251"/>
      <w:bookmarkStart w:id="156" w:name="_Toc12245"/>
      <w:bookmarkStart w:id="157" w:name="_Toc15143"/>
      <w:bookmarkStart w:id="158" w:name="_Toc6405"/>
      <w:bookmarkStart w:id="159" w:name="_Toc26207"/>
      <w:bookmarkStart w:id="160" w:name="_Toc31653"/>
      <w:bookmarkStart w:id="161" w:name="_Toc79154671"/>
      <w:bookmarkStart w:id="162" w:name="_Toc14835"/>
      <w:bookmarkStart w:id="163" w:name="_Toc98560353"/>
      <w:bookmarkStart w:id="164" w:name="_Toc92377137"/>
      <w:bookmarkStart w:id="165" w:name="_Toc1231122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57530239"/>
      <w:bookmarkStart w:id="168" w:name="_Toc523711668"/>
      <w:bookmarkStart w:id="169" w:name="_Toc79392580"/>
      <w:bookmarkStart w:id="170" w:name="_Toc15118234"/>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97298"/>
      <w:bookmarkEnd w:id="171"/>
      <w:bookmarkStart w:id="172" w:name="_Hlt88825574"/>
      <w:bookmarkEnd w:id="172"/>
      <w:bookmarkStart w:id="173" w:name="_Toc6447"/>
      <w:bookmarkStart w:id="174" w:name="_Toc11030"/>
      <w:bookmarkStart w:id="175" w:name="_Toc25783"/>
      <w:bookmarkStart w:id="176" w:name="_Toc79392583"/>
      <w:bookmarkStart w:id="177" w:name="_Toc92377138"/>
      <w:bookmarkStart w:id="178" w:name="_Toc123102455"/>
      <w:bookmarkStart w:id="179" w:name="_Toc10650"/>
      <w:bookmarkStart w:id="180" w:name="_Toc79154672"/>
      <w:bookmarkStart w:id="181" w:name="_Toc18567"/>
      <w:bookmarkStart w:id="182" w:name="_Toc123051454"/>
      <w:bookmarkStart w:id="183" w:name="_Toc141703888"/>
      <w:bookmarkStart w:id="184" w:name="_Toc98560354"/>
      <w:bookmarkStart w:id="185" w:name="_Toc123112236"/>
      <w:bookmarkStart w:id="186" w:name="_Toc7058"/>
      <w:bookmarkStart w:id="187" w:name="_Toc17110"/>
      <w:bookmarkStart w:id="188" w:name="_Toc139991738"/>
      <w:bookmarkStart w:id="189" w:name="_Toc9706"/>
      <w:bookmarkStart w:id="190" w:name="_Toc4559"/>
      <w:bookmarkStart w:id="191" w:name="_Toc74065745"/>
      <w:bookmarkStart w:id="192" w:name="_Toc3321"/>
      <w:bookmarkStart w:id="193" w:name="_Toc3771"/>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超额业绩报酬的具体比例数值以《产品说明书》“第二条 理财产品基本情况”为准。</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1）收取超额业绩报酬的原则：</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①按投资者每份产品份额分别计算年化收益率并计提超额业绩报酬；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③在每个赎回日提取超额业绩报酬的，超额业绩报酬从理财资金中扣除；在产品终止日提取超额业绩报酬的，超额业绩报酬从清算资金中扣除。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2）超额业绩报酬计提方法</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①超额业绩报酬计提日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每份产品份额超额业绩报酬计提日为每个赎回日或产品终止日。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②超额业绩报酬的计算</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产品管理人对每份产品份额年化收益率（R）超过当期业绩报酬计提基准的部分，按比例（N）以及该份产品份额当期投资周期天数（D）提取超额业绩报酬，计算方法如下：</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当R≤当期业绩报酬计提基准，超额业绩报酬=0；</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当R＞当期业绩报酬计提基准，超额业绩报酬=投资者持有的产品份额数量×产品成立日或当期投资周期产品份额申购日的产品份额净值×（R-当期业绩报酬计提基准）×N×D/365；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若该投资周期期间，超额业绩报酬计提规则有所调整，以该投资周期期间的每个计提规则分别计算整个份额投资周期期间应收取的超额业绩报酬数值，以较小的数值来收取超额业绩报酬。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1745"/>
      <w:bookmarkStart w:id="195" w:name="_Toc3963"/>
      <w:r>
        <w:br w:type="page"/>
      </w:r>
      <w:bookmarkStart w:id="196" w:name="_Toc21735"/>
      <w:bookmarkStart w:id="197" w:name="_Toc141703889"/>
      <w:bookmarkStart w:id="198" w:name="_Toc92377139"/>
      <w:bookmarkStart w:id="199" w:name="_Toc3080"/>
      <w:bookmarkStart w:id="200" w:name="_Toc123051455"/>
      <w:bookmarkStart w:id="201" w:name="_Toc10398"/>
      <w:bookmarkStart w:id="202" w:name="_Toc98560355"/>
      <w:bookmarkStart w:id="203" w:name="_Toc4606"/>
      <w:bookmarkStart w:id="204" w:name="_Toc16164"/>
      <w:bookmarkStart w:id="205" w:name="_Toc31821"/>
      <w:bookmarkStart w:id="206" w:name="_Toc79154673"/>
      <w:bookmarkStart w:id="207" w:name="_Toc139991739"/>
      <w:bookmarkStart w:id="208" w:name="_Toc123102456"/>
      <w:bookmarkStart w:id="209" w:name="_Toc123112237"/>
      <w:bookmarkStart w:id="210" w:name="_Toc18206"/>
      <w:bookmarkStart w:id="211" w:name="_Toc3572"/>
      <w:bookmarkStart w:id="212" w:name="_Toc725"/>
      <w:bookmarkStart w:id="213" w:name="_Toc74065746"/>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57530252"/>
      <w:bookmarkStart w:id="215" w:name="_Toc15118245"/>
      <w:bookmarkStart w:id="216"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92377140"/>
      <w:bookmarkStart w:id="218" w:name="_Toc11469"/>
      <w:bookmarkStart w:id="219" w:name="_Toc29408"/>
      <w:bookmarkStart w:id="220" w:name="_Toc141703890"/>
      <w:bookmarkStart w:id="221" w:name="_Toc32584"/>
      <w:bookmarkStart w:id="222" w:name="_Toc123102457"/>
      <w:bookmarkStart w:id="223" w:name="_Toc123112238"/>
      <w:bookmarkStart w:id="224" w:name="_Toc123051456"/>
      <w:bookmarkStart w:id="225" w:name="_Toc83391975"/>
      <w:bookmarkStart w:id="226" w:name="_Toc48649708"/>
      <w:bookmarkStart w:id="227" w:name="_Toc98560356"/>
      <w:bookmarkStart w:id="228" w:name="_Toc32092"/>
      <w:bookmarkStart w:id="229" w:name="_Toc139991740"/>
      <w:bookmarkStart w:id="230" w:name="_Toc8791"/>
      <w:bookmarkStart w:id="231" w:name="_Toc3329"/>
      <w:bookmarkStart w:id="232" w:name="_Toc79392622"/>
      <w:bookmarkStart w:id="233" w:name="_Toc5170"/>
      <w:bookmarkStart w:id="234" w:name="_Toc739"/>
      <w:bookmarkStart w:id="235" w:name="_Toc79154674"/>
      <w:bookmarkStart w:id="236" w:name="_Toc74065747"/>
      <w:bookmarkStart w:id="237" w:name="_Toc17198"/>
      <w:bookmarkStart w:id="238" w:name="_Toc17920"/>
      <w:bookmarkStart w:id="239" w:name="_Toc2123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79154675"/>
      <w:bookmarkStart w:id="241" w:name="_Toc92377141"/>
      <w:bookmarkStart w:id="242" w:name="_Toc24766"/>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（1）投资固定收益类资产的风险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黑体" w:hAnsi="黑体" w:eastAsia="黑体"/>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r>
        <w:rPr>
          <w:rFonts w:hint="eastAsia" w:ascii="黑体" w:hAnsi="黑体" w:eastAsia="黑体"/>
          <w:sz w:val="18"/>
          <w:szCs w:val="18"/>
        </w:rPr>
        <w:t xml:space="preserve"> </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兴业银行天天万利宝稳利9号C款净值型理财产品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cs="仿宋_GB2312"/>
          <w:kern w:val="0"/>
          <w:sz w:val="18"/>
          <w:szCs w:val="18"/>
        </w:rPr>
        <w:t>【稳利恒盈9号</w:t>
      </w:r>
      <w:r>
        <w:rPr>
          <w:rFonts w:hint="eastAsia" w:ascii="宋体" w:hAnsi="宋体"/>
          <w:bCs/>
          <w:sz w:val="18"/>
          <w:szCs w:val="18"/>
        </w:rPr>
        <w:t>C</w:t>
      </w:r>
      <w:r>
        <w:rPr>
          <w:rFonts w:hint="eastAsia" w:ascii="宋体" w:hAnsi="宋体" w:cs="仿宋_GB2312"/>
          <w:kern w:val="0"/>
          <w:sz w:val="18"/>
          <w:szCs w:val="18"/>
        </w:rPr>
        <w:t>款 9个月A】（适用A类份额）</w:t>
      </w:r>
    </w:p>
    <w:p>
      <w:pPr>
        <w:ind w:firstLine="1348" w:firstLineChars="749"/>
        <w:rPr>
          <w:rFonts w:ascii="宋体" w:hAnsi="宋体" w:cs="仿宋_GB2312"/>
          <w:kern w:val="0"/>
          <w:sz w:val="18"/>
          <w:szCs w:val="18"/>
        </w:rPr>
      </w:pPr>
      <w:r>
        <w:rPr>
          <w:rFonts w:hint="eastAsia" w:ascii="宋体" w:hAnsi="宋体" w:cs="仿宋_GB2312"/>
          <w:kern w:val="0"/>
          <w:sz w:val="18"/>
          <w:szCs w:val="18"/>
        </w:rPr>
        <w:t>【稳利恒盈9号</w:t>
      </w:r>
      <w:r>
        <w:rPr>
          <w:rFonts w:hint="eastAsia" w:ascii="宋体" w:hAnsi="宋体"/>
          <w:bCs/>
          <w:sz w:val="18"/>
          <w:szCs w:val="18"/>
        </w:rPr>
        <w:t>C</w:t>
      </w:r>
      <w:r>
        <w:rPr>
          <w:rFonts w:hint="eastAsia" w:ascii="宋体" w:hAnsi="宋体" w:cs="仿宋_GB2312"/>
          <w:kern w:val="0"/>
          <w:sz w:val="18"/>
          <w:szCs w:val="18"/>
        </w:rPr>
        <w:t>款 9个月B】（适用B类份额）</w:t>
      </w:r>
    </w:p>
    <w:p>
      <w:pPr>
        <w:ind w:firstLine="1348" w:firstLineChars="749"/>
        <w:rPr>
          <w:rFonts w:ascii="宋体" w:hAnsi="宋体" w:cs="仿宋_GB2312"/>
          <w:kern w:val="0"/>
          <w:sz w:val="18"/>
          <w:szCs w:val="18"/>
        </w:rPr>
      </w:pPr>
      <w:r>
        <w:rPr>
          <w:rFonts w:hint="eastAsia" w:ascii="宋体" w:hAnsi="宋体" w:cs="仿宋_GB2312"/>
          <w:kern w:val="0"/>
          <w:sz w:val="18"/>
          <w:szCs w:val="18"/>
        </w:rPr>
        <w:t>【稳利恒盈9号</w:t>
      </w:r>
      <w:r>
        <w:rPr>
          <w:rFonts w:hint="eastAsia" w:ascii="宋体" w:hAnsi="宋体"/>
          <w:bCs/>
          <w:sz w:val="18"/>
          <w:szCs w:val="18"/>
        </w:rPr>
        <w:t>C</w:t>
      </w:r>
      <w:r>
        <w:rPr>
          <w:rFonts w:hint="eastAsia" w:ascii="宋体" w:hAnsi="宋体" w:cs="仿宋_GB2312"/>
          <w:kern w:val="0"/>
          <w:sz w:val="18"/>
          <w:szCs w:val="18"/>
        </w:rPr>
        <w:t>款 9个月C】（适用C类份额）。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Z7002021000242</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58"/>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58"/>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58"/>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58"/>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58"/>
        <w:ind w:firstLineChars="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58"/>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58"/>
        <w:ind w:firstLineChars="0"/>
        <w:rPr>
          <w:rFonts w:ascii="宋体" w:hAnsi="宋体"/>
          <w:sz w:val="18"/>
          <w:szCs w:val="18"/>
        </w:rPr>
      </w:pPr>
      <w:r>
        <w:rPr>
          <w:rFonts w:hint="eastAsia" w:ascii="宋体" w:hAnsi="宋体"/>
          <w:sz w:val="18"/>
          <w:szCs w:val="18"/>
        </w:rPr>
        <w:t>1）投资股票类资产的风险</w:t>
      </w:r>
    </w:p>
    <w:p>
      <w:pPr>
        <w:pStyle w:val="58"/>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58"/>
        <w:ind w:firstLineChars="0"/>
        <w:rPr>
          <w:rFonts w:ascii="宋体" w:hAnsi="宋体"/>
          <w:sz w:val="18"/>
          <w:szCs w:val="18"/>
        </w:rPr>
      </w:pPr>
      <w:r>
        <w:rPr>
          <w:rFonts w:hint="eastAsia" w:ascii="宋体" w:hAnsi="宋体"/>
          <w:sz w:val="18"/>
          <w:szCs w:val="18"/>
        </w:rPr>
        <w:t>2）投资股权类资产的风险</w:t>
      </w:r>
    </w:p>
    <w:p>
      <w:pPr>
        <w:rPr>
          <w:rFonts w:ascii="宋体" w:hAnsi="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58"/>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58"/>
        <w:ind w:firstLineChars="0"/>
        <w:rPr>
          <w:rFonts w:ascii="宋体" w:hAnsi="宋体"/>
          <w:sz w:val="18"/>
          <w:szCs w:val="18"/>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hint="eastAsia"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【C6】</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3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325"/>
        <w:gridCol w:w="5311"/>
        <w:gridCol w:w="17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风险评级</w:t>
            </w:r>
          </w:p>
        </w:tc>
        <w:tc>
          <w:tcPr>
            <w:tcW w:w="5311"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评级说明</w:t>
            </w:r>
          </w:p>
        </w:tc>
        <w:tc>
          <w:tcPr>
            <w:tcW w:w="1713"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投资者对象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安逸型（R1）</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本金风险低，产品投资目标不能实现的概率较低；或投资范围仅限于货币市场工具等风险极低的短期金融资产。</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谨慎型（R2）</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本金风险相对较小，收益浮动但相对较小。产品结构简单，过往业绩及净值的历史波动率低；投资标的流动性很好或为较高等级的信用主体；或者衍生品及杠杆交易对净值波动极小；估值政策清晰。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稳健型（R3）</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增长型（R4）</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进取型（R5）</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激进型（R6）</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 xml:space="preserve">激进型（C6） </w:t>
            </w:r>
          </w:p>
        </w:tc>
      </w:tr>
    </w:tbl>
    <w:p>
      <w:pPr>
        <w:rPr>
          <w:rFonts w:hint="eastAsia" w:ascii="宋体" w:hAnsi="宋体"/>
          <w:sz w:val="18"/>
          <w:szCs w:val="18"/>
        </w:rPr>
      </w:pPr>
    </w:p>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投资者风险承受能力，机构投资者由低至高分为【C1至C5五个等级】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【C5】</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R1</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R2</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R3</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R4</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R5</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bookmarkEnd w:id="243"/>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12</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2088"/>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96A1D"/>
    <w:rsid w:val="001A0DEE"/>
    <w:rsid w:val="001A331C"/>
    <w:rsid w:val="001A3B4F"/>
    <w:rsid w:val="001B3D1B"/>
    <w:rsid w:val="001C2E83"/>
    <w:rsid w:val="001C5549"/>
    <w:rsid w:val="001C5FB8"/>
    <w:rsid w:val="001C627B"/>
    <w:rsid w:val="001C680A"/>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C4BF6"/>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33F02"/>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769CF"/>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3D32"/>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1AD6"/>
    <w:rsid w:val="008526AD"/>
    <w:rsid w:val="00852A74"/>
    <w:rsid w:val="00853C9B"/>
    <w:rsid w:val="0085467A"/>
    <w:rsid w:val="00855E29"/>
    <w:rsid w:val="00856912"/>
    <w:rsid w:val="00862721"/>
    <w:rsid w:val="00863B57"/>
    <w:rsid w:val="00870710"/>
    <w:rsid w:val="00871266"/>
    <w:rsid w:val="00871450"/>
    <w:rsid w:val="008739A5"/>
    <w:rsid w:val="008840F3"/>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042C"/>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6AD3"/>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51FE"/>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45C5E"/>
    <w:rsid w:val="00B52FAD"/>
    <w:rsid w:val="00B5351E"/>
    <w:rsid w:val="00B56276"/>
    <w:rsid w:val="00B606E5"/>
    <w:rsid w:val="00B606E6"/>
    <w:rsid w:val="00B61A35"/>
    <w:rsid w:val="00B65218"/>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470F"/>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DE20B45"/>
    <w:rsid w:val="0EC469F2"/>
    <w:rsid w:val="149E474A"/>
    <w:rsid w:val="1D3F5E65"/>
    <w:rsid w:val="22096B58"/>
    <w:rsid w:val="2DD01BC7"/>
    <w:rsid w:val="314F5290"/>
    <w:rsid w:val="35C863A1"/>
    <w:rsid w:val="373B4A20"/>
    <w:rsid w:val="45F574B3"/>
    <w:rsid w:val="4F9B33E8"/>
    <w:rsid w:val="526821FA"/>
    <w:rsid w:val="5F2557D3"/>
    <w:rsid w:val="648448DA"/>
    <w:rsid w:val="6AAF1C3F"/>
    <w:rsid w:val="6E58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修订3"/>
    <w:hidden/>
    <w:semiHidden/>
    <w:qFormat/>
    <w:uiPriority w:val="99"/>
    <w:rPr>
      <w:rFonts w:ascii="Times New Roman" w:hAnsi="Times New Roman" w:eastAsia="宋体" w:cs="Times New Roman"/>
      <w:kern w:val="2"/>
      <w:sz w:val="21"/>
      <w:lang w:val="en-US" w:eastAsia="zh-CN" w:bidi="ar-SA"/>
    </w:rPr>
  </w:style>
  <w:style w:type="paragraph" w:customStyle="1" w:styleId="7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A052F-8A75-4D77-85C0-55A2AFC3EA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1525</Words>
  <Characters>8698</Characters>
  <Lines>72</Lines>
  <Paragraphs>20</Paragraphs>
  <TotalTime>1</TotalTime>
  <ScaleCrop>false</ScaleCrop>
  <LinksUpToDate>false</LinksUpToDate>
  <CharactersWithSpaces>10203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admin</cp:lastModifiedBy>
  <cp:lastPrinted>2017-10-31T06:33:00Z</cp:lastPrinted>
  <dcterms:modified xsi:type="dcterms:W3CDTF">2022-08-15T09:49:24Z</dcterms:modified>
  <dc:title>___证券投资基金招募说明书1</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C166FDD168F74BAFB715BD6389AD620E</vt:lpwstr>
  </property>
</Properties>
</file>