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bookmarkStart w:id="243" w:name="_GoBack"/>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b/>
          <w:szCs w:val="21"/>
        </w:rPr>
      </w:pPr>
      <w:r>
        <w:rPr>
          <w:rFonts w:hint="eastAsia" w:ascii="黑体" w:hAnsi="黑体" w:eastAsia="黑体"/>
          <w:b/>
          <w:sz w:val="44"/>
          <w:szCs w:val="44"/>
        </w:rPr>
        <w:t>兴银理财【天天万利宝稳利恒盈】净值型理财产品销售文件</w:t>
      </w:r>
    </w:p>
    <w:tbl>
      <w:tblPr>
        <w:tblStyle w:val="25"/>
        <w:tblW w:w="89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0"/>
        <w:gridCol w:w="6008"/>
        <w:gridCol w:w="1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6008"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2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兴银理财【天天万利宝稳利恒盈】净值型理财产品投资协议书</w:t>
            </w:r>
            <w:r>
              <w:rPr>
                <w:rFonts w:ascii="宋体" w:hAnsi="宋体"/>
                <w:kern w:val="0"/>
                <w:sz w:val="20"/>
                <w:szCs w:val="21"/>
              </w:rPr>
              <w:t xml:space="preserve"> </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兴银理财【天天万利宝稳利恒盈】净值型理财产品产品说明书</w:t>
            </w:r>
          </w:p>
        </w:tc>
        <w:tc>
          <w:tcPr>
            <w:tcW w:w="192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兴银理财【天天万利宝稳利恒盈】净值型理财产品（代理）销售协议书</w:t>
            </w:r>
          </w:p>
        </w:tc>
        <w:tc>
          <w:tcPr>
            <w:tcW w:w="192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兴银理财【天天万利宝稳利恒盈】净值型理财产品风险揭示书</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兴银理财【天天万利宝稳利恒盈】净值型理财产品投资者权益须知</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兴银理财【天天万利宝稳利恒盈】净值型理财产品投资协议书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112224"/>
      <w:bookmarkStart w:id="2" w:name="_Toc123701383"/>
      <w:bookmarkStart w:id="3" w:name="_Toc123112263"/>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39992302"/>
      <w:bookmarkStart w:id="7" w:name="_Toc123701384"/>
      <w:bookmarkStart w:id="8" w:name="_Toc123112225"/>
      <w:bookmarkStart w:id="9" w:name="_Toc12311226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【2022】年【</w:t>
      </w:r>
      <w:r>
        <w:rPr>
          <w:rStyle w:val="27"/>
          <w:rFonts w:ascii="宋体" w:hAnsi="宋体"/>
          <w:sz w:val="28"/>
          <w:szCs w:val="28"/>
        </w:rPr>
        <w:t>8</w:t>
      </w:r>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1"/>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112227"/>
      <w:bookmarkStart w:id="12" w:name="_Toc123701386"/>
      <w:bookmarkStart w:id="13"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兴银理财天天万利宝稳利恒盈7号封闭式净值型理财产品第</w:t>
            </w:r>
            <w:r>
              <w:rPr>
                <w:rFonts w:ascii="宋体" w:hAnsi="宋体"/>
                <w:bCs/>
                <w:sz w:val="18"/>
                <w:szCs w:val="18"/>
              </w:rPr>
              <w:t>26</w:t>
            </w:r>
            <w:r>
              <w:rPr>
                <w:rFonts w:hint="eastAsia" w:ascii="宋体" w:hAnsi="宋体"/>
                <w:bCs/>
                <w:sz w:val="18"/>
                <w:szCs w:val="18"/>
              </w:rPr>
              <w:t>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【稳利恒盈7号26期 2年乡村振兴A】（适用【A】类份额）</w:t>
            </w:r>
          </w:p>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【稳利恒盈7号26期 2年乡村振兴B】（适用【B】类份额）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Z7002022000020</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【9N213260】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【9N21326A】（适用【A】类份额）</w:t>
            </w:r>
          </w:p>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【9N21326B】（适用【B】类份额）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6897"/>
      <w:bookmarkStart w:id="15" w:name="_Toc123112268"/>
      <w:bookmarkStart w:id="16" w:name="_Toc4867"/>
      <w:bookmarkStart w:id="17" w:name="_Toc139991730"/>
      <w:bookmarkStart w:id="18" w:name="_Toc123701389"/>
      <w:bookmarkStart w:id="19" w:name="_Toc123112229"/>
      <w:bookmarkStart w:id="20" w:name="_Toc6306"/>
      <w:bookmarkStart w:id="21" w:name="_Toc30935"/>
      <w:bookmarkStart w:id="22" w:name="_Toc29629"/>
      <w:bookmarkStart w:id="23" w:name="_Toc141703880"/>
      <w:bookmarkStart w:id="24" w:name="_Toc32639"/>
      <w:bookmarkStart w:id="25" w:name="_Toc4966"/>
      <w:bookmarkStart w:id="26" w:name="_Toc23386"/>
      <w:bookmarkStart w:id="27" w:name="_Toc8727"/>
      <w:bookmarkStart w:id="28" w:name="_Toc15517"/>
      <w:bookmarkStart w:id="29" w:name="_Toc88482730"/>
      <w:bookmarkStart w:id="30" w:name="_Toc95897036"/>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21301"/>
      <w:bookmarkStart w:id="34" w:name="_Toc258829399"/>
      <w:bookmarkStart w:id="35" w:name="_Toc24860"/>
      <w:bookmarkStart w:id="36" w:name="_Toc22864"/>
      <w:bookmarkStart w:id="37" w:name="_Toc13020"/>
      <w:bookmarkStart w:id="38" w:name="_Toc15067"/>
      <w:bookmarkStart w:id="39" w:name="_Toc2465"/>
      <w:bookmarkStart w:id="40" w:name="_Toc19592"/>
      <w:bookmarkStart w:id="41" w:name="_Toc3224"/>
      <w:bookmarkStart w:id="42" w:name="_Toc6617"/>
      <w:bookmarkStart w:id="43" w:name="_Toc819"/>
      <w:r>
        <w:rPr>
          <w:rFonts w:hint="eastAsia" w:ascii="Times New Roman"/>
          <w:color w:val="auto"/>
          <w:sz w:val="30"/>
        </w:rPr>
        <w:t>前言</w:t>
      </w:r>
      <w:bookmarkEnd w:id="29"/>
      <w:bookmarkEnd w:id="30"/>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95897037"/>
      <w:bookmarkStart w:id="46" w:name="_Toc88482731"/>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95897038"/>
      <w:bookmarkStart w:id="49" w:name="_Toc88482732"/>
      <w:bookmarkStart w:id="50" w:name="_Toc74065740"/>
      <w:bookmarkStart w:id="51" w:name="_Toc18631"/>
      <w:bookmarkStart w:id="52" w:name="_Toc24571"/>
      <w:bookmarkStart w:id="53" w:name="_Toc22708"/>
      <w:bookmarkStart w:id="54" w:name="_Toc13288"/>
      <w:bookmarkStart w:id="55" w:name="_Toc6149"/>
      <w:bookmarkStart w:id="56" w:name="_Toc6683"/>
      <w:bookmarkStart w:id="57" w:name="_Toc20627"/>
      <w:bookmarkStart w:id="58" w:name="_Toc733"/>
      <w:bookmarkStart w:id="59" w:name="_Toc545"/>
      <w:bookmarkStart w:id="60" w:name="_Toc20318"/>
      <w:bookmarkStart w:id="61" w:name="_Toc258829400"/>
      <w:bookmarkStart w:id="62" w:name="_Toc233456272"/>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88482733"/>
      <w:bookmarkStart w:id="64" w:name="_Toc95897039"/>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88482734"/>
      <w:bookmarkStart w:id="66" w:name="_Toc95897040"/>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7" w:name="_Toc88482735"/>
      <w:bookmarkStart w:id="68" w:name="_Toc95897041"/>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77953869"/>
      <w:bookmarkStart w:id="70" w:name="_Toc88482736"/>
      <w:bookmarkStart w:id="71" w:name="_Toc9589704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92"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8255" b="13335"/>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兴银理财【天天万利宝稳利恒盈】净值型理财产品产品说明书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【2022】年【</w:t>
      </w:r>
      <w:r>
        <w:rPr>
          <w:rStyle w:val="27"/>
          <w:rFonts w:ascii="宋体" w:hAnsi="宋体" w:cs="Times New Roman"/>
          <w:sz w:val="32"/>
          <w:szCs w:val="32"/>
        </w:rPr>
        <w:t>8</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43"/>
        <w:spacing w:line="360" w:lineRule="auto"/>
        <w:rPr>
          <w:rFonts w:hAnsi="宋体"/>
          <w:sz w:val="28"/>
          <w:szCs w:val="28"/>
        </w:rPr>
        <w:sectPr>
          <w:footerReference r:id="rId9" w:type="first"/>
          <w:headerReference r:id="rId7" w:type="default"/>
          <w:footerReference r:id="rId8"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70"/>
            <w:spacing w:line="360" w:lineRule="auto"/>
            <w:jc w:val="center"/>
          </w:pPr>
          <w:bookmarkStart w:id="73" w:name="_Toc78276587"/>
          <w:r>
            <w:rPr>
              <w:lang w:val="zh-CN"/>
            </w:rPr>
            <w:t>目录</w:t>
          </w:r>
        </w:p>
        <w:p>
          <w:pPr>
            <w:pStyle w:val="16"/>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"_Toc1176"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end"/>
          </w:r>
        </w:p>
        <w:p>
          <w:pPr>
            <w:pStyle w:val="16"/>
            <w:tabs>
              <w:tab w:val="right" w:leader="dot" w:pos="8306"/>
              <w:tab w:val="clear" w:pos="8296"/>
            </w:tabs>
          </w:pPr>
          <w:r>
            <w:fldChar w:fldCharType="begin"/>
          </w:r>
          <w:r>
            <w:instrText xml:space="preserve"> HYPERLINK \l "_Toc19665" </w:instrText>
          </w:r>
          <w:r>
            <w:fldChar w:fldCharType="separate"/>
          </w:r>
          <w:r>
            <w:rPr>
              <w:rFonts w:hint="eastAsia" w:hAnsi="宋体"/>
              <w:szCs w:val="28"/>
            </w:rPr>
            <w:t>第二条  理财产品基本情况</w:t>
          </w:r>
          <w:r>
            <w:tab/>
          </w:r>
          <w:r>
            <w:fldChar w:fldCharType="end"/>
          </w:r>
        </w:p>
        <w:p>
          <w:pPr>
            <w:pStyle w:val="16"/>
            <w:tabs>
              <w:tab w:val="right" w:leader="dot" w:pos="8306"/>
              <w:tab w:val="clear" w:pos="8296"/>
            </w:tabs>
          </w:pPr>
          <w:r>
            <w:fldChar w:fldCharType="begin"/>
          </w:r>
          <w:r>
            <w:instrText xml:space="preserve"> HYPERLINK \l "_Toc28277"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end"/>
          </w:r>
        </w:p>
        <w:p>
          <w:pPr>
            <w:pStyle w:val="16"/>
            <w:tabs>
              <w:tab w:val="right" w:leader="dot" w:pos="8306"/>
              <w:tab w:val="clear" w:pos="8296"/>
            </w:tabs>
          </w:pPr>
          <w:r>
            <w:fldChar w:fldCharType="begin"/>
          </w:r>
          <w:r>
            <w:instrText xml:space="preserve"> HYPERLINK \l "_Toc11790"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end"/>
          </w:r>
        </w:p>
        <w:p>
          <w:pPr>
            <w:pStyle w:val="16"/>
            <w:tabs>
              <w:tab w:val="right" w:leader="dot" w:pos="8306"/>
              <w:tab w:val="clear" w:pos="8296"/>
            </w:tabs>
          </w:pPr>
          <w:r>
            <w:fldChar w:fldCharType="begin"/>
          </w:r>
          <w:r>
            <w:instrText xml:space="preserve"> HYPERLINK \l "_Toc1890"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end"/>
          </w:r>
        </w:p>
        <w:p>
          <w:pPr>
            <w:pStyle w:val="16"/>
            <w:tabs>
              <w:tab w:val="right" w:leader="dot" w:pos="8306"/>
              <w:tab w:val="clear" w:pos="8296"/>
            </w:tabs>
          </w:pPr>
          <w:r>
            <w:fldChar w:fldCharType="begin"/>
          </w:r>
          <w:r>
            <w:instrText xml:space="preserve"> HYPERLINK \l "_Toc25082"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end"/>
          </w:r>
        </w:p>
        <w:p>
          <w:pPr>
            <w:pStyle w:val="16"/>
            <w:tabs>
              <w:tab w:val="right" w:leader="dot" w:pos="8306"/>
              <w:tab w:val="clear" w:pos="8296"/>
            </w:tabs>
          </w:pPr>
          <w:r>
            <w:fldChar w:fldCharType="begin"/>
          </w:r>
          <w:r>
            <w:instrText xml:space="preserve"> HYPERLINK \l "_Toc20904"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end"/>
          </w:r>
        </w:p>
        <w:p>
          <w:pPr>
            <w:pStyle w:val="16"/>
            <w:tabs>
              <w:tab w:val="right" w:leader="dot" w:pos="8306"/>
              <w:tab w:val="clear" w:pos="8296"/>
            </w:tabs>
          </w:pPr>
          <w:r>
            <w:fldChar w:fldCharType="begin"/>
          </w:r>
          <w:r>
            <w:instrText xml:space="preserve"> HYPERLINK \l "_Toc10922"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end"/>
          </w:r>
        </w:p>
        <w:p>
          <w:pPr>
            <w:pStyle w:val="16"/>
            <w:tabs>
              <w:tab w:val="right" w:leader="dot" w:pos="8306"/>
              <w:tab w:val="clear" w:pos="8296"/>
            </w:tabs>
          </w:pPr>
          <w:r>
            <w:fldChar w:fldCharType="begin"/>
          </w:r>
          <w:r>
            <w:instrText xml:space="preserve"> HYPERLINK \l "_Toc29746"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end"/>
          </w:r>
        </w:p>
        <w:p>
          <w:pPr>
            <w:pStyle w:val="16"/>
            <w:tabs>
              <w:tab w:val="right" w:leader="dot" w:pos="8306"/>
              <w:tab w:val="clear" w:pos="8296"/>
            </w:tabs>
          </w:pPr>
          <w:r>
            <w:fldChar w:fldCharType="begin"/>
          </w:r>
          <w:r>
            <w:instrText xml:space="preserve"> HYPERLINK \l "_Toc29665" </w:instrText>
          </w:r>
          <w:r>
            <w:fldChar w:fldCharType="separate"/>
          </w:r>
          <w:r>
            <w:rPr>
              <w:rFonts w:hint="eastAsia"/>
            </w:rPr>
            <w:t>第十条</w:t>
          </w:r>
          <w:r>
            <w:t xml:space="preserve">  </w:t>
          </w:r>
          <w:r>
            <w:rPr>
              <w:rFonts w:hint="eastAsia"/>
            </w:rPr>
            <w:t>理财产品的终止与清算</w:t>
          </w:r>
          <w:r>
            <w:tab/>
          </w:r>
          <w:r>
            <w:fldChar w:fldCharType="end"/>
          </w:r>
        </w:p>
        <w:p>
          <w:pPr>
            <w:pStyle w:val="16"/>
            <w:tabs>
              <w:tab w:val="right" w:leader="dot" w:pos="8306"/>
              <w:tab w:val="clear" w:pos="8296"/>
            </w:tabs>
          </w:pPr>
          <w:r>
            <w:fldChar w:fldCharType="begin"/>
          </w:r>
          <w:r>
            <w:instrText xml:space="preserve"> HYPERLINK \l "_Toc4655"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end"/>
          </w:r>
        </w:p>
        <w:p>
          <w:pPr>
            <w:pStyle w:val="16"/>
            <w:tabs>
              <w:tab w:val="right" w:leader="dot" w:pos="8306"/>
              <w:tab w:val="clear" w:pos="8296"/>
            </w:tabs>
          </w:pPr>
          <w:r>
            <w:fldChar w:fldCharType="begin"/>
          </w:r>
          <w:r>
            <w:instrText xml:space="preserve"> HYPERLINK \l "_Toc2209"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footerReference r:id="rId10"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74" w:name="_Toc92377130"/>
      <w:bookmarkStart w:id="75" w:name="_Toc1176"/>
      <w:r>
        <w:rPr>
          <w:rFonts w:ascii="Times New Roman"/>
          <w:sz w:val="30"/>
        </w:rPr>
        <w:t>第</w:t>
      </w:r>
      <w:r>
        <w:rPr>
          <w:rFonts w:hint="eastAsia" w:ascii="Times New Roman"/>
          <w:sz w:val="30"/>
        </w:rPr>
        <w:t xml:space="preserve">一条 </w:t>
      </w:r>
      <w:r>
        <w:rPr>
          <w:rFonts w:ascii="Times New Roman"/>
          <w:sz w:val="30"/>
        </w:rPr>
        <w:t xml:space="preserve"> 释义</w:t>
      </w:r>
      <w:bookmarkEnd w:id="73"/>
      <w:bookmarkEnd w:id="74"/>
      <w:bookmarkEnd w:id="75"/>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43"/>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：指产品管理人向投资者提供的，用于描述产品特征，约定权利义务的文件。具体指《兴银理财【天天万利宝稳利恒盈】净值型理财产品销售文件》，包括《投资协议书》、《产品说明书》、《（代理）销售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《投资协议书》：指管理人统一编制的《兴银理财【天天万利宝稳利恒盈】净值型理财产品投资协议书》，以及对该文件的有效修改或补充。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）《产品说明书》：指管理人统一编制的《兴银理财【天天万利宝稳利恒盈】净值型理财产品产品说明书》，以及对该文件的有效修改或补充。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（4）《（代理）销售协议书》：指管理人统一编制的《兴银理财【天天万利宝稳利恒盈】净值型理财产品（代理）销售协议书》或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的《兴银理财【天天万利宝稳利恒盈】净值型理财产品（代理）销售协议书》（文件名称以代理销售机构实际编制为准），以及对该文件的有效修改或补充。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）《风险揭示书》：指管理人统一编制的《兴银理财【天天万利宝稳利恒盈】净值型理财产品风险揭示书》或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的《兴银理财【天天万利宝稳利恒盈】净值型理财产品风险揭示书》（文件名称以代理销售机构实际编制为准），以及对该文件的有效修改或补充。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）《投资者权益须知》：指管理人统一编制的《兴银理财【天天万利宝稳利恒盈】净值型理财产品投资者权益须知》或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《兴银理财【天天万利宝稳利恒盈】净值型理财产品投资者权益须知》（文件名称以代理销售机构实际编制为准），以及对该文件的有效修改或补充。</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43"/>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43"/>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）产品存续期：指自理财产品成立日起，至理财产品终止日的期间。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43"/>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43"/>
        <w:spacing w:line="360" w:lineRule="auto"/>
        <w:ind w:firstLine="360" w:firstLineChars="200"/>
        <w:rPr>
          <w:rFonts w:hAnsi="宋体"/>
          <w:sz w:val="18"/>
          <w:szCs w:val="18"/>
        </w:rPr>
      </w:pPr>
      <w:r>
        <w:rPr>
          <w:rFonts w:hint="eastAsia" w:hAnsi="宋体"/>
          <w:sz w:val="18"/>
          <w:szCs w:val="18"/>
        </w:rPr>
        <w:t>（</w:t>
      </w:r>
      <w:r>
        <w:rPr>
          <w:rFonts w:hAnsi="宋体"/>
          <w:sz w:val="18"/>
          <w:szCs w:val="18"/>
        </w:rPr>
        <w:t>2</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43"/>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43"/>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43"/>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w:t>
      </w:r>
      <w:r>
        <w:rPr>
          <w:rFonts w:hAnsi="宋体"/>
          <w:sz w:val="18"/>
          <w:szCs w:val="18"/>
        </w:rPr>
        <w:t>5</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76" w:name="_Toc79154665"/>
      <w:bookmarkStart w:id="77" w:name="_Toc92377131"/>
      <w:bookmarkStart w:id="78" w:name="_Toc19665"/>
      <w:r>
        <w:rPr>
          <w:rFonts w:hint="eastAsia" w:hAnsi="宋体"/>
          <w:sz w:val="28"/>
          <w:szCs w:val="28"/>
        </w:rPr>
        <w:t>第二条  理财产品基本情况</w:t>
      </w:r>
      <w:bookmarkEnd w:id="76"/>
      <w:bookmarkEnd w:id="77"/>
      <w:bookmarkEnd w:id="78"/>
      <w:r>
        <w:rPr>
          <w:rFonts w:hint="eastAsia" w:hAnsi="宋体"/>
          <w:sz w:val="28"/>
          <w:szCs w:val="28"/>
        </w:rPr>
        <w:t xml:space="preserve"> </w:t>
      </w:r>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兴银理财天天万利宝稳利恒盈7号封闭式净值型理财产品第</w:t>
            </w:r>
            <w:r>
              <w:rPr>
                <w:rFonts w:ascii="宋体" w:hAnsi="宋体"/>
                <w:bCs/>
                <w:sz w:val="18"/>
                <w:szCs w:val="18"/>
              </w:rPr>
              <w:t>26</w:t>
            </w:r>
            <w:r>
              <w:rPr>
                <w:rFonts w:hint="eastAsia" w:ascii="宋体" w:hAnsi="宋体"/>
                <w:bCs/>
                <w:sz w:val="18"/>
                <w:szCs w:val="18"/>
              </w:rPr>
              <w:t>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【稳利恒盈7号26期 2年乡村振兴A】（适用【A】类份额）</w:t>
            </w:r>
          </w:p>
          <w:p>
            <w:pPr>
              <w:spacing w:line="360" w:lineRule="auto"/>
              <w:jc w:val="left"/>
              <w:rPr>
                <w:rFonts w:ascii="宋体" w:hAnsi="宋体"/>
                <w:kern w:val="0"/>
                <w:sz w:val="22"/>
              </w:rPr>
            </w:pPr>
            <w:r>
              <w:rPr>
                <w:rFonts w:hint="eastAsia" w:ascii="宋体" w:hAnsi="宋体"/>
                <w:bCs/>
                <w:color w:val="000000" w:themeColor="text1"/>
                <w:sz w:val="18"/>
                <w:szCs w:val="18"/>
              </w:rPr>
              <w:t>【稳利恒盈7号26期 2年乡村振兴B】（适用【B】类份额）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宋体" w:hAnsi="宋体"/>
                <w:bCs/>
                <w:sz w:val="18"/>
                <w:szCs w:val="18"/>
              </w:rPr>
              <w:t>【</w:t>
            </w:r>
            <w:r>
              <w:rPr>
                <w:rFonts w:ascii="宋体" w:hAnsi="宋体"/>
                <w:bCs/>
                <w:sz w:val="18"/>
                <w:szCs w:val="18"/>
              </w:rPr>
              <w:t>Z7002022000020</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【9N213260】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left"/>
              <w:rPr>
                <w:rFonts w:ascii="宋体" w:hAnsi="宋体"/>
                <w:bCs/>
                <w:color w:val="000000" w:themeColor="text1"/>
                <w:sz w:val="18"/>
                <w:szCs w:val="18"/>
              </w:rPr>
            </w:pPr>
            <w:r>
              <w:rPr>
                <w:rFonts w:hint="eastAsia" w:ascii="宋体" w:hAnsi="宋体"/>
                <w:bCs/>
                <w:color w:val="000000" w:themeColor="text1"/>
                <w:sz w:val="18"/>
                <w:szCs w:val="18"/>
              </w:rPr>
              <w:t>【9N21326A】（适用【A】类份额）</w:t>
            </w:r>
          </w:p>
          <w:p>
            <w:pPr>
              <w:spacing w:line="360" w:lineRule="auto"/>
              <w:jc w:val="left"/>
              <w:rPr>
                <w:rFonts w:hAnsi="宋体"/>
                <w:sz w:val="18"/>
                <w:szCs w:val="18"/>
              </w:rPr>
            </w:pPr>
            <w:r>
              <w:rPr>
                <w:rFonts w:hint="eastAsia" w:ascii="宋体" w:hAnsi="宋体"/>
                <w:bCs/>
                <w:color w:val="000000" w:themeColor="text1"/>
                <w:sz w:val="18"/>
                <w:szCs w:val="18"/>
              </w:rPr>
              <w:t>【9N21326B】（适用【B】类份额）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本产品</w:t>
            </w:r>
            <w:r>
              <w:rPr>
                <w:rFonts w:asciiTheme="majorEastAsia" w:hAnsiTheme="majorEastAsia" w:eastAsiaTheme="majorEastAsia"/>
                <w:bCs/>
                <w:color w:val="000000" w:themeColor="text1"/>
                <w:sz w:val="18"/>
                <w:szCs w:val="18"/>
              </w:rPr>
              <w:t>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规模为【30】亿元，最小成立规模为【/】亿元。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【758天】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：【2022】年【8】月【16】日9:00至【2022】年【8】月【29】日17:00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注：关于代理销售机构的实际工作服务时段的提示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rPr>
                <w:rFonts w:ascii="宋体" w:hAnsi="宋体"/>
                <w:sz w:val="18"/>
              </w:rPr>
            </w:pPr>
            <w:r>
              <w:rPr>
                <w:rFonts w:hint="eastAsia" w:ascii="黑体" w:hAnsi="黑体" w:eastAsia="黑体"/>
                <w:bCs/>
                <w:color w:val="000000" w:themeColor="text1"/>
                <w:sz w:val="18"/>
                <w:szCs w:val="18"/>
              </w:rPr>
              <w:t>②代理销售机构的实际工作服务时段，最早不得早于销售文件约定</w:t>
            </w:r>
            <w:r>
              <w:rPr>
                <w:rFonts w:ascii="黑体" w:hAnsi="黑体" w:eastAsia="黑体"/>
                <w:bCs/>
                <w:color w:val="000000" w:themeColor="text1"/>
                <w:sz w:val="18"/>
                <w:szCs w:val="18"/>
              </w:rPr>
              <w:t>的</w:t>
            </w:r>
            <w:r>
              <w:rPr>
                <w:rFonts w:hint="eastAsia" w:ascii="黑体" w:hAnsi="黑体" w:eastAsia="黑体"/>
                <w:bCs/>
                <w:color w:val="000000" w:themeColor="text1"/>
                <w:sz w:val="18"/>
                <w:szCs w:val="18"/>
              </w:rPr>
              <w:t>起始时点、最晚不得晚于销售文件</w:t>
            </w:r>
            <w:r>
              <w:rPr>
                <w:rFonts w:ascii="黑体" w:hAnsi="黑体" w:eastAsia="黑体"/>
                <w:bCs/>
                <w:color w:val="000000" w:themeColor="text1"/>
                <w:sz w:val="18"/>
                <w:szCs w:val="18"/>
              </w:rPr>
              <w:t>约定的</w:t>
            </w:r>
            <w:r>
              <w:rPr>
                <w:rFonts w:hint="eastAsia" w:ascii="黑体" w:hAnsi="黑体" w:eastAsia="黑体"/>
                <w:bCs/>
                <w:color w:val="000000" w:themeColor="text1"/>
                <w:sz w:val="18"/>
                <w:szCs w:val="18"/>
              </w:rPr>
              <w:t>终止时点</w:t>
            </w:r>
            <w:r>
              <w:rPr>
                <w:rFonts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【2022】年【8】月【30】日（遇节假日顺延）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】月【26】日（遇节假日顺延）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购买起点金额为【1,000.00】元；超出起点金额的部分以【0.01】元的整数倍递增。</w:t>
            </w:r>
            <w:r>
              <w:rPr>
                <w:rFonts w:hint="eastAsia" w:asciiTheme="majorEastAsia" w:hAnsiTheme="majorEastAsia" w:eastAsiaTheme="majorEastAsia"/>
                <w:bCs/>
                <w:color w:val="000000" w:themeColor="text1"/>
                <w:sz w:val="18"/>
                <w:szCs w:val="18"/>
              </w:rPr>
              <w:t>（适用【A】类份额）</w:t>
            </w:r>
          </w:p>
          <w:p>
            <w:pPr>
              <w:spacing w:line="360" w:lineRule="auto"/>
              <w:rPr>
                <w:rFonts w:ascii="黑体" w:hAnsi="黑体" w:eastAsia="黑体"/>
                <w:bCs/>
                <w:color w:val="000000" w:themeColor="text1"/>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购买起点金额为【1.00】元；超出起点金额的部分以【0.01】元的整数倍递增。</w:t>
            </w:r>
            <w:r>
              <w:rPr>
                <w:rFonts w:hint="eastAsia" w:asciiTheme="majorEastAsia" w:hAnsiTheme="majorEastAsia" w:eastAsiaTheme="majorEastAsia"/>
                <w:bCs/>
                <w:color w:val="000000" w:themeColor="text1"/>
                <w:sz w:val="18"/>
                <w:szCs w:val="18"/>
              </w:rPr>
              <w:t>（适用【B】类份额）</w:t>
            </w: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★认购的数量限制 </w:t>
            </w:r>
            <w:r>
              <w:rPr>
                <w:rFonts w:hAnsi="宋体"/>
                <w:b/>
                <w:sz w:val="18"/>
                <w:szCs w:val="18"/>
              </w:rPr>
              <w:t xml:space="preserve"> </w:t>
            </w:r>
          </w:p>
        </w:tc>
        <w:tc>
          <w:tcPr>
            <w:tcW w:w="7704" w:type="dxa"/>
            <w:shd w:val="solid" w:color="FFFFFF" w:fill="FFFFFF"/>
            <w:vAlign w:val="center"/>
          </w:tcPr>
          <w:p>
            <w:pPr>
              <w:pStyle w:val="43"/>
              <w:spacing w:line="360" w:lineRule="auto"/>
              <w:rPr>
                <w:rFonts w:asciiTheme="minorEastAsia" w:hAnsiTheme="minorEastAsia" w:eastAsiaTheme="minorEastAsia"/>
                <w:color w:val="auto"/>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43"/>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本产品单一投资者持有份额不得超过产品总份额50%。</w:t>
            </w:r>
          </w:p>
          <w:p>
            <w:pPr>
              <w:pStyle w:val="43"/>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（1）投资者认购确认后可能导致其持有份额超过产品总份额50%的，管理人有权拒绝或暂停认购。</w:t>
            </w:r>
          </w:p>
          <w:p>
            <w:pPr>
              <w:pStyle w:val="43"/>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以产品终止</w:t>
            </w:r>
            <w:r>
              <w:rPr>
                <w:rFonts w:hint="eastAsia" w:asciiTheme="majorEastAsia" w:hAnsiTheme="majorEastAsia" w:eastAsiaTheme="majorEastAsia"/>
                <w:bCs/>
                <w:sz w:val="18"/>
                <w:szCs w:val="18"/>
              </w:rPr>
              <w:t>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Theme="majorEastAsia" w:hAnsiTheme="majorEastAsia"/>
                <w:bCs/>
                <w:sz w:val="18"/>
                <w:szCs w:val="18"/>
              </w:rPr>
            </w:pPr>
            <w:r>
              <w:rPr>
                <w:rFonts w:hint="eastAsia" w:ascii="宋体" w:hAnsi="宋体"/>
                <w:b/>
                <w:bCs/>
                <w:sz w:val="18"/>
                <w:szCs w:val="18"/>
              </w:rPr>
              <w:t>1.业绩比较基准的说明：【根据本产品各类资产的拟投资比例、资产信用利差、久期敞口以及流动性溢价，结合当前宏观环境和各类资产价格所处的位置，参考历史经验和回测结果</w:t>
            </w:r>
            <w:r>
              <w:rPr>
                <w:rFonts w:ascii="宋体" w:hAnsi="宋体"/>
                <w:b/>
                <w:bCs/>
                <w:sz w:val="18"/>
                <w:szCs w:val="18"/>
              </w:rPr>
              <w:t>】</w:t>
            </w:r>
            <w:r>
              <w:rPr>
                <w:rFonts w:hint="eastAsia" w:ascii="宋体" w:hAnsi="宋体"/>
                <w:b/>
                <w:bCs/>
                <w:sz w:val="18"/>
                <w:szCs w:val="18"/>
              </w:rPr>
              <w:t>。</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
                <w:bCs/>
                <w:sz w:val="18"/>
                <w:szCs w:val="18"/>
              </w:rPr>
              <w:t>2.业绩比较基准的设定</w:t>
            </w:r>
            <w:r>
              <w:rPr>
                <w:rFonts w:hint="eastAsia" w:asciiTheme="majorEastAsia" w:hAnsiTheme="majorEastAsia" w:eastAsiaTheme="majorEastAsia"/>
                <w:bCs/>
                <w:sz w:val="18"/>
                <w:szCs w:val="18"/>
              </w:rPr>
              <w:t>：</w:t>
            </w:r>
          </w:p>
          <w:p>
            <w:pPr>
              <w:spacing w:line="360" w:lineRule="auto"/>
              <w:jc w:val="left"/>
              <w:rPr>
                <w:rFonts w:ascii="宋体" w:hAnsi="宋体"/>
                <w:b/>
                <w:bCs/>
                <w:sz w:val="18"/>
                <w:szCs w:val="18"/>
              </w:rPr>
            </w:pP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
                <w:bCs/>
                <w:sz w:val="18"/>
                <w:szCs w:val="18"/>
              </w:rPr>
            </w:pPr>
            <w:r>
              <w:rPr>
                <w:rFonts w:hint="eastAsia" w:ascii="宋体" w:hAnsi="宋体"/>
                <w:b/>
                <w:bCs/>
                <w:sz w:val="18"/>
                <w:szCs w:val="18"/>
              </w:rPr>
              <w:t>A类份额：年化【4.25-4.75%】</w:t>
            </w:r>
          </w:p>
          <w:p>
            <w:pPr>
              <w:spacing w:line="360" w:lineRule="auto"/>
              <w:jc w:val="left"/>
              <w:rPr>
                <w:rFonts w:ascii="宋体" w:hAnsi="宋体"/>
                <w:b/>
                <w:bCs/>
                <w:sz w:val="18"/>
                <w:szCs w:val="18"/>
              </w:rPr>
            </w:pPr>
            <w:r>
              <w:rPr>
                <w:rFonts w:hint="eastAsia" w:ascii="宋体" w:hAnsi="宋体"/>
                <w:b/>
                <w:bCs/>
                <w:sz w:val="18"/>
                <w:szCs w:val="18"/>
              </w:rPr>
              <w:t>B类份额：年化【4.05-4.55%】。</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业绩报酬计提基准：【业绩比较基准上限】。</w:t>
            </w:r>
          </w:p>
          <w:p>
            <w:pPr>
              <w:spacing w:line="360" w:lineRule="auto"/>
              <w:jc w:val="left"/>
              <w:rPr>
                <w:rFonts w:ascii="宋体" w:hAnsi="宋体"/>
                <w:b/>
                <w:bCs/>
                <w:sz w:val="18"/>
                <w:szCs w:val="18"/>
              </w:rPr>
            </w:pPr>
            <w:r>
              <w:rPr>
                <w:rFonts w:hint="eastAsia" w:ascii="宋体" w:hAnsi="宋体"/>
                <w:b/>
                <w:bCs/>
                <w:sz w:val="18"/>
                <w:szCs w:val="18"/>
              </w:rPr>
              <w:t>业绩报酬计提基准仅作为管理人收取超额业绩报酬的参照数值标准，不代表理财产品未来表现，不等于理财产品实际收益，不作为产品收益的业绩保证，投资须谨慎。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hint="eastAsia" w:ascii="宋体" w:hAnsi="宋体"/>
                <w:b/>
                <w:bCs/>
                <w:color w:val="000000" w:themeColor="text1"/>
                <w:sz w:val="18"/>
                <w:szCs w:val="18"/>
              </w:rPr>
              <w:t>认购费：</w:t>
            </w:r>
            <w:r>
              <w:rPr>
                <w:rFonts w:hint="eastAsia" w:ascii="宋体" w:hAnsi="宋体"/>
                <w:bCs/>
                <w:color w:val="000000" w:themeColor="text1"/>
                <w:sz w:val="18"/>
                <w:szCs w:val="18"/>
              </w:rPr>
              <w:t>【/】。</w:t>
            </w:r>
          </w:p>
          <w:p>
            <w:pPr>
              <w:spacing w:line="360" w:lineRule="auto"/>
              <w:rPr>
                <w:rFonts w:ascii="宋体" w:hAnsi="宋体"/>
                <w:b/>
                <w:bCs/>
                <w:color w:val="000000" w:themeColor="text1"/>
                <w:sz w:val="18"/>
                <w:szCs w:val="18"/>
              </w:rPr>
            </w:pPr>
            <w:r>
              <w:rPr>
                <w:rFonts w:ascii="宋体" w:hAnsi="宋体"/>
                <w:b/>
                <w:bCs/>
                <w:color w:val="000000" w:themeColor="text1"/>
                <w:sz w:val="18"/>
                <w:szCs w:val="18"/>
              </w:rPr>
              <w:t>2.</w:t>
            </w:r>
            <w:r>
              <w:rPr>
                <w:rFonts w:asciiTheme="majorEastAsia" w:hAnsiTheme="majorEastAsia" w:eastAsiaTheme="majorEastAsia"/>
                <w:b/>
                <w:bCs/>
                <w:color w:val="000000" w:themeColor="text1"/>
                <w:sz w:val="18"/>
                <w:szCs w:val="18"/>
              </w:rPr>
              <w:t>销售服</w:t>
            </w:r>
            <w:r>
              <w:rPr>
                <w:rFonts w:hint="eastAsia" w:ascii="宋体" w:hAnsi="宋体"/>
                <w:b/>
                <w:bCs/>
                <w:color w:val="000000" w:themeColor="text1"/>
                <w:sz w:val="18"/>
                <w:szCs w:val="18"/>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年化费率【0.20%】（适用【A】类份额）；</w:t>
            </w:r>
          </w:p>
          <w:p>
            <w:pPr>
              <w:spacing w:line="360" w:lineRule="auto"/>
              <w:rPr>
                <w:rFonts w:ascii="宋体" w:hAnsi="宋体"/>
                <w:bCs/>
                <w:color w:val="000000" w:themeColor="text1"/>
                <w:sz w:val="18"/>
                <w:szCs w:val="18"/>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Theme="majorEastAsia" w:hAnsiTheme="majorEastAsia" w:eastAsiaTheme="majorEastAsia"/>
                <w:bCs/>
                <w:color w:val="000000" w:themeColor="text1"/>
                <w:sz w:val="18"/>
                <w:szCs w:val="18"/>
              </w:rPr>
              <w:t>（适用【B】类份额）</w:t>
            </w:r>
            <w:r>
              <w:rPr>
                <w:rFonts w:asciiTheme="majorEastAsia" w:hAnsiTheme="majorEastAsia" w:eastAsiaTheme="majorEastAsia"/>
                <w:bCs/>
                <w:sz w:val="18"/>
                <w:szCs w:val="18"/>
              </w:rPr>
              <w:t>。</w:t>
            </w:r>
            <w:r>
              <w:rPr>
                <w:rFonts w:ascii="宋体" w:hAnsi="宋体"/>
                <w:b/>
                <w:bCs/>
                <w:color w:val="000000" w:themeColor="text1"/>
                <w:sz w:val="18"/>
                <w:szCs w:val="18"/>
              </w:rPr>
              <w:t>4.</w:t>
            </w:r>
            <w:r>
              <w:rPr>
                <w:rFonts w:hint="eastAsia" w:ascii="宋体" w:hAnsi="宋体"/>
                <w:b/>
                <w:bCs/>
                <w:color w:val="000000" w:themeColor="text1"/>
                <w:sz w:val="18"/>
                <w:szCs w:val="18"/>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【0.30%</w:t>
            </w:r>
            <w:r>
              <w:rPr>
                <w:rFonts w:asciiTheme="majorEastAsia" w:hAnsiTheme="majorEastAsia" w:eastAsiaTheme="majorEastAsia"/>
                <w:sz w:val="18"/>
                <w:szCs w:val="18"/>
              </w:rPr>
              <w:t>】</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5.</w:t>
            </w:r>
            <w:r>
              <w:rPr>
                <w:rFonts w:hint="eastAsia" w:ascii="宋体" w:hAnsi="宋体"/>
                <w:b/>
                <w:bCs/>
                <w:color w:val="000000" w:themeColor="text1"/>
                <w:sz w:val="18"/>
                <w:szCs w:val="18"/>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rPr>
              <w:t>。</w:t>
            </w:r>
          </w:p>
          <w:p>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6.</w:t>
            </w:r>
            <w:r>
              <w:rPr>
                <w:rFonts w:hint="eastAsia" w:ascii="宋体" w:hAnsi="宋体"/>
                <w:b/>
                <w:bCs/>
                <w:color w:val="000000" w:themeColor="text1"/>
                <w:sz w:val="18"/>
                <w:szCs w:val="18"/>
              </w:rPr>
              <w:t>超额业绩报酬：</w:t>
            </w:r>
          </w:p>
          <w:p>
            <w:pPr>
              <w:widowControl/>
              <w:spacing w:line="360" w:lineRule="auto"/>
              <w:jc w:val="left"/>
              <w:rPr>
                <w:rFonts w:ascii="宋体" w:hAnsi="宋体"/>
                <w:sz w:val="18"/>
                <w:szCs w:val="18"/>
              </w:rPr>
            </w:pPr>
            <w:r>
              <w:rPr>
                <w:rFonts w:hint="eastAsia" w:ascii="宋体" w:hAnsi="宋体"/>
                <w:sz w:val="18"/>
                <w:szCs w:val="18"/>
              </w:rPr>
              <w:t>每份产品份额在超额业绩报酬计提日时，若理财资产扣除销售服务费、产品托管费和投资管理费等相关费用后，超额业绩报酬计提日产品份额净值折算的年化收益率超过业绩报酬计提基准，则产品管理人收取超出部分的【30%】作为超额业绩报酬。</w:t>
            </w:r>
          </w:p>
          <w:p>
            <w:pPr>
              <w:spacing w:line="360" w:lineRule="auto"/>
              <w:rPr>
                <w:rFonts w:ascii="黑体" w:hAnsi="黑体" w:eastAsia="黑体"/>
                <w:bCs/>
                <w:sz w:val="18"/>
                <w:szCs w:val="18"/>
              </w:rPr>
            </w:pPr>
            <w:r>
              <w:rPr>
                <w:rFonts w:ascii="宋体" w:hAnsi="宋体"/>
                <w:bCs/>
                <w:sz w:val="18"/>
                <w:szCs w:val="18"/>
              </w:rPr>
              <w:t>7</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spacing w:line="360" w:lineRule="auto"/>
        <w:ind w:firstLine="361" w:firstLineChars="200"/>
        <w:rPr>
          <w:rFonts w:asciiTheme="minorEastAsia" w:hAnsiTheme="minorEastAsia"/>
          <w:b/>
          <w:bCs/>
          <w:sz w:val="18"/>
          <w:szCs w:val="18"/>
        </w:rPr>
      </w:pPr>
      <w:bookmarkStart w:id="79" w:name="_Toc79154666"/>
      <w:bookmarkStart w:id="80" w:name="_Toc28277"/>
      <w:bookmarkStart w:id="81" w:name="_Toc92377132"/>
    </w:p>
    <w:p>
      <w:pPr>
        <w:spacing w:line="360" w:lineRule="auto"/>
        <w:ind w:firstLine="361" w:firstLineChars="200"/>
        <w:rPr>
          <w:rFonts w:asciiTheme="minorEastAsia" w:hAnsiTheme="minorEastAsia"/>
          <w:b/>
          <w:bCs/>
          <w:sz w:val="18"/>
          <w:szCs w:val="18"/>
        </w:rPr>
      </w:pPr>
    </w:p>
    <w:p>
      <w:pPr>
        <w:widowControl/>
        <w:jc w:val="left"/>
        <w:rPr>
          <w:rFonts w:asciiTheme="minorEastAsia" w:hAnsiTheme="minorEastAsia"/>
          <w:b/>
          <w:bCs/>
          <w:sz w:val="18"/>
          <w:szCs w:val="18"/>
        </w:rPr>
      </w:pPr>
      <w:r>
        <w:rPr>
          <w:rFonts w:asciiTheme="minorEastAsia" w:hAnsiTheme="minorEastAsia"/>
          <w:b/>
          <w:bCs/>
          <w:sz w:val="18"/>
          <w:szCs w:val="18"/>
        </w:rPr>
        <w:br w:type="page"/>
      </w:r>
    </w:p>
    <w:p>
      <w:pPr>
        <w:pStyle w:val="2"/>
        <w:spacing w:before="0" w:after="0" w:line="360" w:lineRule="auto"/>
        <w:jc w:val="center"/>
        <w:rPr>
          <w:rFonts w:ascii="Times New Roman"/>
          <w:sz w:val="30"/>
        </w:rPr>
      </w:pPr>
      <w:r>
        <w:rPr>
          <w:rFonts w:ascii="Times New Roman"/>
          <w:sz w:val="30"/>
        </w:rPr>
        <w:t>第</w:t>
      </w:r>
      <w:r>
        <w:rPr>
          <w:rFonts w:hint="eastAsia" w:ascii="Times New Roman"/>
          <w:sz w:val="30"/>
        </w:rPr>
        <w:t>三条</w:t>
      </w:r>
      <w:r>
        <w:rPr>
          <w:rFonts w:ascii="Times New Roman"/>
          <w:sz w:val="30"/>
        </w:rPr>
        <w:t xml:space="preserve">  </w:t>
      </w:r>
      <w:bookmarkStart w:id="82" w:name="_Toc79392573"/>
      <w:r>
        <w:rPr>
          <w:rFonts w:hint="eastAsia" w:ascii="Times New Roman"/>
          <w:sz w:val="30"/>
        </w:rPr>
        <w:t>理财产品的认购</w:t>
      </w:r>
      <w:bookmarkEnd w:id="79"/>
      <w:bookmarkEnd w:id="80"/>
      <w:bookmarkEnd w:id="81"/>
    </w:p>
    <w:p>
      <w:pPr>
        <w:spacing w:line="360" w:lineRule="auto"/>
        <w:ind w:firstLine="361" w:firstLineChars="200"/>
        <w:rPr>
          <w:rFonts w:asciiTheme="minorEastAsia" w:hAnsiTheme="minorEastAsia"/>
          <w:b/>
          <w:bCs/>
          <w:sz w:val="18"/>
          <w:szCs w:val="18"/>
        </w:rPr>
      </w:pPr>
      <w:bookmarkStart w:id="83" w:name="_Hlt88031774"/>
      <w:bookmarkEnd w:id="83"/>
      <w:bookmarkStart w:id="8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进入理财运作，不计算理财利益。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43"/>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85" w:name="_Toc79154667"/>
      <w:bookmarkStart w:id="86" w:name="_Toc92377133"/>
      <w:bookmarkStart w:id="87" w:name="_Toc11790"/>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85"/>
      <w:bookmarkEnd w:id="86"/>
      <w:bookmarkEnd w:id="87"/>
    </w:p>
    <w:bookmarkEnd w:id="84"/>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本产品不设置申购与赎回。</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bookmarkEnd w:id="82"/>
    <w:p>
      <w:pPr>
        <w:pStyle w:val="2"/>
        <w:spacing w:before="0" w:after="0" w:line="360" w:lineRule="auto"/>
        <w:jc w:val="center"/>
        <w:rPr>
          <w:rFonts w:ascii="Times New Roman"/>
          <w:sz w:val="30"/>
        </w:rPr>
      </w:pPr>
      <w:bookmarkStart w:id="88" w:name="_Toc16265"/>
      <w:bookmarkStart w:id="89" w:name="_Toc1890"/>
      <w:bookmarkStart w:id="90" w:name="_Toc22074"/>
      <w:bookmarkStart w:id="91" w:name="_Toc29948"/>
      <w:bookmarkStart w:id="92" w:name="_Toc27189"/>
      <w:bookmarkStart w:id="93" w:name="_Toc3266"/>
      <w:bookmarkStart w:id="94" w:name="_Toc90742688"/>
      <w:bookmarkStart w:id="95" w:name="_Toc15203"/>
      <w:bookmarkStart w:id="96" w:name="_Toc92377134"/>
      <w:bookmarkStart w:id="97" w:name="_Toc27226"/>
      <w:bookmarkStart w:id="98" w:name="_Toc90742390"/>
      <w:bookmarkStart w:id="99" w:name="_Toc7151"/>
      <w:bookmarkStart w:id="100" w:name="_Toc74065741"/>
      <w:bookmarkStart w:id="101" w:name="_Toc79154668"/>
      <w:bookmarkStart w:id="102" w:name="_Toc29784"/>
      <w:bookmarkStart w:id="103" w:name="_Toc6714"/>
      <w:bookmarkStart w:id="104" w:name="_Toc90742321"/>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43"/>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（4）以套期保值为目的的国债期货、利率互换、信用风险缓释工具、债券借贷。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其他风险不高于前述资产的资产。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（1）本产品投资于固定收益类资产的比例不低于产品总资产的80%。 </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（2）符合监管要求的非标准化债权类资产低于产品总资产的50%。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（3）国债期货、利率互换、信用风险缓释工具等衍生品占产品总资产比例低于20%。</w:t>
      </w:r>
    </w:p>
    <w:p>
      <w:pPr>
        <w:autoSpaceDE w:val="0"/>
        <w:autoSpaceDN w:val="0"/>
        <w:adjustRightInd w:val="0"/>
        <w:spacing w:line="360" w:lineRule="auto"/>
        <w:ind w:firstLine="361" w:firstLineChars="200"/>
        <w:jc w:val="left"/>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黑体" w:hAnsi="黑体" w:eastAsia="黑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产品管理人应当根据市场情况调整投资范围、投资资产种类或投资比例，并进行相应公告。超出前述约定投资比例的，高风险类型的理财产品可超出比例范围投资较低风险资产，且无需投资者书面同意。</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43"/>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43"/>
        <w:spacing w:line="360" w:lineRule="auto"/>
        <w:ind w:firstLine="360" w:firstLineChars="200"/>
        <w:rPr>
          <w:rFonts w:asciiTheme="majorEastAsia" w:hAnsiTheme="majorEastAsia" w:eastAsiaTheme="majorEastAsia"/>
          <w:color w:val="000000" w:themeColor="text1"/>
          <w:sz w:val="18"/>
          <w:szCs w:val="18"/>
        </w:rPr>
      </w:pPr>
      <w:r>
        <w:rPr>
          <w:rFonts w:hint="eastAsia" w:asciiTheme="majorEastAsia" w:hAnsiTheme="majorEastAsia" w:eastAsiaTheme="majorEastAsia"/>
          <w:bCs/>
          <w:sz w:val="18"/>
          <w:szCs w:val="18"/>
        </w:rPr>
        <w:t>本产品主要投资于固定收益类资产，以绝对收益为投资目标，并配置一定比例的权益类资产，把握股票市场的投资机会，为投资者提供长期稳定的投资回报。其中权益类资产主要为混合债券型二级基金以及打新策略为主的混合型基金中的股票投资。</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产品管理人设置业绩报酬计提基准。</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autoSpaceDE w:val="0"/>
        <w:autoSpaceDN w:val="0"/>
        <w:adjustRightInd w:val="0"/>
        <w:spacing w:line="360" w:lineRule="auto"/>
        <w:ind w:firstLine="360" w:firstLineChars="200"/>
        <w:jc w:val="left"/>
        <w:rPr>
          <w:rFonts w:hint="eastAsia"/>
        </w:rPr>
      </w:pPr>
      <w:r>
        <w:rPr>
          <w:rFonts w:hint="eastAsia" w:asciiTheme="majorEastAsia" w:hAnsiTheme="majorEastAsia" w:eastAsiaTheme="majorEastAsia"/>
          <w:kern w:val="0"/>
          <w:sz w:val="18"/>
          <w:szCs w:val="18"/>
        </w:rPr>
        <w:t>□ 产品管理人不设置业绩报酬计提基准。</w:t>
      </w:r>
    </w:p>
    <w:p>
      <w:pPr>
        <w:pStyle w:val="2"/>
        <w:spacing w:before="0" w:after="0" w:line="360" w:lineRule="auto"/>
        <w:jc w:val="center"/>
        <w:rPr>
          <w:rFonts w:ascii="Times New Roman"/>
          <w:sz w:val="30"/>
        </w:rPr>
      </w:pPr>
      <w:bookmarkStart w:id="105" w:name="_Toc26986"/>
      <w:bookmarkStart w:id="106" w:name="_Toc92377135"/>
      <w:bookmarkStart w:id="107" w:name="_Toc14893"/>
      <w:bookmarkStart w:id="108" w:name="_Toc25082"/>
      <w:bookmarkStart w:id="109" w:name="_Toc17912"/>
      <w:bookmarkStart w:id="110" w:name="_Toc18526"/>
      <w:bookmarkStart w:id="111" w:name="_Toc7848"/>
      <w:bookmarkStart w:id="112" w:name="_Toc4741"/>
      <w:bookmarkStart w:id="113" w:name="_Toc74065742"/>
      <w:bookmarkStart w:id="114" w:name="_Toc18797"/>
      <w:bookmarkStart w:id="115" w:name="_Toc21988"/>
      <w:bookmarkStart w:id="116" w:name="_Toc79154669"/>
      <w:bookmarkStart w:id="117" w:name="_Toc139991735"/>
      <w:bookmarkStart w:id="118" w:name="_Toc18329"/>
      <w:bookmarkStart w:id="119" w:name="_Toc1823"/>
      <w:bookmarkStart w:id="120" w:name="_Toc141703885"/>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43"/>
        <w:spacing w:line="360" w:lineRule="auto"/>
        <w:ind w:firstLine="361" w:firstLineChars="200"/>
        <w:rPr>
          <w:rFonts w:asciiTheme="majorEastAsia" w:hAnsiTheme="majorEastAsia" w:eastAsiaTheme="majorEastAsia"/>
          <w:b/>
          <w:color w:val="auto"/>
          <w:sz w:val="18"/>
          <w:szCs w:val="18"/>
        </w:rPr>
      </w:pPr>
      <w:bookmarkStart w:id="121" w:name="_Hlk490214295"/>
      <w:r>
        <w:rPr>
          <w:rFonts w:hint="eastAsia" w:asciiTheme="majorEastAsia" w:hAnsiTheme="majorEastAsia" w:eastAsiaTheme="majorEastAsia"/>
          <w:b/>
          <w:color w:val="auto"/>
          <w:sz w:val="18"/>
          <w:szCs w:val="18"/>
        </w:rPr>
        <w:t>（一）理财产品的资产的保管和处分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21"/>
    <w:p>
      <w:pPr>
        <w:pStyle w:val="2"/>
        <w:spacing w:before="0" w:after="0" w:line="360" w:lineRule="auto"/>
        <w:jc w:val="center"/>
        <w:rPr>
          <w:rFonts w:ascii="Times New Roman"/>
          <w:sz w:val="28"/>
          <w:szCs w:val="28"/>
        </w:rPr>
      </w:pPr>
      <w:bookmarkStart w:id="122" w:name="_Toc92377136"/>
      <w:bookmarkStart w:id="123" w:name="_Toc20904"/>
      <w:bookmarkStart w:id="124" w:name="_Toc83391971"/>
      <w:bookmarkStart w:id="125" w:name="_Toc10463"/>
      <w:bookmarkStart w:id="126" w:name="_Toc123051452"/>
      <w:bookmarkStart w:id="127" w:name="_Toc20733"/>
      <w:bookmarkStart w:id="128" w:name="_Toc74065743"/>
      <w:bookmarkStart w:id="129" w:name="_Toc123102453"/>
      <w:bookmarkStart w:id="130" w:name="_Toc1270"/>
      <w:bookmarkStart w:id="131" w:name="_Toc7920"/>
      <w:bookmarkStart w:id="132" w:name="_Toc141703886"/>
      <w:bookmarkStart w:id="133" w:name="_Toc610"/>
      <w:bookmarkStart w:id="134" w:name="_Toc98560352"/>
      <w:bookmarkStart w:id="135" w:name="_Toc139991736"/>
      <w:bookmarkStart w:id="136" w:name="_Toc23261"/>
      <w:bookmarkStart w:id="137" w:name="_Toc23822"/>
      <w:bookmarkStart w:id="138" w:name="_Toc1427"/>
      <w:bookmarkStart w:id="139" w:name="_Toc79392606"/>
      <w:bookmarkStart w:id="140" w:name="_Toc123112234"/>
      <w:bookmarkStart w:id="141" w:name="_Toc4003"/>
      <w:bookmarkStart w:id="142" w:name="_Toc79154670"/>
      <w:bookmarkStart w:id="143" w:name="_Toc48649707"/>
      <w:bookmarkStart w:id="144" w:name="_Toc17244"/>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22"/>
      <w:bookmarkEnd w:id="123"/>
      <w:bookmarkEnd w:id="124"/>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，每周进行一次估值。如遇产品到期日、</w:t>
      </w:r>
      <w:r>
        <w:rPr>
          <w:rFonts w:cs="Times New Roman" w:asciiTheme="minorEastAsia" w:hAnsiTheme="minorEastAsia" w:eastAsiaTheme="minorEastAsia"/>
          <w:sz w:val="18"/>
          <w:szCs w:val="18"/>
        </w:rPr>
        <w:t>季末、半年度、年度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43"/>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43"/>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43"/>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43"/>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43"/>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43"/>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43"/>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r>
        <w:rPr>
          <w:rFonts w:hint="eastAsia" w:hAnsi="宋体"/>
          <w:sz w:val="18"/>
          <w:szCs w:val="18"/>
        </w:rPr>
        <w:t>若无法采用估值技术可靠计量公允价值，可按摊余成本计量。</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43"/>
        <w:spacing w:line="360" w:lineRule="auto"/>
        <w:ind w:firstLine="360" w:firstLineChars="200"/>
        <w:rPr>
          <w:rFonts w:ascii="黑体" w:hAnsi="黑体" w:eastAsia="黑体"/>
          <w:color w:val="auto"/>
          <w:sz w:val="18"/>
          <w:szCs w:val="18"/>
        </w:rPr>
      </w:pPr>
      <w:r>
        <w:rPr>
          <w:rFonts w:hint="eastAsia" w:asciiTheme="minorEastAsia" w:hAnsiTheme="minorEastAsia" w:eastAsiaTheme="minorEastAsia"/>
          <w:color w:val="auto"/>
          <w:sz w:val="18"/>
          <w:szCs w:val="18"/>
        </w:rPr>
        <w:t>12.</w:t>
      </w:r>
      <w:r>
        <w:rPr>
          <w:rFonts w:hint="eastAsia" w:ascii="黑体" w:hAnsi="黑体" w:eastAsia="黑体"/>
          <w:color w:val="auto"/>
          <w:sz w:val="18"/>
          <w:szCs w:val="18"/>
        </w:rPr>
        <w:t>★估值方法的调整</w:t>
      </w:r>
    </w:p>
    <w:p>
      <w:pPr>
        <w:pStyle w:val="43"/>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43"/>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p>
    <w:p>
      <w:pPr>
        <w:pStyle w:val="43"/>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43"/>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pStyle w:val="2"/>
        <w:spacing w:before="0" w:after="0" w:line="360" w:lineRule="auto"/>
        <w:ind w:left="60" w:firstLine="10"/>
        <w:jc w:val="center"/>
        <w:rPr>
          <w:rFonts w:ascii="Times New Roman"/>
          <w:sz w:val="30"/>
        </w:rPr>
      </w:pPr>
      <w:bookmarkStart w:id="145" w:name="_Hlt70481650"/>
      <w:bookmarkEnd w:id="145"/>
      <w:bookmarkStart w:id="146" w:name="_Toc141703887"/>
      <w:bookmarkStart w:id="147" w:name="_Toc123102454"/>
      <w:bookmarkStart w:id="148" w:name="_Toc92377137"/>
      <w:bookmarkStart w:id="149" w:name="_Toc3601"/>
      <w:bookmarkStart w:id="150" w:name="_Toc123112235"/>
      <w:bookmarkStart w:id="151" w:name="_Toc29251"/>
      <w:bookmarkStart w:id="152" w:name="_Toc31235"/>
      <w:bookmarkStart w:id="153" w:name="_Toc12245"/>
      <w:bookmarkStart w:id="154" w:name="_Toc31653"/>
      <w:bookmarkStart w:id="155" w:name="_Toc10922"/>
      <w:bookmarkStart w:id="156" w:name="_Toc6405"/>
      <w:bookmarkStart w:id="157" w:name="_Toc123051453"/>
      <w:bookmarkStart w:id="158" w:name="_Toc79154671"/>
      <w:bookmarkStart w:id="159" w:name="_Toc74065744"/>
      <w:bookmarkStart w:id="160" w:name="_Toc31644"/>
      <w:bookmarkStart w:id="161" w:name="_Toc14835"/>
      <w:bookmarkStart w:id="162" w:name="_Toc98560353"/>
      <w:bookmarkStart w:id="163" w:name="_Toc26207"/>
      <w:bookmarkStart w:id="164" w:name="_Toc15143"/>
      <w:bookmarkStart w:id="165" w:name="_Toc139991737"/>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Hlt55355235"/>
      <w:bookmarkEnd w:id="166"/>
      <w:bookmarkStart w:id="167" w:name="_Toc523711668"/>
      <w:bookmarkStart w:id="168" w:name="_Toc79392580"/>
      <w:bookmarkStart w:id="169" w:name="_Toc15118234"/>
      <w:bookmarkStart w:id="170" w:name="_Toc57530239"/>
    </w:p>
    <w:p>
      <w:pPr>
        <w:pStyle w:val="43"/>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43"/>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43"/>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43"/>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43"/>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43"/>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43"/>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43"/>
        <w:spacing w:line="360" w:lineRule="auto"/>
        <w:ind w:firstLine="360" w:firstLineChars="200"/>
        <w:rPr>
          <w:rFonts w:hAnsi="宋体"/>
          <w:color w:val="auto"/>
          <w:sz w:val="18"/>
          <w:szCs w:val="18"/>
        </w:rPr>
      </w:pPr>
      <w:r>
        <w:rPr>
          <w:rFonts w:hint="eastAsia" w:hAnsi="宋体"/>
          <w:color w:val="auto"/>
          <w:sz w:val="18"/>
          <w:szCs w:val="18"/>
        </w:rPr>
        <w:t>3.自产品成立日后第六个月末，产品管理人有权进行首次理财利益的分配，其后每隔三个月产品管理人有权进行理财利益的分配。若分配基准日投资收益实际表现所折算的年化收益率超过【3.60】%（不含），则产品管理人有权视理财产品收益情况，在分配日主动先行向投资者分配相关收益，分配收益所折算的年化收益率不超过【3.60】%，且分配后产品份额净值不低于【1.01】，分配后有剩余收益的，仍留存在理财产品中。相应分配基准日、分配方案由管理人及时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43"/>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43"/>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167"/>
    <w:bookmarkEnd w:id="168"/>
    <w:bookmarkEnd w:id="169"/>
    <w:bookmarkEnd w:id="170"/>
    <w:p>
      <w:pPr>
        <w:pStyle w:val="2"/>
        <w:spacing w:before="0" w:after="0" w:line="360" w:lineRule="auto"/>
        <w:jc w:val="center"/>
        <w:rPr>
          <w:rFonts w:ascii="Times New Roman"/>
          <w:sz w:val="30"/>
        </w:rPr>
      </w:pPr>
      <w:bookmarkStart w:id="171" w:name="_Hlt88897298"/>
      <w:bookmarkEnd w:id="171"/>
      <w:bookmarkStart w:id="172" w:name="_Hlt88825574"/>
      <w:bookmarkEnd w:id="172"/>
      <w:bookmarkStart w:id="173" w:name="_Toc92377138"/>
      <w:bookmarkStart w:id="174" w:name="_Toc79154672"/>
      <w:bookmarkStart w:id="175" w:name="_Toc74065745"/>
      <w:bookmarkStart w:id="176" w:name="_Toc25783"/>
      <w:bookmarkStart w:id="177" w:name="_Toc123112236"/>
      <w:bookmarkStart w:id="178" w:name="_Toc123051454"/>
      <w:bookmarkStart w:id="179" w:name="_Toc3771"/>
      <w:bookmarkStart w:id="180" w:name="_Toc9706"/>
      <w:bookmarkStart w:id="181" w:name="_Toc98560354"/>
      <w:bookmarkStart w:id="182" w:name="_Toc79392583"/>
      <w:bookmarkStart w:id="183" w:name="_Toc7058"/>
      <w:bookmarkStart w:id="184" w:name="_Toc3321"/>
      <w:bookmarkStart w:id="185" w:name="_Toc141703888"/>
      <w:bookmarkStart w:id="186" w:name="_Toc6447"/>
      <w:bookmarkStart w:id="187" w:name="_Toc29746"/>
      <w:bookmarkStart w:id="188" w:name="_Toc4559"/>
      <w:bookmarkStart w:id="189" w:name="_Toc11030"/>
      <w:bookmarkStart w:id="190" w:name="_Toc18567"/>
      <w:bookmarkStart w:id="191" w:name="_Toc123102455"/>
      <w:bookmarkStart w:id="192" w:name="_Toc10650"/>
      <w:bookmarkStart w:id="193" w:name="_Toc139991738"/>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43"/>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超额业绩报酬计提日时，若理财资产扣除销售服务费、产品托管费和投资管理费等相关费用后，超额业绩报酬计提日产品份额净值折算的年化收益率超过业绩报酬计提基准，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当R＞业绩报酬计提基准，超额业绩报酬=产品终止时投资者持有的产品份额×产品成立日产品份额净值×（R-业绩报酬计提基准）×N×D/365；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若该产品份额持有期间，超额业绩报酬计提规则有所调整，以该产品份额持有期间的每个计提规则分别计算整个份额持有期间应收取的超额业绩报酬数值，以较小的数值来收取超额业绩报酬。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43"/>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43"/>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94" w:name="_Toc1745"/>
      <w:bookmarkStart w:id="195" w:name="_Toc3963"/>
      <w:r>
        <w:br w:type="page"/>
      </w:r>
      <w:bookmarkStart w:id="196" w:name="_Toc123102456"/>
      <w:bookmarkStart w:id="197" w:name="_Toc139991739"/>
      <w:bookmarkStart w:id="198" w:name="_Toc18206"/>
      <w:bookmarkStart w:id="199" w:name="_Toc79154673"/>
      <w:bookmarkStart w:id="200" w:name="_Toc123112237"/>
      <w:bookmarkStart w:id="201" w:name="_Toc98560355"/>
      <w:bookmarkStart w:id="202" w:name="_Toc141703889"/>
      <w:bookmarkStart w:id="203" w:name="_Toc3080"/>
      <w:bookmarkStart w:id="204" w:name="_Toc74065746"/>
      <w:bookmarkStart w:id="205" w:name="_Toc123051455"/>
      <w:bookmarkStart w:id="206" w:name="_Toc92377139"/>
      <w:bookmarkStart w:id="207" w:name="_Toc725"/>
      <w:bookmarkStart w:id="208" w:name="_Toc31821"/>
      <w:bookmarkStart w:id="209" w:name="_Toc3572"/>
      <w:bookmarkStart w:id="210" w:name="_Toc10398"/>
      <w:bookmarkStart w:id="211" w:name="_Toc16164"/>
      <w:bookmarkStart w:id="212" w:name="_Toc29665"/>
      <w:bookmarkStart w:id="213" w:name="_Toc21735"/>
      <w:r>
        <w:rPr>
          <w:rFonts w:hint="eastAsia"/>
          <w:sz w:val="30"/>
        </w:rPr>
        <w:t>第十条</w:t>
      </w:r>
      <w:r>
        <w:rPr>
          <w:sz w:val="30"/>
        </w:rPr>
        <w:t xml:space="preserve">  </w:t>
      </w:r>
      <w:r>
        <w:rPr>
          <w:rFonts w:hint="eastAsia"/>
          <w:sz w:val="30"/>
        </w:rPr>
        <w:t>理财产品的终止与清算</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line="360" w:lineRule="auto"/>
        <w:ind w:firstLine="361" w:firstLineChars="200"/>
        <w:rPr>
          <w:rFonts w:asciiTheme="majorEastAsia" w:hAnsiTheme="majorEastAsia" w:eastAsiaTheme="majorEastAsia"/>
          <w:b/>
          <w:bCs/>
          <w:sz w:val="18"/>
          <w:szCs w:val="18"/>
        </w:rPr>
      </w:pPr>
      <w:bookmarkStart w:id="214" w:name="_Toc79392593"/>
      <w:bookmarkStart w:id="215" w:name="_Toc57530252"/>
      <w:bookmarkStart w:id="216"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214"/>
    <w:bookmarkEnd w:id="215"/>
    <w:bookmarkEnd w:id="216"/>
    <w:p>
      <w:pPr>
        <w:pStyle w:val="2"/>
        <w:spacing w:before="0" w:after="0" w:line="360" w:lineRule="auto"/>
        <w:jc w:val="center"/>
        <w:rPr>
          <w:rFonts w:ascii="Times New Roman"/>
          <w:sz w:val="18"/>
          <w:szCs w:val="18"/>
        </w:rPr>
      </w:pPr>
      <w:r>
        <w:rPr>
          <w:rFonts w:ascii="Times New Roman"/>
          <w:b w:val="0"/>
          <w:bCs w:val="0"/>
          <w:kern w:val="2"/>
        </w:rPr>
        <w:br w:type="page"/>
      </w:r>
      <w:bookmarkStart w:id="217" w:name="_Toc92377140"/>
      <w:bookmarkStart w:id="218" w:name="_Toc4655"/>
      <w:bookmarkStart w:id="219" w:name="_Toc17198"/>
      <w:bookmarkStart w:id="220" w:name="_Toc141703890"/>
      <w:bookmarkStart w:id="221" w:name="_Toc48649708"/>
      <w:bookmarkStart w:id="222" w:name="_Toc74065747"/>
      <w:bookmarkStart w:id="223" w:name="_Toc21237"/>
      <w:bookmarkStart w:id="224" w:name="_Toc79392622"/>
      <w:bookmarkStart w:id="225" w:name="_Toc17920"/>
      <w:bookmarkStart w:id="226" w:name="_Toc139991740"/>
      <w:bookmarkStart w:id="227" w:name="_Toc29408"/>
      <w:bookmarkStart w:id="228" w:name="_Toc739"/>
      <w:bookmarkStart w:id="229" w:name="_Toc8791"/>
      <w:bookmarkStart w:id="230" w:name="_Toc83391975"/>
      <w:bookmarkStart w:id="231" w:name="_Toc3329"/>
      <w:bookmarkStart w:id="232" w:name="_Toc123102457"/>
      <w:bookmarkStart w:id="233" w:name="_Toc32092"/>
      <w:bookmarkStart w:id="234" w:name="_Toc79154674"/>
      <w:bookmarkStart w:id="235" w:name="_Toc123112238"/>
      <w:bookmarkStart w:id="236" w:name="_Toc5170"/>
      <w:bookmarkStart w:id="237" w:name="_Toc123051456"/>
      <w:bookmarkStart w:id="238" w:name="_Toc98560356"/>
      <w:bookmarkStart w:id="239" w:name="_Toc32584"/>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7"/>
      <w:bookmarkEnd w:id="218"/>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6.临时公告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bCs/>
          <w:sz w:val="24"/>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sz w:val="24"/>
        </w:rPr>
        <w:br w:type="page"/>
      </w:r>
    </w:p>
    <w:p>
      <w:pPr>
        <w:pStyle w:val="2"/>
        <w:spacing w:before="0" w:after="0" w:line="360" w:lineRule="auto"/>
        <w:jc w:val="center"/>
        <w:rPr>
          <w:rFonts w:ascii="Times New Roman"/>
          <w:b w:val="0"/>
          <w:sz w:val="30"/>
        </w:rPr>
      </w:pPr>
      <w:bookmarkStart w:id="240" w:name="_Toc92377141"/>
      <w:bookmarkStart w:id="241" w:name="_Toc79154675"/>
      <w:bookmarkStart w:id="242" w:name="_Toc2209"/>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40"/>
      <w:bookmarkEnd w:id="241"/>
      <w:bookmarkEnd w:id="242"/>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（1）投资固定收益类资产的风险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（2）投资权益类资产的风险 </w:t>
      </w:r>
    </w:p>
    <w:p>
      <w:pPr>
        <w:spacing w:line="360" w:lineRule="auto"/>
        <w:ind w:firstLine="360" w:firstLineChars="200"/>
        <w:rPr>
          <w:rFonts w:ascii="宋体" w:hAnsi="宋体"/>
          <w:bCs/>
          <w:sz w:val="18"/>
          <w:szCs w:val="18"/>
        </w:rPr>
      </w:pPr>
      <w:r>
        <w:rPr>
          <w:rFonts w:hint="eastAsia" w:ascii="宋体" w:hAnsi="宋体"/>
          <w:bCs/>
          <w:sz w:val="18"/>
          <w:szCs w:val="18"/>
        </w:rPr>
        <w:t>1）投资股票类资产的风险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2）投资股权类资产的风险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（3）投资商品和金融衍生品类资产的风险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黑体" w:hAnsi="黑体" w:eastAsia="黑体"/>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r>
        <w:rPr>
          <w:rFonts w:hint="eastAsia" w:ascii="黑体" w:hAnsi="黑体" w:eastAsia="黑体"/>
          <w:sz w:val="18"/>
          <w:szCs w:val="18"/>
        </w:rPr>
        <w:t xml:space="preserve"> </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8.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16.</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黑体" w:hAnsi="黑体" w:eastAsia="黑体"/>
          <w:sz w:val="18"/>
          <w:szCs w:val="18"/>
        </w:rPr>
        <w:t xml:space="preserve"> 关联交易风险</w:t>
      </w: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rPr>
          <w:rFonts w:ascii="黑体" w:hAnsi="黑体" w:eastAsia="黑体"/>
          <w:b/>
          <w:sz w:val="18"/>
          <w:szCs w:val="18"/>
        </w:rPr>
      </w:pPr>
      <w:r>
        <w:rPr>
          <w:rFonts w:hint="eastAsia" w:ascii="黑体" w:hAnsi="黑体" w:eastAsia="黑体"/>
          <w:b/>
          <w:sz w:val="18"/>
          <w:szCs w:val="18"/>
        </w:rPr>
        <w:t>（</w:t>
      </w:r>
      <w:r>
        <w:rPr>
          <w:rFonts w:ascii="黑体" w:hAnsi="黑体" w:eastAsia="黑体"/>
          <w:b/>
          <w:sz w:val="18"/>
          <w:szCs w:val="18"/>
        </w:rPr>
        <w:t>三</w:t>
      </w:r>
      <w:r>
        <w:rPr>
          <w:rFonts w:hint="eastAsia" w:ascii="黑体" w:hAnsi="黑体" w:eastAsia="黑体"/>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43"/>
        <w:spacing w:line="360" w:lineRule="auto"/>
        <w:rPr>
          <w:rFonts w:hAnsi="宋体"/>
          <w:sz w:val="18"/>
          <w:szCs w:val="18"/>
        </w:rPr>
      </w:pPr>
    </w:p>
    <w:p>
      <w:pPr>
        <w:spacing w:line="360" w:lineRule="auto"/>
        <w:jc w:val="left"/>
        <w:rPr>
          <w:rFonts w:hint="eastAsia" w:ascii="宋体" w:hAnsi="宋体"/>
          <w:b/>
          <w:sz w:val="18"/>
          <w:szCs w:val="18"/>
        </w:rPr>
        <w:sectPr>
          <w:headerReference r:id="rId11" w:type="default"/>
          <w:footerReference r:id="rId12"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兴银理财【天天万利宝稳利</w:t>
      </w:r>
      <w:r>
        <w:rPr>
          <w:rFonts w:hint="eastAsia" w:ascii="黑体" w:hAnsi="黑体" w:eastAsia="黑体"/>
          <w:b/>
          <w:sz w:val="28"/>
          <w:szCs w:val="28"/>
          <w:lang w:val="en-US" w:eastAsia="zh-CN"/>
        </w:rPr>
        <w:t>恒盈</w:t>
      </w:r>
      <w:r>
        <w:rPr>
          <w:rFonts w:hint="eastAsia" w:ascii="黑体" w:hAnsi="黑体" w:eastAsia="黑体"/>
          <w:b/>
          <w:sz w:val="28"/>
          <w:szCs w:val="28"/>
        </w:rPr>
        <w:t>】净值型理财产品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24"/>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1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sz w:val="18"/>
                <w:szCs w:val="18"/>
              </w:rPr>
              <w:t xml:space="preserve">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43"/>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1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1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 xml:space="preserve">【 </w:t>
      </w:r>
      <w:r>
        <w:rPr>
          <w:rFonts w:ascii="宋体" w:hAnsi="宋体" w:cs="仿宋_GB2312"/>
          <w:kern w:val="0"/>
          <w:sz w:val="18"/>
          <w:szCs w:val="18"/>
        </w:rPr>
        <w:t xml:space="preserve">                                   </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 xml:space="preserve">等级：【 </w:t>
      </w:r>
      <w:r>
        <w:rPr>
          <w:rFonts w:ascii="宋体" w:hAnsi="宋体" w:cs="仿宋_GB2312"/>
          <w:kern w:val="0"/>
          <w:sz w:val="18"/>
          <w:szCs w:val="18"/>
        </w:rPr>
        <w:t xml:space="preserve">                                </w:t>
      </w:r>
      <w:r>
        <w:rPr>
          <w:rFonts w:hint="eastAsia" w:ascii="宋体" w:hAnsi="宋体" w:cs="仿宋_GB2312"/>
          <w:kern w:val="0"/>
          <w:sz w:val="18"/>
          <w:szCs w:val="18"/>
        </w:rPr>
        <w:t>】。</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43"/>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13" w:type="default"/>
          <w:footerReference r:id="rId14" w:type="default"/>
          <w:pgSz w:w="11906" w:h="16838"/>
          <w:pgMar w:top="1440" w:right="1800" w:bottom="1440" w:left="1800" w:header="851" w:footer="992"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兴银理财【天天万利宝稳利恒盈】净值型理财产品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bCs/>
          <w:sz w:val="18"/>
          <w:szCs w:val="18"/>
        </w:rPr>
        <w:t>兴银理财天天万利宝稳利恒盈7号封闭式净值型理财产品第</w:t>
      </w:r>
      <w:r>
        <w:rPr>
          <w:rFonts w:ascii="宋体" w:hAnsi="宋体"/>
          <w:bCs/>
          <w:sz w:val="18"/>
          <w:szCs w:val="18"/>
        </w:rPr>
        <w:t>26</w:t>
      </w:r>
      <w:r>
        <w:rPr>
          <w:rFonts w:hint="eastAsia" w:ascii="宋体" w:hAnsi="宋体"/>
          <w:bCs/>
          <w:sz w:val="18"/>
          <w:szCs w:val="18"/>
        </w:rPr>
        <w:t>期</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宋体" w:hAnsi="宋体" w:cs="仿宋_GB2312"/>
          <w:kern w:val="0"/>
          <w:sz w:val="18"/>
          <w:szCs w:val="18"/>
        </w:rPr>
        <w:t>【稳利恒盈7号26期 2年乡村振兴A】（适用【A】类份额）</w:t>
      </w:r>
    </w:p>
    <w:p>
      <w:pPr>
        <w:ind w:firstLine="1348" w:firstLineChars="749"/>
        <w:rPr>
          <w:rFonts w:ascii="宋体" w:hAnsi="宋体" w:cs="仿宋_GB2312"/>
          <w:kern w:val="0"/>
          <w:sz w:val="18"/>
          <w:szCs w:val="18"/>
        </w:rPr>
      </w:pPr>
      <w:r>
        <w:rPr>
          <w:rFonts w:hint="eastAsia" w:ascii="宋体" w:hAnsi="宋体" w:cs="仿宋_GB2312"/>
          <w:kern w:val="0"/>
          <w:sz w:val="18"/>
          <w:szCs w:val="18"/>
        </w:rPr>
        <w:t>【稳利恒盈7号26期 2年乡村振兴B】（适用【B】类份额）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Z7002022000020</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【758天】</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（产品管理人定义的产品风险评级为【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w:t>
      </w:r>
      <w:r>
        <w:rPr>
          <w:rFonts w:asciiTheme="majorEastAsia" w:hAnsiTheme="majorEastAsia" w:eastAsiaTheme="majorEastAsia"/>
          <w:bCs/>
          <w:color w:val="000000" w:themeColor="text1"/>
          <w:sz w:val="18"/>
          <w:szCs w:val="18"/>
        </w:rPr>
        <w:t>R2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■个人投资者：【□ C1、■ C2、■ C3、■ C4、■ C5、■ C6】。</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pStyle w:val="58"/>
        <w:numPr>
          <w:ilvl w:val="0"/>
          <w:numId w:val="2"/>
        </w:numPr>
        <w:spacing w:line="360" w:lineRule="auto"/>
        <w:ind w:firstLineChars="0"/>
        <w:rPr>
          <w:rFonts w:ascii="宋体" w:hAnsi="宋体" w:cs="仿宋_GB2312"/>
          <w:kern w:val="0"/>
          <w:sz w:val="18"/>
          <w:szCs w:val="18"/>
        </w:rPr>
      </w:pPr>
      <w:r>
        <w:rPr>
          <w:rFonts w:hint="eastAsia" w:ascii="宋体" w:hAnsi="宋体"/>
          <w:sz w:val="18"/>
          <w:szCs w:val="18"/>
        </w:rPr>
        <w:t>投资者投资本产品可能面临的特定风险主要包括（但不限于）：</w:t>
      </w:r>
    </w:p>
    <w:p>
      <w:pPr>
        <w:pStyle w:val="58"/>
        <w:ind w:firstLine="448" w:firstLineChars="0"/>
        <w:rPr>
          <w:rFonts w:ascii="黑体" w:hAnsi="黑体" w:eastAsia="黑体"/>
          <w:sz w:val="18"/>
          <w:szCs w:val="18"/>
        </w:rPr>
      </w:pPr>
      <w:r>
        <w:rPr>
          <w:rFonts w:hint="eastAsia" w:ascii="黑体" w:hAnsi="黑体" w:eastAsia="黑体"/>
          <w:sz w:val="18"/>
          <w:szCs w:val="18"/>
        </w:rPr>
        <w:t>1.拟投资市场和资产的风险：</w:t>
      </w:r>
    </w:p>
    <w:p>
      <w:pPr>
        <w:pStyle w:val="58"/>
        <w:ind w:firstLineChars="0"/>
        <w:rPr>
          <w:rFonts w:ascii="宋体" w:hAnsi="宋体"/>
          <w:sz w:val="18"/>
          <w:szCs w:val="18"/>
        </w:rPr>
      </w:pPr>
      <w:r>
        <w:rPr>
          <w:rFonts w:hint="eastAsia" w:ascii="宋体" w:hAnsi="宋体"/>
          <w:sz w:val="18"/>
          <w:szCs w:val="18"/>
        </w:rPr>
        <w:t>（</w:t>
      </w:r>
      <w:r>
        <w:rPr>
          <w:rFonts w:ascii="宋体" w:hAnsi="宋体"/>
          <w:sz w:val="18"/>
          <w:szCs w:val="18"/>
        </w:rPr>
        <w:t>1）投资固定收益类资产的风险</w:t>
      </w:r>
    </w:p>
    <w:p>
      <w:pPr>
        <w:pStyle w:val="58"/>
        <w:ind w:firstLineChars="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投资</w:t>
      </w:r>
      <w:r>
        <w:rPr>
          <w:rFonts w:hint="eastAsia" w:ascii="宋体" w:hAnsi="宋体"/>
          <w:sz w:val="18"/>
          <w:szCs w:val="18"/>
        </w:rPr>
        <w:t>标准化</w:t>
      </w:r>
      <w:r>
        <w:rPr>
          <w:rFonts w:ascii="宋体" w:hAnsi="宋体"/>
          <w:sz w:val="18"/>
          <w:szCs w:val="18"/>
        </w:rPr>
        <w:t>债权类资产的风险</w:t>
      </w:r>
    </w:p>
    <w:p>
      <w:pPr>
        <w:pStyle w:val="58"/>
        <w:ind w:firstLineChars="0"/>
        <w:rPr>
          <w:rFonts w:ascii="宋体" w:hAnsi="宋体"/>
          <w:sz w:val="18"/>
          <w:szCs w:val="18"/>
        </w:rPr>
      </w:pPr>
      <w:r>
        <w:rPr>
          <w:rFonts w:ascii="宋体" w:hAnsi="宋体"/>
          <w:sz w:val="18"/>
          <w:szCs w:val="18"/>
        </w:rPr>
        <w:t>本产品投资债券</w:t>
      </w:r>
      <w:r>
        <w:rPr>
          <w:rFonts w:hint="eastAsia" w:ascii="宋体" w:hAnsi="宋体"/>
          <w:sz w:val="18"/>
          <w:szCs w:val="18"/>
        </w:rPr>
        <w:t>、资产支持证券等固定收益类资产时可能面临以下风险：</w:t>
      </w:r>
      <w:r>
        <w:rPr>
          <w:rFonts w:ascii="宋体" w:hAnsi="宋体"/>
          <w:sz w:val="18"/>
          <w:szCs w:val="18"/>
        </w:rPr>
        <w:t>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58"/>
        <w:ind w:firstLineChars="0"/>
        <w:rPr>
          <w:rFonts w:ascii="宋体" w:hAnsi="宋体"/>
          <w:sz w:val="18"/>
          <w:szCs w:val="18"/>
        </w:rPr>
      </w:pPr>
      <w:r>
        <w:rPr>
          <w:rFonts w:ascii="宋体" w:hAnsi="宋体"/>
          <w:sz w:val="18"/>
          <w:szCs w:val="18"/>
        </w:rPr>
        <w:t>2）投资非标准化债权类资产</w:t>
      </w:r>
      <w:r>
        <w:rPr>
          <w:rFonts w:hint="eastAsia" w:ascii="宋体" w:hAnsi="宋体"/>
          <w:sz w:val="18"/>
          <w:szCs w:val="18"/>
        </w:rPr>
        <w:t>的</w:t>
      </w:r>
      <w:r>
        <w:rPr>
          <w:rFonts w:ascii="宋体" w:hAnsi="宋体"/>
          <w:sz w:val="18"/>
          <w:szCs w:val="18"/>
        </w:rPr>
        <w:t>风险</w:t>
      </w:r>
    </w:p>
    <w:p>
      <w:pPr>
        <w:pStyle w:val="58"/>
        <w:ind w:firstLineChars="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58"/>
        <w:ind w:firstLineChars="0"/>
        <w:rPr>
          <w:rFonts w:ascii="宋体" w:hAnsi="宋体"/>
          <w:sz w:val="18"/>
          <w:szCs w:val="18"/>
        </w:rPr>
      </w:pPr>
      <w:r>
        <w:rPr>
          <w:rFonts w:hint="eastAsia" w:ascii="宋体" w:hAnsi="宋体"/>
          <w:sz w:val="18"/>
          <w:szCs w:val="18"/>
        </w:rPr>
        <w:t>（2）投资</w:t>
      </w:r>
      <w:r>
        <w:rPr>
          <w:rFonts w:ascii="宋体" w:hAnsi="宋体"/>
          <w:sz w:val="18"/>
          <w:szCs w:val="18"/>
        </w:rPr>
        <w:t>权益类资产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58"/>
        <w:ind w:firstLineChars="0"/>
        <w:rPr>
          <w:rFonts w:ascii="宋体" w:hAnsi="宋体"/>
          <w:sz w:val="18"/>
          <w:szCs w:val="18"/>
        </w:rPr>
      </w:pPr>
      <w:r>
        <w:rPr>
          <w:rFonts w:hint="eastAsia" w:ascii="宋体" w:hAnsi="宋体"/>
          <w:sz w:val="18"/>
          <w:szCs w:val="18"/>
        </w:rPr>
        <w:t>1）投资股票类资产的风险</w:t>
      </w:r>
    </w:p>
    <w:p>
      <w:pPr>
        <w:pStyle w:val="58"/>
        <w:ind w:firstLineChars="0"/>
        <w:rPr>
          <w:rFonts w:ascii="宋体" w:hAnsi="宋体"/>
          <w:sz w:val="18"/>
          <w:szCs w:val="18"/>
        </w:rPr>
      </w:pPr>
      <w:r>
        <w:rPr>
          <w:rFonts w:ascii="宋体" w:hAnsi="宋体"/>
          <w:sz w:val="18"/>
          <w:szCs w:val="18"/>
        </w:rPr>
        <w:t>本产品投资股票类资产时可能面临以下风险</w:t>
      </w:r>
      <w:r>
        <w:rPr>
          <w:rFonts w:hint="eastAsia" w:ascii="宋体" w:hAnsi="宋体"/>
          <w:sz w:val="18"/>
          <w:szCs w:val="18"/>
        </w:rPr>
        <w:t>：</w:t>
      </w:r>
      <w:r>
        <w:rPr>
          <w:rFonts w:ascii="宋体" w:hAnsi="宋体"/>
          <w:sz w:val="18"/>
          <w:szCs w:val="18"/>
        </w:rPr>
        <w:t>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pStyle w:val="58"/>
        <w:ind w:firstLineChars="0"/>
        <w:rPr>
          <w:rFonts w:ascii="宋体" w:hAnsi="宋体"/>
          <w:sz w:val="18"/>
          <w:szCs w:val="18"/>
        </w:rPr>
      </w:pPr>
      <w:r>
        <w:rPr>
          <w:rFonts w:hint="eastAsia" w:ascii="宋体" w:hAnsi="宋体"/>
          <w:sz w:val="18"/>
          <w:szCs w:val="18"/>
        </w:rPr>
        <w:t>2）投资股权类资产的风险</w:t>
      </w:r>
    </w:p>
    <w:p>
      <w:pPr>
        <w:rPr>
          <w:rFonts w:ascii="宋体" w:hAnsi="宋体"/>
          <w:sz w:val="18"/>
          <w:szCs w:val="18"/>
        </w:rPr>
      </w:pPr>
      <w:r>
        <w:rPr>
          <w:rFonts w:ascii="宋体" w:hAnsi="宋体"/>
          <w:sz w:val="18"/>
          <w:szCs w:val="18"/>
        </w:rPr>
        <w:t>本产品投资未上市股权类资产时可能面临以下风险</w:t>
      </w:r>
      <w:r>
        <w:rPr>
          <w:rFonts w:hint="eastAsia" w:ascii="宋体" w:hAnsi="宋体"/>
          <w:sz w:val="18"/>
          <w:szCs w:val="18"/>
        </w:rPr>
        <w:t>：</w:t>
      </w:r>
      <w:r>
        <w:rPr>
          <w:rFonts w:ascii="宋体" w:hAnsi="宋体"/>
          <w:sz w:val="18"/>
          <w:szCs w:val="18"/>
        </w:rPr>
        <w:t>国家政策、经济周期、行业政策</w:t>
      </w:r>
      <w:r>
        <w:rPr>
          <w:rFonts w:hint="eastAsia" w:ascii="宋体" w:hAnsi="宋体"/>
          <w:sz w:val="18"/>
          <w:szCs w:val="18"/>
        </w:rPr>
        <w:t>等因素可能发生变化导致的市场风险；</w:t>
      </w:r>
      <w:r>
        <w:rPr>
          <w:rFonts w:ascii="宋体" w:hAnsi="宋体"/>
          <w:sz w:val="18"/>
          <w:szCs w:val="18"/>
        </w:rPr>
        <w:t>因市场、技术、竞争、管理、财务等导致公司盈利发生变化，其</w:t>
      </w:r>
      <w:r>
        <w:rPr>
          <w:rFonts w:hint="eastAsia" w:ascii="宋体" w:hAnsi="宋体"/>
          <w:sz w:val="18"/>
          <w:szCs w:val="18"/>
        </w:rPr>
        <w:t>股权</w:t>
      </w:r>
      <w:r>
        <w:rPr>
          <w:rFonts w:ascii="宋体" w:hAnsi="宋体"/>
          <w:sz w:val="18"/>
          <w:szCs w:val="18"/>
        </w:rPr>
        <w:t>价值可能下跌，影响投资者收益</w:t>
      </w:r>
      <w:r>
        <w:rPr>
          <w:rFonts w:hint="eastAsia" w:ascii="宋体" w:hAnsi="宋体"/>
          <w:sz w:val="18"/>
          <w:szCs w:val="18"/>
        </w:rPr>
        <w:t>；</w:t>
      </w:r>
      <w:r>
        <w:rPr>
          <w:rFonts w:ascii="宋体" w:hAnsi="宋体"/>
          <w:sz w:val="18"/>
          <w:szCs w:val="18"/>
        </w:rPr>
        <w:t>因股权未上市或存在相关限制股权转让的协议导致的流动性风险等</w:t>
      </w:r>
      <w:r>
        <w:rPr>
          <w:rFonts w:hint="eastAsia" w:ascii="宋体" w:hAnsi="宋体"/>
          <w:sz w:val="18"/>
          <w:szCs w:val="18"/>
        </w:rPr>
        <w:t>。</w:t>
      </w:r>
    </w:p>
    <w:p>
      <w:pPr>
        <w:pStyle w:val="58"/>
        <w:ind w:firstLineChars="0"/>
        <w:rPr>
          <w:rFonts w:ascii="宋体" w:hAnsi="宋体"/>
          <w:sz w:val="18"/>
          <w:szCs w:val="18"/>
        </w:rPr>
      </w:pPr>
      <w:r>
        <w:rPr>
          <w:rFonts w:hint="eastAsia" w:ascii="宋体" w:hAnsi="宋体"/>
          <w:sz w:val="18"/>
          <w:szCs w:val="18"/>
        </w:rPr>
        <w:t>（</w:t>
      </w:r>
      <w:r>
        <w:rPr>
          <w:rFonts w:ascii="宋体" w:hAnsi="宋体"/>
          <w:sz w:val="18"/>
          <w:szCs w:val="18"/>
        </w:rPr>
        <w:t>3）投资商品和金融衍生品类资产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58"/>
        <w:ind w:firstLineChars="0"/>
        <w:rPr>
          <w:rFonts w:ascii="宋体" w:hAnsi="宋体"/>
          <w:sz w:val="18"/>
          <w:szCs w:val="18"/>
        </w:rPr>
      </w:pPr>
      <w:r>
        <w:rPr>
          <w:rFonts w:ascii="宋体" w:hAnsi="宋体"/>
          <w:sz w:val="18"/>
          <w:szCs w:val="18"/>
        </w:rPr>
        <w:t>本产品投资商品和金融衍生品类资产时</w:t>
      </w:r>
      <w:r>
        <w:rPr>
          <w:rFonts w:hint="eastAsia" w:ascii="宋体" w:hAnsi="宋体"/>
          <w:sz w:val="18"/>
          <w:szCs w:val="18"/>
        </w:rPr>
        <w:t>可能面临以下风险：该衍生品资产</w:t>
      </w:r>
      <w:r>
        <w:rPr>
          <w:rFonts w:ascii="宋体" w:hAnsi="宋体"/>
          <w:sz w:val="18"/>
          <w:szCs w:val="18"/>
        </w:rPr>
        <w:t>可能实行保证金交易制度，具有高杠杆性，高杠杆效应放大了价格波动风险；若本产品运作中出现基差</w:t>
      </w:r>
      <w:r>
        <w:rPr>
          <w:rFonts w:hint="eastAsia" w:ascii="宋体" w:hAnsi="宋体"/>
          <w:sz w:val="18"/>
          <w:szCs w:val="18"/>
        </w:rPr>
        <w:t>（注：</w:t>
      </w:r>
      <w:r>
        <w:rPr>
          <w:rFonts w:ascii="宋体" w:hAnsi="宋体"/>
          <w:sz w:val="18"/>
          <w:szCs w:val="18"/>
        </w:rPr>
        <w:t>基差是指现货价格与期货价格之间的差额</w:t>
      </w:r>
      <w:r>
        <w:rPr>
          <w:rFonts w:hint="eastAsia" w:ascii="宋体" w:hAnsi="宋体"/>
          <w:sz w:val="18"/>
          <w:szCs w:val="18"/>
        </w:rPr>
        <w:t>）</w:t>
      </w:r>
      <w:r>
        <w:rPr>
          <w:rFonts w:ascii="宋体" w:hAnsi="宋体"/>
          <w:sz w:val="18"/>
          <w:szCs w:val="18"/>
        </w:rPr>
        <w:t>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58"/>
        <w:ind w:firstLine="361"/>
        <w:rPr>
          <w:rFonts w:ascii="黑体" w:hAnsi="黑体" w:eastAsia="黑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 xml:space="preserve">注：以上特定风险仅为列举性质，未能详尽列明投资本产品可能面临的全部风险和可能导致投资者投资本金及收益损失的所有因素。  </w:t>
      </w:r>
    </w:p>
    <w:p>
      <w:pPr>
        <w:pStyle w:val="58"/>
        <w:ind w:firstLine="426" w:firstLineChars="0"/>
        <w:rPr>
          <w:rFonts w:ascii="宋体" w:hAnsi="宋体"/>
          <w:sz w:val="18"/>
          <w:szCs w:val="18"/>
        </w:rPr>
      </w:pPr>
      <w:r>
        <w:rPr>
          <w:rFonts w:hint="eastAsia" w:ascii="宋体" w:hAnsi="宋体"/>
          <w:sz w:val="18"/>
          <w:szCs w:val="18"/>
        </w:rPr>
        <w:t xml:space="preserve">（二）投资者投资本产品可能面临的一般风险主要包括（但不限于）： </w:t>
      </w:r>
    </w:p>
    <w:p>
      <w:pPr>
        <w:pStyle w:val="58"/>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58"/>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58"/>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58"/>
        <w:ind w:firstLine="426" w:firstLineChars="0"/>
        <w:rPr>
          <w:rFonts w:ascii="宋体" w:hAnsi="宋体" w:cs="仿宋_GB2312"/>
          <w:bCs/>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58"/>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58"/>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58"/>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58"/>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58"/>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58"/>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58"/>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58"/>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当前述资产管理产品计提业绩报酬时，本理财产品的产品份额净值存在下跌的风险。</w:t>
      </w:r>
    </w:p>
    <w:p>
      <w:pPr>
        <w:pStyle w:val="58"/>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58"/>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58"/>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58"/>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b/>
          <w:sz w:val="18"/>
          <w:szCs w:val="18"/>
        </w:rPr>
      </w:pPr>
      <w:r>
        <w:rPr>
          <w:rFonts w:hint="eastAsia" w:ascii="黑体" w:hAnsi="黑体" w:eastAsia="黑体" w:cs="仿宋_GB2312"/>
          <w:b/>
          <w:kern w:val="0"/>
          <w:sz w:val="18"/>
          <w:szCs w:val="18"/>
        </w:rPr>
        <w:t>（三）</w:t>
      </w:r>
      <w:r>
        <w:rPr>
          <w:rFonts w:hint="eastAsia" w:hAnsi="宋体"/>
          <w:b/>
          <w:sz w:val="18"/>
          <w:szCs w:val="18"/>
        </w:rPr>
        <w:t>★</w:t>
      </w:r>
      <w:r>
        <w:rPr>
          <w:rFonts w:hint="eastAsia" w:ascii="黑体" w:hAnsi="黑体" w:eastAsia="黑体" w:cs="仿宋_GB2312"/>
          <w:b/>
          <w:kern w:val="0"/>
          <w:sz w:val="18"/>
          <w:szCs w:val="18"/>
        </w:rPr>
        <w:t>最不利投资情形下的投资结果示例：</w:t>
      </w:r>
      <w:r>
        <w:rPr>
          <w:rFonts w:hint="eastAsia" w:ascii="黑体" w:hAnsi="黑体" w:eastAsia="黑体"/>
          <w:b/>
          <w:bCs/>
          <w:sz w:val="18"/>
          <w:szCs w:val="18"/>
        </w:rPr>
        <w:t>产品管理人对本产品的理财本金和收益不提供保证承诺，</w:t>
      </w:r>
      <w:r>
        <w:rPr>
          <w:rFonts w:hint="eastAsia" w:ascii="黑体" w:hAnsi="黑体" w:eastAsia="黑体"/>
          <w:b/>
          <w:sz w:val="18"/>
          <w:szCs w:val="18"/>
        </w:rPr>
        <w:t>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25"/>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25"/>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5" w:type="default"/>
          <w:footerReference r:id="rId16" w:type="default"/>
          <w:pgSz w:w="11906" w:h="16838"/>
          <w:pgMar w:top="1440" w:right="1800" w:bottom="1440" w:left="1800" w:header="851" w:footer="992" w:gutter="0"/>
          <w:cols w:space="425" w:num="1"/>
          <w:docGrid w:type="lines" w:linePitch="312" w:charSpace="0"/>
        </w:sectPr>
      </w:pP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兴银理财【天天万利宝稳利恒盈】净值型理财产品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】以(□ 直销：产品管理人销售/</w:t>
      </w:r>
      <w:r>
        <w:rPr>
          <w:rFonts w:hint="eastAsia" w:asciiTheme="majorEastAsia" w:hAnsiTheme="majorEastAsia" w:eastAsiaTheme="majorEastAsia"/>
          <w:bCs/>
          <w:color w:val="000000" w:themeColor="text1"/>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hint="eastAsia" w:ascii="宋体" w:hAnsi="宋体"/>
          <w:sz w:val="18"/>
          <w:szCs w:val="18"/>
        </w:rPr>
        <w:t>产品管理人</w:t>
      </w:r>
      <w:r>
        <w:rPr>
          <w:rFonts w:ascii="宋体" w:hAnsi="宋体"/>
          <w:sz w:val="18"/>
          <w:szCs w:val="18"/>
        </w:rPr>
        <w:t>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首次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投资者风险承受能力，个人投资者由低至高分为【C1至C</w:t>
      </w:r>
      <w:r>
        <w:rPr>
          <w:rFonts w:ascii="宋体" w:hAnsi="宋体"/>
          <w:sz w:val="18"/>
          <w:szCs w:val="18"/>
        </w:rPr>
        <w:t>6六</w:t>
      </w:r>
      <w:r>
        <w:rPr>
          <w:rFonts w:hint="eastAsia" w:ascii="宋体" w:hAnsi="宋体"/>
          <w:sz w:val="18"/>
          <w:szCs w:val="18"/>
        </w:rPr>
        <w:t>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【C6】</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3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325"/>
        <w:gridCol w:w="5311"/>
        <w:gridCol w:w="17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风险评级</w:t>
            </w:r>
          </w:p>
        </w:tc>
        <w:tc>
          <w:tcPr>
            <w:tcW w:w="5311"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评级说明</w:t>
            </w:r>
          </w:p>
        </w:tc>
        <w:tc>
          <w:tcPr>
            <w:tcW w:w="1713"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投资者对象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安逸型（R1）</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本金风险低，产品投资目标不能实现的概率较低；或投资范围仅限于货币市场工具等风险极低的短期金融资产。</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安逸型（C1）及以上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谨慎型（R2）</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本金风险相对较小，收益浮动但相对较小。产品结构简单，过往业绩及净值的历史波动率低；投资标的流动性很好或为较高等级的信用主体；或者衍生品及杠杆交易对净值波动极小；估值政策清晰。</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谨慎型（C2）及以上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稳健型（R3）</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产品有一定的本金风险，收益浮动且有一定波动。产品结构简单，过往业绩及净值的历史波动率较低；投资标的流动性好或为中等及以上的信用主体；或者投资衍生品以套期保值为目的，衍生品及杠杆交易对净值波动较小；估值政策清晰。</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稳健型（C3）及以上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增长型（R4）</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产品本金风险较大。产品主要投资于流动性较好的投资标的，产品结构简单，但收益浮动且波动很大，过往业绩及净值的历史波动率较高；或者投资标的流动性较差或为中等以下的信用主体，但产品结构简单，且不投资于衍生品及杠杆交易；估值政策简单；或者投资衍生品以套期保值为目的，衍生品及杠杆交易对净值波动较大，估值政策较清晰。</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增长型（C4）及以上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进取型（R5）</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产品本金风险很大，收益浮动且波动很大。产品结构较复杂，过往业绩及净值的历史波动率高；或者投资标的流动性较差或为低等级的信用主体，期限较长；或者投资衍生品以追求收益为目的，衍生品及杠杆交易对净值波动很大；估值政策较复杂。投资者要作出谨慎的产品选择，积极的关注相关风险。</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进取型（C5）及以上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32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激进型（R6）</w:t>
            </w:r>
          </w:p>
        </w:tc>
        <w:tc>
          <w:tcPr>
            <w:tcW w:w="5311" w:type="dxa"/>
            <w:vAlign w:val="center"/>
          </w:tcPr>
          <w:p>
            <w:pPr>
              <w:rPr>
                <w:rFonts w:ascii="宋体" w:hAnsi="宋体"/>
                <w:color w:val="000000" w:themeColor="text1"/>
                <w:sz w:val="18"/>
                <w:szCs w:val="18"/>
              </w:rPr>
            </w:pPr>
            <w:r>
              <w:rPr>
                <w:rFonts w:hint="eastAsia" w:ascii="宋体" w:hAnsi="宋体"/>
                <w:color w:val="000000" w:themeColor="text1"/>
                <w:sz w:val="18"/>
                <w:szCs w:val="18"/>
              </w:rPr>
              <w:t>产品本金风险极大，收益浮动且波动极大。产品结构复杂，过往业绩及净值的历史波动率很高；或者投资标的流动性很差或为极低等级的信用主体，期限很长；或者投资衍生品以追求收益为目的，衍生品及杠杆交易对净值波动极大；估值政策非常复杂。投资者需要非常谨慎的产品选择、十分积极的关注相关风险。</w:t>
            </w:r>
          </w:p>
        </w:tc>
        <w:tc>
          <w:tcPr>
            <w:tcW w:w="1713" w:type="dxa"/>
            <w:vAlign w:val="center"/>
          </w:tcPr>
          <w:p>
            <w:pPr>
              <w:rPr>
                <w:rFonts w:ascii="宋体" w:hAnsi="宋体"/>
                <w:color w:val="000000" w:themeColor="text1"/>
                <w:sz w:val="18"/>
                <w:szCs w:val="18"/>
              </w:rPr>
            </w:pPr>
            <w:r>
              <w:rPr>
                <w:rFonts w:hint="eastAsia" w:ascii="宋体" w:hAnsi="宋体"/>
                <w:color w:val="000000" w:themeColor="text1"/>
                <w:sz w:val="18"/>
                <w:szCs w:val="18"/>
              </w:rPr>
              <w:t xml:space="preserve">激进型（C6） </w:t>
            </w:r>
          </w:p>
        </w:tc>
      </w:tr>
    </w:tbl>
    <w:p>
      <w:pPr>
        <w:ind w:firstLine="360" w:firstLineChars="200"/>
        <w:rPr>
          <w:rFonts w:ascii="黑体" w:hAnsi="黑体" w:eastAsia="黑体" w:cs="仿宋_GB2312"/>
          <w:bCs/>
          <w:kern w:val="0"/>
          <w:sz w:val="18"/>
          <w:szCs w:val="18"/>
        </w:rPr>
      </w:pPr>
    </w:p>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理财产品的信息披露将通过兴业银行</w:t>
      </w:r>
      <w:r>
        <w:rPr>
          <w:rFonts w:asciiTheme="minorEastAsia" w:hAnsiTheme="minorEastAsia"/>
          <w:sz w:val="18"/>
          <w:szCs w:val="18"/>
        </w:rPr>
        <w:t>或</w:t>
      </w:r>
      <w:r>
        <w:rPr>
          <w:rFonts w:hint="eastAsia" w:asciiTheme="minorEastAsia" w:hAnsiTheme="minorEastAsia"/>
          <w:sz w:val="18"/>
          <w:szCs w:val="18"/>
        </w:rPr>
        <w:t>销售机构</w:t>
      </w:r>
      <w:r>
        <w:rPr>
          <w:rFonts w:hint="eastAsia" w:ascii="宋体" w:hAnsi="宋体"/>
          <w:bCs/>
          <w:sz w:val="18"/>
          <w:szCs w:val="18"/>
        </w:rPr>
        <w:t>的信息披露渠道（包括但不限于兴业</w:t>
      </w:r>
      <w:r>
        <w:rPr>
          <w:rFonts w:ascii="宋体" w:hAnsi="宋体"/>
          <w:bCs/>
          <w:sz w:val="18"/>
          <w:szCs w:val="18"/>
        </w:rPr>
        <w:t>银</w:t>
      </w:r>
      <w:r>
        <w:rPr>
          <w:rFonts w:hint="eastAsia" w:ascii="宋体" w:hAnsi="宋体"/>
          <w:bCs/>
          <w:sz w:val="18"/>
          <w:szCs w:val="18"/>
        </w:rPr>
        <w:t>行或销售机构的营业网点、门户网站、电子销售渠道等）进行。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信息披露条款</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ascii="宋体" w:hAnsi="宋体"/>
          <w:sz w:val="18"/>
          <w:szCs w:val="18"/>
        </w:rPr>
        <w:t>通过</w:t>
      </w:r>
      <w:r>
        <w:rPr>
          <w:rFonts w:hint="eastAsia" w:ascii="宋体" w:hAnsi="宋体"/>
          <w:sz w:val="18"/>
          <w:szCs w:val="18"/>
        </w:rPr>
        <w:t>兴业银行（作为销售机构）购</w:t>
      </w:r>
      <w:r>
        <w:rPr>
          <w:rFonts w:ascii="宋体" w:hAnsi="宋体"/>
          <w:sz w:val="18"/>
          <w:szCs w:val="18"/>
        </w:rPr>
        <w:t>买本产品的请联系兴业银行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兴银理财【天天万利宝稳利恒盈】理财产品</w:t>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w:t>
      </w:r>
      <w:r>
        <w:rPr>
          <w:rFonts w:hint="eastAsia" w:asciiTheme="majorEastAsia" w:hAnsiTheme="majorEastAsia" w:eastAsiaTheme="majorEastAsia"/>
          <w:bCs/>
          <w:color w:val="000000" w:themeColor="text1"/>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首次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投资者风险承受能力，机构投资者由低至高分为【C1至C5五个等级】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【C5】</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 xml:space="preserve"> </w:t>
      </w: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spacing w:line="280" w:lineRule="atLeast"/>
        <w:jc w:val="left"/>
        <w:rPr>
          <w:rFonts w:ascii="仿宋_GB2312" w:eastAsia="仿宋_GB2312" w:cs="仿宋_GB2312"/>
          <w:color w:val="000000"/>
          <w:kern w:val="0"/>
          <w:sz w:val="24"/>
          <w:szCs w:val="24"/>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jc w:val="right"/>
        <w:rPr>
          <w:rFonts w:ascii="宋体" w:hAnsi="宋体"/>
          <w:sz w:val="18"/>
          <w:szCs w:val="18"/>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兴银理财【天天万利宝稳利恒盈】理财产品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】以(□ 直销：产品管理人销售/</w:t>
      </w:r>
      <w:r>
        <w:rPr>
          <w:rFonts w:hint="eastAsia" w:asciiTheme="majorEastAsia" w:hAnsiTheme="majorEastAsia" w:eastAsiaTheme="majorEastAsia"/>
          <w:bCs/>
          <w:color w:val="000000" w:themeColor="text1"/>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
      <w:pPr>
        <w:spacing w:line="360" w:lineRule="auto"/>
        <w:jc w:val="left"/>
        <w:rPr>
          <w:rFonts w:hint="eastAsia" w:ascii="宋体" w:hAnsi="宋体"/>
          <w:b/>
          <w:sz w:val="18"/>
          <w:szCs w:val="18"/>
        </w:rPr>
      </w:pPr>
    </w:p>
    <w:bookmarkEnd w:id="243"/>
    <w:sectPr>
      <w:headerReference r:id="rId17" w:type="default"/>
      <w:footerReference r:id="rId1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5</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32</w:t>
        </w:r>
        <w:r>
          <w:fldChar w:fldCharType="end"/>
        </w:r>
      </w:p>
    </w:sdtContent>
  </w:sdt>
  <w:p>
    <w:pPr>
      <w:pStyle w:val="8"/>
      <w:jc w:val="both"/>
      <w:rPr>
        <w:rFonts w:ascii="黑体" w:hAnsi="黑体" w:eastAsia="黑体"/>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14"/>
          <w:jc w:val="center"/>
        </w:pPr>
        <w:r>
          <w:rPr>
            <w:rFonts w:hint="eastAsia"/>
          </w:rPr>
          <w:t>第</w:t>
        </w:r>
        <w:r>
          <w:fldChar w:fldCharType="begin"/>
        </w:r>
        <w:r>
          <w:instrText xml:space="preserve">PAGE   \* MERGEFORMAT</w:instrText>
        </w:r>
        <w:r>
          <w:fldChar w:fldCharType="separate"/>
        </w:r>
        <w:r>
          <w:rPr>
            <w:lang w:val="zh-CN"/>
          </w:rPr>
          <w:t>2</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15"/>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1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投资者权益须知</w:t>
    </w:r>
  </w:p>
  <w:p>
    <w:pPr>
      <w:pStyle w:val="15"/>
      <w:pBdr>
        <w:bottom w:val="thickThinLargeGap" w:color="auto" w:sz="24" w:space="10"/>
      </w:pBdr>
      <w:tabs>
        <w:tab w:val="right" w:pos="8280"/>
      </w:tabs>
      <w:wordWrap w:val="0"/>
      <w:adjustRightInd w:val="0"/>
      <w:ind w:firstLine="181" w:firstLineChars="10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abstractNum w:abstractNumId="1">
    <w:nsid w:val="49C70D5B"/>
    <w:multiLevelType w:val="multilevel"/>
    <w:tmpl w:val="49C70D5B"/>
    <w:lvl w:ilvl="0" w:tentative="0">
      <w:start w:val="1"/>
      <w:numFmt w:val="japaneseCounting"/>
      <w:lvlText w:val="（%1）"/>
      <w:lvlJc w:val="left"/>
      <w:pPr>
        <w:ind w:left="1080" w:hanging="720"/>
      </w:pPr>
      <w:rPr>
        <w:rFonts w:hint="default" w:cs="宋体"/>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172D"/>
    <w:rsid w:val="00012205"/>
    <w:rsid w:val="0001389C"/>
    <w:rsid w:val="000141A7"/>
    <w:rsid w:val="000209B7"/>
    <w:rsid w:val="00021451"/>
    <w:rsid w:val="000215C7"/>
    <w:rsid w:val="00021BF7"/>
    <w:rsid w:val="00023F0A"/>
    <w:rsid w:val="0002724F"/>
    <w:rsid w:val="00030239"/>
    <w:rsid w:val="0003198D"/>
    <w:rsid w:val="00032F2C"/>
    <w:rsid w:val="000345D6"/>
    <w:rsid w:val="000365A1"/>
    <w:rsid w:val="0004166F"/>
    <w:rsid w:val="00042221"/>
    <w:rsid w:val="00042E95"/>
    <w:rsid w:val="00045C60"/>
    <w:rsid w:val="00045FF7"/>
    <w:rsid w:val="00055256"/>
    <w:rsid w:val="00055E1D"/>
    <w:rsid w:val="00060AA2"/>
    <w:rsid w:val="0006286C"/>
    <w:rsid w:val="00063E11"/>
    <w:rsid w:val="00065143"/>
    <w:rsid w:val="00067077"/>
    <w:rsid w:val="00067E29"/>
    <w:rsid w:val="0007676B"/>
    <w:rsid w:val="00077B06"/>
    <w:rsid w:val="00081682"/>
    <w:rsid w:val="0008289A"/>
    <w:rsid w:val="00083216"/>
    <w:rsid w:val="00083712"/>
    <w:rsid w:val="00091DC7"/>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5A7D"/>
    <w:rsid w:val="00116696"/>
    <w:rsid w:val="00117923"/>
    <w:rsid w:val="00123583"/>
    <w:rsid w:val="001249B1"/>
    <w:rsid w:val="00124ADF"/>
    <w:rsid w:val="001250BB"/>
    <w:rsid w:val="001256B2"/>
    <w:rsid w:val="00125A39"/>
    <w:rsid w:val="00136F50"/>
    <w:rsid w:val="00145951"/>
    <w:rsid w:val="00145FB3"/>
    <w:rsid w:val="00150F88"/>
    <w:rsid w:val="00151C5F"/>
    <w:rsid w:val="00153821"/>
    <w:rsid w:val="00153A6A"/>
    <w:rsid w:val="0015605F"/>
    <w:rsid w:val="00156B9B"/>
    <w:rsid w:val="00166F3C"/>
    <w:rsid w:val="001676C5"/>
    <w:rsid w:val="001719A6"/>
    <w:rsid w:val="00172A27"/>
    <w:rsid w:val="001739F3"/>
    <w:rsid w:val="00174864"/>
    <w:rsid w:val="00176250"/>
    <w:rsid w:val="001767D5"/>
    <w:rsid w:val="00180944"/>
    <w:rsid w:val="00181F8E"/>
    <w:rsid w:val="00183919"/>
    <w:rsid w:val="00184F16"/>
    <w:rsid w:val="001913D5"/>
    <w:rsid w:val="0019368D"/>
    <w:rsid w:val="001A0DEE"/>
    <w:rsid w:val="001A331C"/>
    <w:rsid w:val="001A3B4F"/>
    <w:rsid w:val="001B3D1B"/>
    <w:rsid w:val="001C2E83"/>
    <w:rsid w:val="001C5549"/>
    <w:rsid w:val="001C5FB8"/>
    <w:rsid w:val="001C627B"/>
    <w:rsid w:val="001C6A43"/>
    <w:rsid w:val="001D33CF"/>
    <w:rsid w:val="001D5339"/>
    <w:rsid w:val="001D5DA7"/>
    <w:rsid w:val="001D6D21"/>
    <w:rsid w:val="001E09D0"/>
    <w:rsid w:val="001E0B5B"/>
    <w:rsid w:val="001E22BC"/>
    <w:rsid w:val="001E4956"/>
    <w:rsid w:val="001E604C"/>
    <w:rsid w:val="001E7309"/>
    <w:rsid w:val="001F0442"/>
    <w:rsid w:val="001F0C20"/>
    <w:rsid w:val="001F213C"/>
    <w:rsid w:val="001F3442"/>
    <w:rsid w:val="001F3518"/>
    <w:rsid w:val="001F5553"/>
    <w:rsid w:val="001F5D35"/>
    <w:rsid w:val="001F764C"/>
    <w:rsid w:val="002024A1"/>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73D3"/>
    <w:rsid w:val="00241594"/>
    <w:rsid w:val="00241D65"/>
    <w:rsid w:val="00244658"/>
    <w:rsid w:val="00246158"/>
    <w:rsid w:val="002464CF"/>
    <w:rsid w:val="00246E81"/>
    <w:rsid w:val="002476E6"/>
    <w:rsid w:val="00252015"/>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B66DC"/>
    <w:rsid w:val="002C13C1"/>
    <w:rsid w:val="002C27E7"/>
    <w:rsid w:val="002C3012"/>
    <w:rsid w:val="002C7D8E"/>
    <w:rsid w:val="002D121A"/>
    <w:rsid w:val="002D407E"/>
    <w:rsid w:val="002E0E0E"/>
    <w:rsid w:val="002E2C93"/>
    <w:rsid w:val="002E388A"/>
    <w:rsid w:val="002E4681"/>
    <w:rsid w:val="002E6E2C"/>
    <w:rsid w:val="002F1BB8"/>
    <w:rsid w:val="002F1C19"/>
    <w:rsid w:val="002F228E"/>
    <w:rsid w:val="002F3164"/>
    <w:rsid w:val="002F354F"/>
    <w:rsid w:val="002F467D"/>
    <w:rsid w:val="002F5D80"/>
    <w:rsid w:val="002F6D00"/>
    <w:rsid w:val="002F7889"/>
    <w:rsid w:val="003018A8"/>
    <w:rsid w:val="003052A7"/>
    <w:rsid w:val="00306441"/>
    <w:rsid w:val="003161C7"/>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071"/>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1B14"/>
    <w:rsid w:val="004132EA"/>
    <w:rsid w:val="004134A1"/>
    <w:rsid w:val="00414562"/>
    <w:rsid w:val="0042301D"/>
    <w:rsid w:val="00423612"/>
    <w:rsid w:val="00424866"/>
    <w:rsid w:val="00426FD8"/>
    <w:rsid w:val="00431E1F"/>
    <w:rsid w:val="00433900"/>
    <w:rsid w:val="00435E5C"/>
    <w:rsid w:val="00436CF2"/>
    <w:rsid w:val="00437361"/>
    <w:rsid w:val="00444664"/>
    <w:rsid w:val="00444AD5"/>
    <w:rsid w:val="00445CFA"/>
    <w:rsid w:val="00446E41"/>
    <w:rsid w:val="00446FBB"/>
    <w:rsid w:val="0045304A"/>
    <w:rsid w:val="004530E2"/>
    <w:rsid w:val="0045487E"/>
    <w:rsid w:val="0045508F"/>
    <w:rsid w:val="00460B00"/>
    <w:rsid w:val="00467615"/>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D117B"/>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6024C"/>
    <w:rsid w:val="005602FE"/>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723E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2B7"/>
    <w:rsid w:val="006B7502"/>
    <w:rsid w:val="006C1201"/>
    <w:rsid w:val="006C14BB"/>
    <w:rsid w:val="006C7443"/>
    <w:rsid w:val="006D1109"/>
    <w:rsid w:val="006D4A61"/>
    <w:rsid w:val="006D6CDD"/>
    <w:rsid w:val="006D7EB4"/>
    <w:rsid w:val="006E07CD"/>
    <w:rsid w:val="006E4978"/>
    <w:rsid w:val="006F08E6"/>
    <w:rsid w:val="006F0FA1"/>
    <w:rsid w:val="006F1407"/>
    <w:rsid w:val="006F159D"/>
    <w:rsid w:val="006F3061"/>
    <w:rsid w:val="006F35E0"/>
    <w:rsid w:val="006F4C91"/>
    <w:rsid w:val="006F6966"/>
    <w:rsid w:val="006F6C9E"/>
    <w:rsid w:val="007003CA"/>
    <w:rsid w:val="00705A9A"/>
    <w:rsid w:val="00705AB8"/>
    <w:rsid w:val="00716497"/>
    <w:rsid w:val="00720B3A"/>
    <w:rsid w:val="007216E0"/>
    <w:rsid w:val="007219F7"/>
    <w:rsid w:val="00726D7A"/>
    <w:rsid w:val="00731391"/>
    <w:rsid w:val="00731CC4"/>
    <w:rsid w:val="0073299F"/>
    <w:rsid w:val="00734BC4"/>
    <w:rsid w:val="007369E8"/>
    <w:rsid w:val="00737544"/>
    <w:rsid w:val="00737E91"/>
    <w:rsid w:val="00741156"/>
    <w:rsid w:val="0074401B"/>
    <w:rsid w:val="00744F5D"/>
    <w:rsid w:val="007512CC"/>
    <w:rsid w:val="007567D7"/>
    <w:rsid w:val="00757C87"/>
    <w:rsid w:val="0076256C"/>
    <w:rsid w:val="00764FE5"/>
    <w:rsid w:val="00770687"/>
    <w:rsid w:val="00773445"/>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40AA"/>
    <w:rsid w:val="007E519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1572"/>
    <w:rsid w:val="00833DA0"/>
    <w:rsid w:val="00837439"/>
    <w:rsid w:val="0084117B"/>
    <w:rsid w:val="00842ECC"/>
    <w:rsid w:val="00844C52"/>
    <w:rsid w:val="00844FAC"/>
    <w:rsid w:val="00847D06"/>
    <w:rsid w:val="008526AD"/>
    <w:rsid w:val="00852A74"/>
    <w:rsid w:val="00853C9B"/>
    <w:rsid w:val="0085467A"/>
    <w:rsid w:val="00855E29"/>
    <w:rsid w:val="00856912"/>
    <w:rsid w:val="00862721"/>
    <w:rsid w:val="00863B57"/>
    <w:rsid w:val="00870710"/>
    <w:rsid w:val="00871266"/>
    <w:rsid w:val="00871450"/>
    <w:rsid w:val="008739A5"/>
    <w:rsid w:val="00895DC9"/>
    <w:rsid w:val="008A3830"/>
    <w:rsid w:val="008A5426"/>
    <w:rsid w:val="008A6706"/>
    <w:rsid w:val="008B0B17"/>
    <w:rsid w:val="008B1FC9"/>
    <w:rsid w:val="008B20D2"/>
    <w:rsid w:val="008B3D15"/>
    <w:rsid w:val="008B4562"/>
    <w:rsid w:val="008B5D1E"/>
    <w:rsid w:val="008B60CD"/>
    <w:rsid w:val="008B64A4"/>
    <w:rsid w:val="008C1F51"/>
    <w:rsid w:val="008C41BB"/>
    <w:rsid w:val="008C4E5E"/>
    <w:rsid w:val="008C77FD"/>
    <w:rsid w:val="008D0202"/>
    <w:rsid w:val="008D0B1A"/>
    <w:rsid w:val="008D1177"/>
    <w:rsid w:val="008D43FD"/>
    <w:rsid w:val="008E5137"/>
    <w:rsid w:val="008E5682"/>
    <w:rsid w:val="008E67DB"/>
    <w:rsid w:val="008E6FBA"/>
    <w:rsid w:val="008F0E09"/>
    <w:rsid w:val="008F14E7"/>
    <w:rsid w:val="008F24C8"/>
    <w:rsid w:val="00905340"/>
    <w:rsid w:val="0090798A"/>
    <w:rsid w:val="00907AEC"/>
    <w:rsid w:val="009106C5"/>
    <w:rsid w:val="00911B78"/>
    <w:rsid w:val="009122AA"/>
    <w:rsid w:val="00914791"/>
    <w:rsid w:val="0091725B"/>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820"/>
    <w:rsid w:val="00983DF9"/>
    <w:rsid w:val="00987518"/>
    <w:rsid w:val="009917A6"/>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25BC"/>
    <w:rsid w:val="00A17171"/>
    <w:rsid w:val="00A205B4"/>
    <w:rsid w:val="00A20F62"/>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633E"/>
    <w:rsid w:val="00AB7231"/>
    <w:rsid w:val="00AB7FE4"/>
    <w:rsid w:val="00AC18A8"/>
    <w:rsid w:val="00AC3CEC"/>
    <w:rsid w:val="00AC4A57"/>
    <w:rsid w:val="00AD4F90"/>
    <w:rsid w:val="00AD57C7"/>
    <w:rsid w:val="00AD74DA"/>
    <w:rsid w:val="00AD7F32"/>
    <w:rsid w:val="00AE3332"/>
    <w:rsid w:val="00AE4780"/>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431B"/>
    <w:rsid w:val="00B3762A"/>
    <w:rsid w:val="00B4101D"/>
    <w:rsid w:val="00B41509"/>
    <w:rsid w:val="00B43375"/>
    <w:rsid w:val="00B52FAD"/>
    <w:rsid w:val="00B56276"/>
    <w:rsid w:val="00B606E5"/>
    <w:rsid w:val="00B606E6"/>
    <w:rsid w:val="00B61A35"/>
    <w:rsid w:val="00B66F01"/>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E98"/>
    <w:rsid w:val="00BC4611"/>
    <w:rsid w:val="00BC68AA"/>
    <w:rsid w:val="00BD020C"/>
    <w:rsid w:val="00BD0D17"/>
    <w:rsid w:val="00BD4663"/>
    <w:rsid w:val="00BD6425"/>
    <w:rsid w:val="00BE4092"/>
    <w:rsid w:val="00BF0849"/>
    <w:rsid w:val="00BF33D6"/>
    <w:rsid w:val="00BF3E98"/>
    <w:rsid w:val="00C00374"/>
    <w:rsid w:val="00C02553"/>
    <w:rsid w:val="00C02E9B"/>
    <w:rsid w:val="00C041E1"/>
    <w:rsid w:val="00C07640"/>
    <w:rsid w:val="00C07F32"/>
    <w:rsid w:val="00C10A0B"/>
    <w:rsid w:val="00C11510"/>
    <w:rsid w:val="00C12A4D"/>
    <w:rsid w:val="00C133AC"/>
    <w:rsid w:val="00C149B9"/>
    <w:rsid w:val="00C16ED4"/>
    <w:rsid w:val="00C17007"/>
    <w:rsid w:val="00C226AB"/>
    <w:rsid w:val="00C266C0"/>
    <w:rsid w:val="00C27CD2"/>
    <w:rsid w:val="00C320BC"/>
    <w:rsid w:val="00C32A5C"/>
    <w:rsid w:val="00C348DE"/>
    <w:rsid w:val="00C349B7"/>
    <w:rsid w:val="00C3641F"/>
    <w:rsid w:val="00C40580"/>
    <w:rsid w:val="00C4092B"/>
    <w:rsid w:val="00C4198D"/>
    <w:rsid w:val="00C41A12"/>
    <w:rsid w:val="00C41D76"/>
    <w:rsid w:val="00C46269"/>
    <w:rsid w:val="00C5061E"/>
    <w:rsid w:val="00C527BF"/>
    <w:rsid w:val="00C550E2"/>
    <w:rsid w:val="00C561B4"/>
    <w:rsid w:val="00C569F3"/>
    <w:rsid w:val="00C57F3A"/>
    <w:rsid w:val="00C6524D"/>
    <w:rsid w:val="00C6577D"/>
    <w:rsid w:val="00C66942"/>
    <w:rsid w:val="00C80014"/>
    <w:rsid w:val="00C90BFF"/>
    <w:rsid w:val="00C9379A"/>
    <w:rsid w:val="00C95DF3"/>
    <w:rsid w:val="00C97D8A"/>
    <w:rsid w:val="00C97F28"/>
    <w:rsid w:val="00CA42AB"/>
    <w:rsid w:val="00CA504C"/>
    <w:rsid w:val="00CA767B"/>
    <w:rsid w:val="00CB118D"/>
    <w:rsid w:val="00CB24A2"/>
    <w:rsid w:val="00CC153D"/>
    <w:rsid w:val="00CC5DA1"/>
    <w:rsid w:val="00CD1A38"/>
    <w:rsid w:val="00CD1ED6"/>
    <w:rsid w:val="00CD4530"/>
    <w:rsid w:val="00CD492E"/>
    <w:rsid w:val="00CE04EA"/>
    <w:rsid w:val="00CE09C4"/>
    <w:rsid w:val="00CE21A3"/>
    <w:rsid w:val="00CE3D7D"/>
    <w:rsid w:val="00CE5271"/>
    <w:rsid w:val="00CF07E7"/>
    <w:rsid w:val="00CF20EC"/>
    <w:rsid w:val="00D044FA"/>
    <w:rsid w:val="00D06A40"/>
    <w:rsid w:val="00D07F3D"/>
    <w:rsid w:val="00D11889"/>
    <w:rsid w:val="00D143FA"/>
    <w:rsid w:val="00D14989"/>
    <w:rsid w:val="00D1696F"/>
    <w:rsid w:val="00D200E4"/>
    <w:rsid w:val="00D246C7"/>
    <w:rsid w:val="00D330E4"/>
    <w:rsid w:val="00D354C6"/>
    <w:rsid w:val="00D4074A"/>
    <w:rsid w:val="00D4395E"/>
    <w:rsid w:val="00D44376"/>
    <w:rsid w:val="00D4445B"/>
    <w:rsid w:val="00D501A2"/>
    <w:rsid w:val="00D50C49"/>
    <w:rsid w:val="00D51521"/>
    <w:rsid w:val="00D515DA"/>
    <w:rsid w:val="00D57FB6"/>
    <w:rsid w:val="00D62BAC"/>
    <w:rsid w:val="00D66F78"/>
    <w:rsid w:val="00D705DA"/>
    <w:rsid w:val="00D77ADC"/>
    <w:rsid w:val="00D77F0D"/>
    <w:rsid w:val="00D81FE7"/>
    <w:rsid w:val="00D82893"/>
    <w:rsid w:val="00D8308D"/>
    <w:rsid w:val="00D833EB"/>
    <w:rsid w:val="00D837CC"/>
    <w:rsid w:val="00D92526"/>
    <w:rsid w:val="00D9748A"/>
    <w:rsid w:val="00DA43E0"/>
    <w:rsid w:val="00DA5A27"/>
    <w:rsid w:val="00DA6E0E"/>
    <w:rsid w:val="00DA78A9"/>
    <w:rsid w:val="00DA7A2B"/>
    <w:rsid w:val="00DB201C"/>
    <w:rsid w:val="00DB2DB0"/>
    <w:rsid w:val="00DB3857"/>
    <w:rsid w:val="00DB44A2"/>
    <w:rsid w:val="00DC0F23"/>
    <w:rsid w:val="00DC18EE"/>
    <w:rsid w:val="00DC2771"/>
    <w:rsid w:val="00DC295F"/>
    <w:rsid w:val="00DC3C57"/>
    <w:rsid w:val="00DC40E4"/>
    <w:rsid w:val="00DC7C02"/>
    <w:rsid w:val="00DD2FE5"/>
    <w:rsid w:val="00DD6FE7"/>
    <w:rsid w:val="00DE2E44"/>
    <w:rsid w:val="00DF3437"/>
    <w:rsid w:val="00DF3F05"/>
    <w:rsid w:val="00DF6B27"/>
    <w:rsid w:val="00DF749F"/>
    <w:rsid w:val="00DF7FC5"/>
    <w:rsid w:val="00E03447"/>
    <w:rsid w:val="00E03ECE"/>
    <w:rsid w:val="00E0477B"/>
    <w:rsid w:val="00E072D2"/>
    <w:rsid w:val="00E12287"/>
    <w:rsid w:val="00E1770C"/>
    <w:rsid w:val="00E22677"/>
    <w:rsid w:val="00E23CB4"/>
    <w:rsid w:val="00E23CE7"/>
    <w:rsid w:val="00E3045C"/>
    <w:rsid w:val="00E30CD1"/>
    <w:rsid w:val="00E323CD"/>
    <w:rsid w:val="00E34CBA"/>
    <w:rsid w:val="00E35DA5"/>
    <w:rsid w:val="00E36F2B"/>
    <w:rsid w:val="00E37E1A"/>
    <w:rsid w:val="00E4276E"/>
    <w:rsid w:val="00E44D44"/>
    <w:rsid w:val="00E44FFE"/>
    <w:rsid w:val="00E50662"/>
    <w:rsid w:val="00E51C4F"/>
    <w:rsid w:val="00E57E75"/>
    <w:rsid w:val="00E63E06"/>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5C7"/>
    <w:rsid w:val="00ED2BA5"/>
    <w:rsid w:val="00ED3882"/>
    <w:rsid w:val="00ED3E6B"/>
    <w:rsid w:val="00ED5759"/>
    <w:rsid w:val="00EE183A"/>
    <w:rsid w:val="00EE263C"/>
    <w:rsid w:val="00EE3D96"/>
    <w:rsid w:val="00EE7357"/>
    <w:rsid w:val="00EF191E"/>
    <w:rsid w:val="00EF4162"/>
    <w:rsid w:val="00EF6103"/>
    <w:rsid w:val="00F00C67"/>
    <w:rsid w:val="00F0469D"/>
    <w:rsid w:val="00F046EC"/>
    <w:rsid w:val="00F0558F"/>
    <w:rsid w:val="00F05739"/>
    <w:rsid w:val="00F0768A"/>
    <w:rsid w:val="00F07962"/>
    <w:rsid w:val="00F104F1"/>
    <w:rsid w:val="00F12096"/>
    <w:rsid w:val="00F12A59"/>
    <w:rsid w:val="00F12E33"/>
    <w:rsid w:val="00F1386E"/>
    <w:rsid w:val="00F14579"/>
    <w:rsid w:val="00F1493E"/>
    <w:rsid w:val="00F16B95"/>
    <w:rsid w:val="00F16D1C"/>
    <w:rsid w:val="00F2211E"/>
    <w:rsid w:val="00F23DF7"/>
    <w:rsid w:val="00F243AF"/>
    <w:rsid w:val="00F2733A"/>
    <w:rsid w:val="00F33834"/>
    <w:rsid w:val="00F34661"/>
    <w:rsid w:val="00F3550C"/>
    <w:rsid w:val="00F4075D"/>
    <w:rsid w:val="00F41743"/>
    <w:rsid w:val="00F43CC2"/>
    <w:rsid w:val="00F45279"/>
    <w:rsid w:val="00F45D4D"/>
    <w:rsid w:val="00F477AD"/>
    <w:rsid w:val="00F4787A"/>
    <w:rsid w:val="00F54677"/>
    <w:rsid w:val="00F55612"/>
    <w:rsid w:val="00F56998"/>
    <w:rsid w:val="00F611C6"/>
    <w:rsid w:val="00F640CB"/>
    <w:rsid w:val="00F652FF"/>
    <w:rsid w:val="00F6638A"/>
    <w:rsid w:val="00F6673D"/>
    <w:rsid w:val="00F6765C"/>
    <w:rsid w:val="00F7607C"/>
    <w:rsid w:val="00F845DD"/>
    <w:rsid w:val="00F84ACA"/>
    <w:rsid w:val="00F865A9"/>
    <w:rsid w:val="00F8733E"/>
    <w:rsid w:val="00F913B7"/>
    <w:rsid w:val="00F91EA4"/>
    <w:rsid w:val="00F92464"/>
    <w:rsid w:val="00F951E9"/>
    <w:rsid w:val="00FA07AA"/>
    <w:rsid w:val="00FA10AA"/>
    <w:rsid w:val="00FA2F7C"/>
    <w:rsid w:val="00FA3BF1"/>
    <w:rsid w:val="00FB0D3D"/>
    <w:rsid w:val="00FB166A"/>
    <w:rsid w:val="00FB3D72"/>
    <w:rsid w:val="00FB7721"/>
    <w:rsid w:val="00FC5827"/>
    <w:rsid w:val="00FC64D6"/>
    <w:rsid w:val="00FC6768"/>
    <w:rsid w:val="00FD08DF"/>
    <w:rsid w:val="00FD4E32"/>
    <w:rsid w:val="00FD771E"/>
    <w:rsid w:val="00FD7F16"/>
    <w:rsid w:val="00FE1886"/>
    <w:rsid w:val="00FE2B6B"/>
    <w:rsid w:val="00FE441D"/>
    <w:rsid w:val="00FF0956"/>
    <w:rsid w:val="00FF46EE"/>
    <w:rsid w:val="0DE20B45"/>
    <w:rsid w:val="0EC469F2"/>
    <w:rsid w:val="149E474A"/>
    <w:rsid w:val="22096B58"/>
    <w:rsid w:val="24260CEE"/>
    <w:rsid w:val="28717C8B"/>
    <w:rsid w:val="2A0C1655"/>
    <w:rsid w:val="314F5290"/>
    <w:rsid w:val="334C786E"/>
    <w:rsid w:val="35C863A1"/>
    <w:rsid w:val="45F574B3"/>
    <w:rsid w:val="49B14772"/>
    <w:rsid w:val="4C3A1B28"/>
    <w:rsid w:val="4F9B33E8"/>
    <w:rsid w:val="544D6532"/>
    <w:rsid w:val="648448DA"/>
    <w:rsid w:val="6AAF1C3F"/>
    <w:rsid w:val="7E89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修订2"/>
    <w:hidden/>
    <w:semiHidden/>
    <w:qFormat/>
    <w:uiPriority w:val="99"/>
    <w:rPr>
      <w:rFonts w:ascii="Times New Roman" w:hAnsi="Times New Roman" w:eastAsia="宋体" w:cs="Times New Roman"/>
      <w:kern w:val="2"/>
      <w:sz w:val="21"/>
      <w:lang w:val="en-US" w:eastAsia="zh-CN" w:bidi="ar-SA"/>
    </w:rPr>
  </w:style>
  <w:style w:type="paragraph" w:customStyle="1" w:styleId="69">
    <w:name w:val="修订3"/>
    <w:hidden/>
    <w:semiHidden/>
    <w:qFormat/>
    <w:uiPriority w:val="99"/>
    <w:rPr>
      <w:rFonts w:ascii="Times New Roman" w:hAnsi="Times New Roman" w:eastAsia="宋体" w:cs="Times New Roman"/>
      <w:kern w:val="2"/>
      <w:sz w:val="21"/>
      <w:lang w:val="en-US" w:eastAsia="zh-CN" w:bidi="ar-SA"/>
    </w:rPr>
  </w:style>
  <w:style w:type="paragraph" w:customStyle="1" w:styleId="7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EBBD1-206C-4C94-B4FB-1EEC09E683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1511</Words>
  <Characters>8619</Characters>
  <Lines>71</Lines>
  <Paragraphs>20</Paragraphs>
  <TotalTime>0</TotalTime>
  <ScaleCrop>false</ScaleCrop>
  <LinksUpToDate>false</LinksUpToDate>
  <CharactersWithSpaces>10110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admin</cp:lastModifiedBy>
  <cp:lastPrinted>2017-10-31T06:33:00Z</cp:lastPrinted>
  <dcterms:modified xsi:type="dcterms:W3CDTF">2022-08-12T10:20:26Z</dcterms:modified>
  <dc:title>___证券投资基金招募说明书1</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C166FDD168F74BAFB715BD6389AD620E</vt:lpwstr>
  </property>
</Properties>
</file>