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hint="eastAsia" w:ascii="黑体" w:hAnsi="黑体" w:eastAsia="黑体"/>
          <w:b/>
          <w:sz w:val="44"/>
          <w:szCs w:val="44"/>
        </w:rPr>
      </w:pPr>
      <w:r>
        <w:rPr>
          <w:rFonts w:hint="eastAsia" w:ascii="黑体" w:hAnsi="黑体" w:eastAsia="黑体"/>
          <w:b/>
          <w:sz w:val="44"/>
          <w:szCs w:val="44"/>
        </w:rPr>
        <w:t>兴银理财</w:t>
      </w:r>
      <w:r>
        <w:rPr>
          <w:rStyle w:val="25"/>
          <w:rFonts w:hint="eastAsia" w:ascii="黑体" w:hAnsi="黑体" w:eastAsia="黑体" w:cs="宋体"/>
          <w:sz w:val="44"/>
          <w:szCs w:val="44"/>
        </w:rPr>
        <w:t>天天万利宝稳利</w:t>
      </w:r>
      <w:r>
        <w:rPr>
          <w:rFonts w:hint="eastAsia" w:ascii="黑体" w:hAnsi="黑体" w:eastAsia="黑体"/>
          <w:b/>
          <w:sz w:val="44"/>
          <w:szCs w:val="44"/>
        </w:rPr>
        <w:t>净值型理财产品</w:t>
      </w:r>
    </w:p>
    <w:p>
      <w:pPr>
        <w:widowControl/>
        <w:spacing w:line="360" w:lineRule="auto"/>
        <w:jc w:val="center"/>
        <w:rPr>
          <w:b/>
          <w:szCs w:val="21"/>
        </w:rPr>
      </w:pPr>
      <w:r>
        <w:rPr>
          <w:rFonts w:hint="eastAsia" w:ascii="黑体" w:hAnsi="黑体" w:eastAsia="黑体"/>
          <w:b/>
          <w:sz w:val="44"/>
          <w:szCs w:val="44"/>
        </w:rPr>
        <w:t>销售文件</w:t>
      </w:r>
    </w:p>
    <w:tbl>
      <w:tblPr>
        <w:tblStyle w:val="31"/>
        <w:tblW w:w="892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
        <w:gridCol w:w="6008"/>
        <w:gridCol w:w="1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6008"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2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2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2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1"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5"/>
          <w:rFonts w:ascii="黑体" w:hAnsi="黑体" w:eastAsia="黑体" w:cs="宋体"/>
          <w:sz w:val="44"/>
          <w:szCs w:val="44"/>
        </w:rPr>
      </w:pPr>
      <w:r>
        <w:rPr>
          <w:rStyle w:val="25"/>
          <w:rFonts w:hint="eastAsia" w:ascii="黑体" w:hAnsi="黑体" w:eastAsia="黑体" w:cs="宋体"/>
          <w:sz w:val="44"/>
          <w:szCs w:val="44"/>
          <w:lang w:val="en-US"/>
        </w:rPr>
        <w:t>兴银理财天天万利宝稳利净值型理财产品</w:t>
      </w:r>
      <w:r>
        <w:rPr>
          <w:rStyle w:val="25"/>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5"/>
          <w:rFonts w:ascii="宋体" w:hAnsi="宋体"/>
          <w:sz w:val="28"/>
          <w:szCs w:val="28"/>
        </w:rPr>
      </w:pPr>
      <w:bookmarkStart w:id="0" w:name="_Toc139992301"/>
      <w:bookmarkStart w:id="1" w:name="_Toc123112224"/>
      <w:bookmarkStart w:id="2" w:name="_Toc123112263"/>
      <w:bookmarkStart w:id="3" w:name="_Toc123701383"/>
      <w:bookmarkStart w:id="4" w:name="_Toc139991726"/>
      <w:r>
        <w:rPr>
          <w:rStyle w:val="25"/>
          <w:rFonts w:hint="eastAsia" w:ascii="宋体" w:hAnsi="宋体"/>
          <w:sz w:val="28"/>
          <w:szCs w:val="28"/>
        </w:rPr>
        <w:t>理财产品管理人：</w:t>
      </w:r>
      <w:bookmarkEnd w:id="0"/>
      <w:bookmarkEnd w:id="1"/>
      <w:bookmarkEnd w:id="2"/>
      <w:bookmarkEnd w:id="3"/>
      <w:bookmarkEnd w:id="4"/>
      <w:r>
        <w:rPr>
          <w:rStyle w:val="25"/>
          <w:rFonts w:hint="eastAsia" w:ascii="宋体" w:hAnsi="宋体"/>
          <w:sz w:val="28"/>
          <w:szCs w:val="28"/>
        </w:rPr>
        <w:t>兴银理财有限责任公司</w:t>
      </w:r>
    </w:p>
    <w:p>
      <w:pPr>
        <w:adjustRightInd w:val="0"/>
        <w:spacing w:line="360" w:lineRule="auto"/>
        <w:jc w:val="center"/>
        <w:rPr>
          <w:rStyle w:val="25"/>
          <w:rFonts w:ascii="黑体" w:hAnsi="黑体" w:eastAsia="黑体" w:cs="宋体"/>
          <w:sz w:val="28"/>
          <w:szCs w:val="28"/>
        </w:rPr>
      </w:pPr>
      <w:bookmarkStart w:id="5" w:name="_Toc123701384"/>
      <w:bookmarkStart w:id="6" w:name="_Toc123112264"/>
      <w:bookmarkStart w:id="7" w:name="_Toc139992302"/>
      <w:bookmarkStart w:id="8" w:name="_Toc123112225"/>
      <w:bookmarkStart w:id="9" w:name="_Toc139991727"/>
    </w:p>
    <w:bookmarkEnd w:id="5"/>
    <w:bookmarkEnd w:id="6"/>
    <w:bookmarkEnd w:id="7"/>
    <w:bookmarkEnd w:id="8"/>
    <w:bookmarkEnd w:id="9"/>
    <w:p>
      <w:pPr>
        <w:adjustRightInd w:val="0"/>
        <w:spacing w:line="360" w:lineRule="auto"/>
        <w:jc w:val="center"/>
        <w:rPr>
          <w:rStyle w:val="25"/>
          <w:rFonts w:ascii="黑体" w:hAnsi="黑体" w:eastAsia="黑体" w:cs="宋体"/>
          <w:sz w:val="28"/>
          <w:szCs w:val="28"/>
        </w:rPr>
      </w:pPr>
    </w:p>
    <w:p>
      <w:pPr>
        <w:adjustRightInd w:val="0"/>
        <w:spacing w:line="360" w:lineRule="auto"/>
        <w:jc w:val="center"/>
        <w:rPr>
          <w:rStyle w:val="25"/>
          <w:rFonts w:ascii="宋体" w:hAnsi="宋体"/>
          <w:sz w:val="28"/>
          <w:szCs w:val="28"/>
        </w:rPr>
      </w:pPr>
      <w:r>
        <w:rPr>
          <w:rStyle w:val="25"/>
          <w:rFonts w:hint="eastAsia" w:ascii="宋体" w:hAnsi="宋体"/>
          <w:sz w:val="28"/>
          <w:szCs w:val="28"/>
        </w:rPr>
        <w:t>日期</w:t>
      </w:r>
      <w:r>
        <w:rPr>
          <w:rStyle w:val="25"/>
          <w:rFonts w:ascii="宋体" w:hAnsi="宋体"/>
          <w:sz w:val="28"/>
          <w:szCs w:val="28"/>
        </w:rPr>
        <w:t>：</w:t>
      </w:r>
      <w:r>
        <w:rPr>
          <w:rStyle w:val="25"/>
          <w:rFonts w:hint="eastAsia" w:ascii="宋体" w:hAnsi="宋体"/>
          <w:sz w:val="28"/>
          <w:szCs w:val="28"/>
        </w:rPr>
        <w:t>【</w:t>
      </w:r>
      <w:r>
        <w:rPr>
          <w:rStyle w:val="25"/>
          <w:rFonts w:hint="eastAsia" w:ascii="宋体" w:hAnsi="宋体"/>
          <w:sz w:val="28"/>
          <w:szCs w:val="28"/>
          <w:lang w:val="en-US" w:eastAsia="zh-CN"/>
        </w:rPr>
        <w:t>2022</w:t>
      </w:r>
      <w:r>
        <w:rPr>
          <w:rStyle w:val="25"/>
          <w:rFonts w:hint="eastAsia" w:ascii="宋体" w:hAnsi="宋体"/>
          <w:sz w:val="28"/>
          <w:szCs w:val="28"/>
        </w:rPr>
        <w:t>】年【</w:t>
      </w:r>
      <w:r>
        <w:rPr>
          <w:rStyle w:val="25"/>
          <w:rFonts w:hint="eastAsia" w:ascii="宋体" w:hAnsi="宋体"/>
          <w:sz w:val="28"/>
          <w:szCs w:val="28"/>
          <w:lang w:val="en-US" w:eastAsia="zh-CN"/>
        </w:rPr>
        <w:t>5</w:t>
      </w:r>
      <w:r>
        <w:rPr>
          <w:rStyle w:val="25"/>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31"/>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2" w:type="dxa"/>
          </w:tcPr>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2"/>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27"/>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30"/>
        <w:tblW w:w="922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兴银理财天天万利宝稳利8号D款净值型理财产品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【稳利季季增利I款】（适用【A】类份额）</w:t>
            </w:r>
          </w:p>
          <w:p>
            <w:pPr>
              <w:spacing w:line="360" w:lineRule="auto"/>
              <w:jc w:val="left"/>
              <w:rPr>
                <w:rFonts w:hint="eastAsia" w:ascii="宋体" w:hAnsi="宋体"/>
                <w:bCs/>
                <w:sz w:val="18"/>
                <w:szCs w:val="18"/>
              </w:rPr>
            </w:pPr>
            <w:r>
              <w:rPr>
                <w:rFonts w:hint="eastAsia" w:ascii="宋体" w:hAnsi="宋体"/>
                <w:bCs/>
                <w:sz w:val="18"/>
                <w:szCs w:val="18"/>
              </w:rPr>
              <w:t>【稳利季季增利I款B】（适用【B】类份额）</w:t>
            </w:r>
          </w:p>
          <w:p>
            <w:pPr>
              <w:spacing w:line="360" w:lineRule="auto"/>
              <w:jc w:val="left"/>
              <w:rPr>
                <w:rFonts w:hint="eastAsia" w:ascii="宋体" w:hAnsi="宋体"/>
                <w:bCs/>
                <w:sz w:val="18"/>
                <w:szCs w:val="18"/>
              </w:rPr>
            </w:pPr>
            <w:r>
              <w:rPr>
                <w:rFonts w:hint="eastAsia" w:ascii="宋体" w:hAnsi="宋体"/>
                <w:bCs/>
                <w:sz w:val="18"/>
                <w:szCs w:val="18"/>
              </w:rPr>
              <w:t>【稳利季季增利I款C】（适用【C】类份额）</w:t>
            </w:r>
          </w:p>
          <w:p>
            <w:pPr>
              <w:spacing w:line="360" w:lineRule="auto"/>
              <w:jc w:val="left"/>
              <w:rPr>
                <w:rFonts w:ascii="宋体" w:hAnsi="宋体"/>
                <w:bCs/>
                <w:sz w:val="18"/>
                <w:szCs w:val="18"/>
              </w:rPr>
            </w:pPr>
            <w:r>
              <w:rPr>
                <w:rFonts w:hint="eastAsia" w:ascii="宋体" w:hAnsi="宋体"/>
                <w:bCs/>
                <w:sz w:val="18"/>
                <w:szCs w:val="18"/>
              </w:rPr>
              <w:t>【稳利季季增利I款D】（适用【D】类份额）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【Z7002021000163】注：投资者可依据理财产品登记编码在中国理财网查询产品信息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bookmarkStart w:id="73" w:name="_GoBack"/>
            <w:r>
              <w:rPr>
                <w:rFonts w:hint="eastAsia" w:ascii="宋体" w:hAnsi="宋体"/>
                <w:bCs/>
                <w:color w:val="000000" w:themeColor="text1"/>
                <w:sz w:val="18"/>
                <w:szCs w:val="18"/>
              </w:rPr>
              <w:t>9K209540</w:t>
            </w:r>
            <w:bookmarkEnd w:id="73"/>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rPr>
            </w:pPr>
            <w:r>
              <w:rPr>
                <w:rFonts w:hint="eastAsia" w:ascii="宋体" w:hAnsi="宋体"/>
                <w:bCs/>
                <w:color w:val="000000" w:themeColor="text1"/>
                <w:sz w:val="18"/>
                <w:szCs w:val="18"/>
              </w:rPr>
              <w:t>【9K20954A】（适用【A】类份额）</w:t>
            </w:r>
          </w:p>
          <w:p>
            <w:pPr>
              <w:spacing w:line="320" w:lineRule="exact"/>
              <w:jc w:val="left"/>
              <w:rPr>
                <w:rFonts w:hint="eastAsia" w:ascii="宋体" w:hAnsi="宋体"/>
                <w:bCs/>
                <w:color w:val="000000" w:themeColor="text1"/>
                <w:sz w:val="18"/>
                <w:szCs w:val="18"/>
              </w:rPr>
            </w:pPr>
            <w:r>
              <w:rPr>
                <w:rFonts w:hint="eastAsia" w:ascii="宋体" w:hAnsi="宋体"/>
                <w:bCs/>
                <w:color w:val="000000" w:themeColor="text1"/>
                <w:sz w:val="18"/>
                <w:szCs w:val="18"/>
              </w:rPr>
              <w:t>【9K20954B】（适用【B】类份额）</w:t>
            </w:r>
          </w:p>
          <w:p>
            <w:pPr>
              <w:spacing w:line="320" w:lineRule="exact"/>
              <w:jc w:val="left"/>
              <w:rPr>
                <w:rFonts w:hint="eastAsia" w:ascii="宋体" w:hAnsi="宋体"/>
                <w:bCs/>
                <w:color w:val="000000" w:themeColor="text1"/>
                <w:sz w:val="18"/>
                <w:szCs w:val="18"/>
              </w:rPr>
            </w:pPr>
            <w:r>
              <w:rPr>
                <w:rFonts w:hint="eastAsia" w:ascii="宋体" w:hAnsi="宋体"/>
                <w:bCs/>
                <w:color w:val="000000" w:themeColor="text1"/>
                <w:sz w:val="18"/>
                <w:szCs w:val="18"/>
              </w:rPr>
              <w:t>【9K20954C】（适用【C】类份额）</w:t>
            </w:r>
          </w:p>
          <w:p>
            <w:pPr>
              <w:spacing w:line="320" w:lineRule="exact"/>
              <w:jc w:val="left"/>
              <w:rPr>
                <w:rFonts w:ascii="宋体" w:hAnsi="宋体"/>
                <w:bCs/>
                <w:color w:val="000000" w:themeColor="text1"/>
                <w:sz w:val="18"/>
                <w:szCs w:val="18"/>
              </w:rPr>
            </w:pPr>
            <w:r>
              <w:rPr>
                <w:rFonts w:hint="eastAsia" w:ascii="宋体" w:hAnsi="宋体"/>
                <w:bCs/>
                <w:color w:val="000000" w:themeColor="text1"/>
                <w:sz w:val="18"/>
                <w:szCs w:val="18"/>
              </w:rPr>
              <w:t>【9K20954D】（适用【D】类份额）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7"/>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7"/>
              <w:rFonts w:hint="eastAsia"/>
            </w:rPr>
            <w:t>第一条</w:t>
          </w:r>
          <w:r>
            <w:rPr>
              <w:rStyle w:val="27"/>
            </w:rPr>
            <w:t xml:space="preserve">  </w:t>
          </w:r>
          <w:r>
            <w:rPr>
              <w:rStyle w:val="27"/>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7"/>
              <w:rFonts w:hint="eastAsia"/>
            </w:rPr>
            <w:t>第二条</w:t>
          </w:r>
          <w:r>
            <w:rPr>
              <w:rStyle w:val="27"/>
            </w:rPr>
            <w:t xml:space="preserve">  </w:t>
          </w:r>
          <w:r>
            <w:rPr>
              <w:rStyle w:val="27"/>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7"/>
              <w:rFonts w:hint="eastAsia"/>
            </w:rPr>
            <w:t>第三条</w:t>
          </w:r>
          <w:r>
            <w:rPr>
              <w:rStyle w:val="27"/>
            </w:rPr>
            <w:t xml:space="preserve">  </w:t>
          </w:r>
          <w:r>
            <w:rPr>
              <w:rStyle w:val="27"/>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7"/>
              <w:rFonts w:hint="eastAsia"/>
            </w:rPr>
            <w:t>第四条</w:t>
          </w:r>
          <w:r>
            <w:rPr>
              <w:rStyle w:val="27"/>
            </w:rPr>
            <w:t xml:space="preserve">  </w:t>
          </w:r>
          <w:r>
            <w:rPr>
              <w:rStyle w:val="27"/>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7"/>
              <w:rFonts w:hint="eastAsia"/>
            </w:rPr>
            <w:t>第五条</w:t>
          </w:r>
          <w:r>
            <w:rPr>
              <w:rStyle w:val="27"/>
            </w:rPr>
            <w:t xml:space="preserve">  </w:t>
          </w:r>
          <w:r>
            <w:rPr>
              <w:rStyle w:val="27"/>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7"/>
              <w:rFonts w:hint="eastAsia"/>
            </w:rPr>
            <w:t>第六条</w:t>
          </w:r>
          <w:r>
            <w:rPr>
              <w:rStyle w:val="27"/>
            </w:rPr>
            <w:t xml:space="preserve">  </w:t>
          </w:r>
          <w:r>
            <w:rPr>
              <w:rStyle w:val="27"/>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7"/>
              <w:rFonts w:hint="eastAsia"/>
            </w:rPr>
            <w:t>第七条</w:t>
          </w:r>
          <w:r>
            <w:rPr>
              <w:rStyle w:val="27"/>
            </w:rPr>
            <w:t xml:space="preserve">  </w:t>
          </w:r>
          <w:r>
            <w:rPr>
              <w:rStyle w:val="27"/>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39991730"/>
      <w:bookmarkStart w:id="15" w:name="_Toc29629"/>
      <w:bookmarkStart w:id="16" w:name="_Toc23386"/>
      <w:bookmarkStart w:id="17" w:name="_Toc4966"/>
      <w:bookmarkStart w:id="18" w:name="_Toc123701389"/>
      <w:bookmarkStart w:id="19" w:name="_Toc30935"/>
      <w:bookmarkStart w:id="20" w:name="_Toc8727"/>
      <w:bookmarkStart w:id="21" w:name="_Toc4867"/>
      <w:bookmarkStart w:id="22" w:name="_Toc26897"/>
      <w:bookmarkStart w:id="23" w:name="_Toc123112268"/>
      <w:bookmarkStart w:id="24" w:name="_Toc32639"/>
      <w:bookmarkStart w:id="25" w:name="_Toc123112229"/>
      <w:bookmarkStart w:id="26" w:name="_Toc6306"/>
      <w:bookmarkStart w:id="27" w:name="_Toc15517"/>
      <w:bookmarkStart w:id="28" w:name="_Toc141703880"/>
      <w:bookmarkStart w:id="29" w:name="_Toc88482730"/>
      <w:bookmarkStart w:id="30" w:name="_Toc95897036"/>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2465"/>
      <w:bookmarkStart w:id="34" w:name="_Toc22864"/>
      <w:bookmarkStart w:id="35" w:name="_Toc19592"/>
      <w:bookmarkStart w:id="36" w:name="_Toc258829399"/>
      <w:bookmarkStart w:id="37" w:name="_Toc13020"/>
      <w:bookmarkStart w:id="38" w:name="_Toc24860"/>
      <w:bookmarkStart w:id="39" w:name="_Toc15067"/>
      <w:bookmarkStart w:id="40" w:name="_Toc21301"/>
      <w:bookmarkStart w:id="41" w:name="_Toc819"/>
      <w:bookmarkStart w:id="42" w:name="_Toc6617"/>
      <w:bookmarkStart w:id="43" w:name="_Toc3224"/>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88482731"/>
      <w:bookmarkStart w:id="46" w:name="_Toc95897037"/>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highlight w:val="none"/>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w:t>
      </w:r>
      <w:r>
        <w:rPr>
          <w:rFonts w:hint="eastAsia" w:ascii="黑体" w:hAnsi="黑体" w:eastAsia="黑体"/>
          <w:sz w:val="18"/>
          <w:szCs w:val="18"/>
          <w:highlight w:val="none"/>
        </w:rPr>
        <w:t>方，若产品管理人聘请其担任本产品的代理销售机构</w:t>
      </w:r>
      <w:r>
        <w:rPr>
          <w:rFonts w:ascii="黑体" w:hAnsi="黑体" w:eastAsia="黑体"/>
          <w:sz w:val="18"/>
          <w:szCs w:val="18"/>
          <w:highlight w:val="none"/>
        </w:rPr>
        <w:t>或</w:t>
      </w:r>
      <w:r>
        <w:rPr>
          <w:rFonts w:hint="eastAsia" w:ascii="黑体" w:hAnsi="黑体" w:eastAsia="黑体"/>
          <w:sz w:val="18"/>
          <w:szCs w:val="18"/>
          <w:highlight w:val="none"/>
        </w:rPr>
        <w:t>产品托管人的，产品管理人应履行现行法律法规和监管规定所要求的必要程序。</w:t>
      </w:r>
      <w:r>
        <w:rPr>
          <w:rFonts w:ascii="黑体" w:hAnsi="黑体" w:eastAsia="黑体"/>
          <w:sz w:val="18"/>
          <w:szCs w:val="18"/>
          <w:highlight w:val="none"/>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highlight w:val="none"/>
        </w:rPr>
      </w:pPr>
      <w:r>
        <w:rPr>
          <w:rFonts w:ascii="宋体" w:hAnsi="宋体"/>
          <w:sz w:val="18"/>
          <w:szCs w:val="18"/>
          <w:highlight w:val="none"/>
        </w:rPr>
        <w:t>11.</w:t>
      </w:r>
      <w:r>
        <w:rPr>
          <w:rFonts w:hint="eastAsia" w:ascii="宋体" w:hAnsi="宋体"/>
          <w:sz w:val="18"/>
          <w:szCs w:val="18"/>
          <w:highlight w:val="none"/>
        </w:rPr>
        <w:t>产品管理人</w:t>
      </w:r>
      <w:r>
        <w:rPr>
          <w:rFonts w:ascii="宋体" w:hAnsi="宋体"/>
          <w:sz w:val="18"/>
          <w:szCs w:val="18"/>
          <w:highlight w:val="none"/>
        </w:rPr>
        <w:t>负责维护理财产品运作相关的自有</w:t>
      </w:r>
      <w:r>
        <w:rPr>
          <w:rFonts w:hint="eastAsia" w:ascii="宋体" w:hAnsi="宋体" w:cs="仿宋_GB2312"/>
          <w:kern w:val="0"/>
          <w:sz w:val="18"/>
          <w:szCs w:val="18"/>
          <w:highlight w:val="none"/>
        </w:rPr>
        <w:t>业务系统和技术设施</w:t>
      </w:r>
      <w:r>
        <w:rPr>
          <w:rFonts w:ascii="宋体" w:hAnsi="宋体"/>
          <w:sz w:val="18"/>
          <w:szCs w:val="18"/>
          <w:highlight w:val="none"/>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highlight w:val="none"/>
        </w:rPr>
        <w:t>1</w:t>
      </w:r>
      <w:r>
        <w:rPr>
          <w:rFonts w:ascii="宋体" w:hAnsi="宋体"/>
          <w:sz w:val="18"/>
          <w:szCs w:val="18"/>
          <w:highlight w:val="none"/>
        </w:rPr>
        <w:t>2.</w:t>
      </w:r>
      <w:r>
        <w:rPr>
          <w:rFonts w:hint="eastAsia" w:ascii="宋体" w:hAnsi="宋体"/>
          <w:sz w:val="18"/>
          <w:szCs w:val="18"/>
          <w:highlight w:val="none"/>
        </w:rPr>
        <w:t>产品管理人有权根据符合条件的申请，受理并办理继承、</w:t>
      </w:r>
      <w:r>
        <w:rPr>
          <w:rFonts w:hint="eastAsia" w:ascii="宋体" w:hAnsi="宋体"/>
          <w:sz w:val="18"/>
          <w:szCs w:val="18"/>
        </w:rPr>
        <w:t>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88482732"/>
      <w:bookmarkStart w:id="49" w:name="_Toc95897038"/>
      <w:bookmarkStart w:id="50" w:name="_Toc20318"/>
      <w:bookmarkStart w:id="51" w:name="_Toc733"/>
      <w:bookmarkStart w:id="52" w:name="_Toc6683"/>
      <w:bookmarkStart w:id="53" w:name="_Toc24571"/>
      <w:bookmarkStart w:id="54" w:name="_Toc22708"/>
      <w:bookmarkStart w:id="55" w:name="_Toc545"/>
      <w:bookmarkStart w:id="56" w:name="_Toc74065740"/>
      <w:bookmarkStart w:id="57" w:name="_Toc6149"/>
      <w:bookmarkStart w:id="58" w:name="_Toc18631"/>
      <w:bookmarkStart w:id="59" w:name="_Toc13288"/>
      <w:bookmarkStart w:id="60" w:name="_Toc20627"/>
      <w:bookmarkStart w:id="61" w:name="_Toc258829400"/>
      <w:bookmarkStart w:id="62" w:name="_Toc233456272"/>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95897040"/>
      <w:bookmarkStart w:id="66" w:name="_Toc88482734"/>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88482735"/>
      <w:bookmarkStart w:id="68" w:name="_Toc95897041"/>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77953869"/>
      <w:bookmarkStart w:id="70" w:name="_Toc95897042"/>
      <w:bookmarkStart w:id="71" w:name="_Toc88482736"/>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31"/>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10"/>
      </w:pBdr>
      <w:tabs>
        <w:tab w:val="right" w:pos="8280"/>
      </w:tabs>
      <w:wordWrap w:val="0"/>
      <w:adjustRightInd w:val="0"/>
      <w:jc w:val="right"/>
      <w:rPr>
        <w:b/>
      </w:rPr>
    </w:pPr>
    <w:r>
      <w:rPr>
        <w:rFonts w:hint="eastAsia"/>
        <w:b/>
      </w:rPr>
      <w:t>投资协议书</w:t>
    </w:r>
  </w:p>
  <w:p>
    <w:pPr>
      <w:pStyle w:val="16"/>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077"/>
    <w:rsid w:val="00067E29"/>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4864"/>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07F32"/>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6B95"/>
    <w:rsid w:val="00F16D1C"/>
    <w:rsid w:val="00F2211E"/>
    <w:rsid w:val="00F23DF7"/>
    <w:rsid w:val="00F243AF"/>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3C5782C"/>
    <w:rsid w:val="0DE20B45"/>
    <w:rsid w:val="0EC469F2"/>
    <w:rsid w:val="149E474A"/>
    <w:rsid w:val="22096B58"/>
    <w:rsid w:val="26234539"/>
    <w:rsid w:val="314F5290"/>
    <w:rsid w:val="35C863A1"/>
    <w:rsid w:val="3FD41EFC"/>
    <w:rsid w:val="45F574B3"/>
    <w:rsid w:val="47235971"/>
    <w:rsid w:val="4F9B33E8"/>
    <w:rsid w:val="64054AB3"/>
    <w:rsid w:val="648448DA"/>
    <w:rsid w:val="6AAF1C3F"/>
    <w:rsid w:val="75A8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qFormat/>
    <w:uiPriority w:val="0"/>
    <w:rPr>
      <w:b/>
    </w:rPr>
  </w:style>
  <w:style w:type="paragraph" w:styleId="7">
    <w:name w:val="annotation text"/>
    <w:basedOn w:val="1"/>
    <w:link w:val="59"/>
    <w:qFormat/>
    <w:uiPriority w:val="99"/>
    <w:pPr>
      <w:jc w:val="left"/>
    </w:pPr>
  </w:style>
  <w:style w:type="paragraph" w:styleId="8">
    <w:name w:val="Normal Indent"/>
    <w:basedOn w:val="1"/>
    <w:qFormat/>
    <w:uiPriority w:val="0"/>
    <w:pPr>
      <w:ind w:firstLine="420" w:firstLineChars="200"/>
    </w:pPr>
  </w:style>
  <w:style w:type="paragraph" w:styleId="9">
    <w:name w:val="Document Map"/>
    <w:basedOn w:val="1"/>
    <w:qFormat/>
    <w:uiPriority w:val="0"/>
    <w:pPr>
      <w:shd w:val="clear" w:color="auto" w:fill="000080"/>
    </w:pPr>
  </w:style>
  <w:style w:type="paragraph" w:styleId="10">
    <w:name w:val="Body Text"/>
    <w:basedOn w:val="1"/>
    <w:link w:val="35"/>
    <w:qFormat/>
    <w:uiPriority w:val="0"/>
    <w:pPr>
      <w:autoSpaceDE w:val="0"/>
      <w:autoSpaceDN w:val="0"/>
      <w:adjustRightInd w:val="0"/>
      <w:spacing w:line="360" w:lineRule="auto"/>
      <w:jc w:val="left"/>
    </w:pPr>
    <w:rPr>
      <w:rFonts w:ascii="宋体"/>
      <w:kern w:val="0"/>
    </w:rPr>
  </w:style>
  <w:style w:type="paragraph" w:styleId="11">
    <w:name w:val="toc 3"/>
    <w:basedOn w:val="1"/>
    <w:next w:val="1"/>
    <w:qFormat/>
    <w:uiPriority w:val="39"/>
    <w:pPr>
      <w:ind w:left="840" w:leftChars="400"/>
    </w:pPr>
  </w:style>
  <w:style w:type="paragraph" w:styleId="12">
    <w:name w:val="Plain Text"/>
    <w:basedOn w:val="1"/>
    <w:qFormat/>
    <w:uiPriority w:val="0"/>
    <w:pPr>
      <w:adjustRightInd w:val="0"/>
      <w:spacing w:line="312" w:lineRule="atLeast"/>
      <w:textAlignment w:val="baseline"/>
    </w:pPr>
    <w:rPr>
      <w:rFonts w:ascii="宋体" w:hAnsi="Courier New"/>
      <w:kern w:val="0"/>
    </w:rPr>
  </w:style>
  <w:style w:type="paragraph" w:styleId="13">
    <w:name w:val="Body Text Indent 2"/>
    <w:basedOn w:val="1"/>
    <w:qFormat/>
    <w:uiPriority w:val="0"/>
    <w:pPr>
      <w:spacing w:line="360" w:lineRule="auto"/>
      <w:ind w:firstLine="425"/>
    </w:pPr>
    <w:rPr>
      <w:rFonts w:ascii="仿宋_GB2312" w:eastAsia="仿宋_GB2312"/>
      <w:sz w:val="28"/>
    </w:rPr>
  </w:style>
  <w:style w:type="paragraph" w:styleId="14">
    <w:name w:val="Balloon Text"/>
    <w:basedOn w:val="1"/>
    <w:qFormat/>
    <w:uiPriority w:val="0"/>
    <w:rPr>
      <w:sz w:val="18"/>
    </w:rPr>
  </w:style>
  <w:style w:type="paragraph" w:styleId="15">
    <w:name w:val="footer"/>
    <w:basedOn w:val="1"/>
    <w:link w:val="66"/>
    <w:qFormat/>
    <w:uiPriority w:val="99"/>
    <w:pPr>
      <w:tabs>
        <w:tab w:val="center" w:pos="4153"/>
        <w:tab w:val="right" w:pos="8306"/>
      </w:tabs>
      <w:snapToGrid w:val="0"/>
      <w:jc w:val="left"/>
    </w:pPr>
    <w:rPr>
      <w:sz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tabs>
        <w:tab w:val="right" w:leader="dot" w:pos="8296"/>
      </w:tabs>
      <w:spacing w:line="360" w:lineRule="auto"/>
    </w:p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autoSpaceDE w:val="0"/>
      <w:autoSpaceDN w:val="0"/>
      <w:adjustRightInd w:val="0"/>
      <w:spacing w:line="360" w:lineRule="auto"/>
      <w:ind w:left="420" w:firstLine="435"/>
    </w:pPr>
    <w:rPr>
      <w:color w:val="0000FF"/>
    </w:r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34"/>
    <w:qFormat/>
    <w:uiPriority w:val="0"/>
    <w:pPr>
      <w:spacing w:before="240" w:after="60"/>
      <w:jc w:val="center"/>
      <w:outlineLvl w:val="0"/>
    </w:pPr>
    <w:rPr>
      <w:rFonts w:ascii="Cambria" w:hAnsi="Cambria"/>
      <w:b/>
      <w:sz w:val="32"/>
    </w:rPr>
  </w:style>
  <w:style w:type="character" w:styleId="25">
    <w:name w:val="Strong"/>
    <w:qFormat/>
    <w:uiPriority w:val="22"/>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99"/>
    <w:rPr>
      <w:sz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unnamed11"/>
    <w:qFormat/>
    <w:uiPriority w:val="0"/>
    <w:rPr>
      <w:rFonts w:hint="eastAsia" w:ascii="宋体" w:hAnsi="宋体" w:eastAsia="宋体"/>
      <w:sz w:val="18"/>
    </w:rPr>
  </w:style>
  <w:style w:type="character" w:customStyle="1" w:styleId="33">
    <w:name w:val="read"/>
    <w:basedOn w:val="24"/>
    <w:qFormat/>
    <w:uiPriority w:val="0"/>
  </w:style>
  <w:style w:type="character" w:customStyle="1" w:styleId="34">
    <w:name w:val="标题 字符"/>
    <w:link w:val="23"/>
    <w:qFormat/>
    <w:uiPriority w:val="0"/>
    <w:rPr>
      <w:rFonts w:ascii="Cambria" w:hAnsi="Cambria"/>
      <w:b/>
      <w:kern w:val="2"/>
      <w:sz w:val="32"/>
    </w:rPr>
  </w:style>
  <w:style w:type="character" w:customStyle="1" w:styleId="35">
    <w:name w:val="正文文本 字符"/>
    <w:link w:val="10"/>
    <w:qFormat/>
    <w:uiPriority w:val="0"/>
    <w:rPr>
      <w:rFonts w:ascii="宋体"/>
      <w:kern w:val="0"/>
    </w:rPr>
  </w:style>
  <w:style w:type="character" w:customStyle="1" w:styleId="36">
    <w:name w:val="页眉 字符"/>
    <w:link w:val="16"/>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10"/>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字符"/>
    <w:basedOn w:val="24"/>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字符"/>
    <w:basedOn w:val="24"/>
    <w:link w:val="7"/>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字符"/>
    <w:basedOn w:val="24"/>
    <w:link w:val="4"/>
    <w:qFormat/>
    <w:uiPriority w:val="0"/>
    <w:rPr>
      <w:b/>
      <w:kern w:val="2"/>
      <w:sz w:val="32"/>
    </w:rPr>
  </w:style>
  <w:style w:type="character" w:customStyle="1" w:styleId="65">
    <w:name w:val="HTML 预设格式 字符"/>
    <w:basedOn w:val="24"/>
    <w:link w:val="21"/>
    <w:qFormat/>
    <w:uiPriority w:val="99"/>
    <w:rPr>
      <w:rFonts w:ascii="宋体" w:hAnsi="宋体" w:cs="宋体"/>
      <w:sz w:val="24"/>
      <w:szCs w:val="24"/>
    </w:rPr>
  </w:style>
  <w:style w:type="character" w:customStyle="1" w:styleId="66">
    <w:name w:val="页脚 字符"/>
    <w:basedOn w:val="24"/>
    <w:link w:val="15"/>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825D1-B4D8-4083-8CB0-7CEB25AEFF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1544</Words>
  <Characters>8805</Characters>
  <Lines>73</Lines>
  <Paragraphs>20</Paragraphs>
  <TotalTime>2</TotalTime>
  <ScaleCrop>false</ScaleCrop>
  <LinksUpToDate>false</LinksUpToDate>
  <CharactersWithSpaces>10329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罗钦</cp:lastModifiedBy>
  <cp:lastPrinted>2017-10-31T06:33:00Z</cp:lastPrinted>
  <dcterms:modified xsi:type="dcterms:W3CDTF">2022-05-10T05:34:53Z</dcterms:modified>
  <dc:title>___证券投资基金招募说明书1</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C166FDD168F74BAFB715BD6389AD620E</vt:lpwstr>
  </property>
</Properties>
</file>