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黑体" w:hAnsi="黑体" w:eastAsia="黑体"/>
          <w:sz w:val="44"/>
          <w:szCs w:val="44"/>
        </w:rPr>
      </w:pPr>
      <w:r>
        <w:rPr>
          <w:rStyle w:val="25"/>
          <w:rFonts w:hint="eastAsia" w:ascii="黑体" w:hAnsi="黑体" w:eastAsia="黑体"/>
          <w:sz w:val="44"/>
          <w:szCs w:val="44"/>
        </w:rPr>
        <w:t>兴银理财天天万利宝稳利净值型理财产品产品说明书</w:t>
      </w:r>
    </w:p>
    <w:p>
      <w:pPr>
        <w:adjustRightInd w:val="0"/>
        <w:spacing w:line="360" w:lineRule="auto"/>
        <w:jc w:val="center"/>
        <w:rPr>
          <w:rStyle w:val="25"/>
          <w:rFonts w:ascii="宋体" w:hAnsi="宋体"/>
          <w:sz w:val="32"/>
          <w:szCs w:val="32"/>
        </w:rPr>
      </w:pPr>
    </w:p>
    <w:p>
      <w:pPr>
        <w:adjustRightInd w:val="0"/>
        <w:spacing w:line="360" w:lineRule="auto"/>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黑体" w:hAnsi="黑体" w:eastAsia="黑体"/>
          <w:bCs w:val="0"/>
          <w:sz w:val="28"/>
          <w:szCs w:val="28"/>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理财产品管理人：兴银理财有限责任公司</w:t>
      </w: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sz w:val="32"/>
          <w:szCs w:val="32"/>
        </w:rPr>
      </w:pPr>
    </w:p>
    <w:p>
      <w:pPr>
        <w:adjustRightInd w:val="0"/>
        <w:spacing w:line="360" w:lineRule="auto"/>
        <w:jc w:val="center"/>
        <w:rPr>
          <w:rStyle w:val="25"/>
          <w:rFonts w:ascii="宋体" w:hAnsi="宋体" w:cs="Times New Roman"/>
          <w:sz w:val="32"/>
          <w:szCs w:val="32"/>
        </w:rPr>
      </w:pPr>
      <w:r>
        <w:rPr>
          <w:rStyle w:val="25"/>
          <w:rFonts w:hint="eastAsia" w:ascii="宋体" w:hAnsi="宋体" w:cs="Times New Roman"/>
          <w:sz w:val="32"/>
          <w:szCs w:val="32"/>
        </w:rPr>
        <w:t>日期</w:t>
      </w:r>
      <w:r>
        <w:rPr>
          <w:rStyle w:val="25"/>
          <w:rFonts w:ascii="宋体" w:hAnsi="宋体" w:cs="Times New Roman"/>
          <w:sz w:val="32"/>
          <w:szCs w:val="32"/>
        </w:rPr>
        <w:t>：</w:t>
      </w:r>
      <w:r>
        <w:rPr>
          <w:rStyle w:val="25"/>
          <w:rFonts w:hint="eastAsia" w:ascii="宋体" w:hAnsi="宋体" w:cs="Times New Roman"/>
          <w:sz w:val="32"/>
          <w:szCs w:val="32"/>
        </w:rPr>
        <w:t>【2022】年【</w:t>
      </w:r>
      <w:r>
        <w:rPr>
          <w:rStyle w:val="25"/>
          <w:rFonts w:ascii="宋体" w:hAnsi="宋体" w:cs="Times New Roman"/>
          <w:sz w:val="32"/>
          <w:szCs w:val="32"/>
        </w:rPr>
        <w:t>6</w:t>
      </w:r>
      <w:r>
        <w:rPr>
          <w:rStyle w:val="25"/>
          <w:rFonts w:hint="eastAsia" w:ascii="宋体" w:hAnsi="宋体" w:cs="Times New Roman"/>
          <w:sz w:val="32"/>
          <w:szCs w:val="32"/>
        </w:rPr>
        <w:t>】月</w:t>
      </w:r>
    </w:p>
    <w:p>
      <w:pPr>
        <w:adjustRightInd w:val="0"/>
        <w:spacing w:line="360" w:lineRule="auto"/>
        <w:jc w:val="center"/>
        <w:rPr>
          <w:rStyle w:val="25"/>
          <w:rFonts w:ascii="宋体" w:hAnsi="宋体"/>
          <w:sz w:val="32"/>
          <w:szCs w:val="32"/>
        </w:rPr>
      </w:pPr>
    </w:p>
    <w:p>
      <w:pPr>
        <w:pStyle w:val="34"/>
        <w:spacing w:line="360" w:lineRule="auto"/>
        <w:rPr>
          <w:rFonts w:hAnsi="宋体"/>
          <w:sz w:val="28"/>
          <w:szCs w:val="28"/>
        </w:rPr>
        <w:sectPr>
          <w:footerReference r:id="rId5" w:type="first"/>
          <w:headerReference r:id="rId3" w:type="default"/>
          <w:footerReference r:id="rId4"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"_Toc12856" </w:instrText>
          </w:r>
          <w:r>
            <w:fldChar w:fldCharType="separate"/>
          </w:r>
          <w:r>
            <w:rPr>
              <w:rFonts w:ascii="Times New Roman"/>
            </w:rPr>
            <w:t>第</w:t>
          </w:r>
          <w:r>
            <w:rPr>
              <w:rFonts w:hint="eastAsia" w:ascii="Times New Roman"/>
            </w:rPr>
            <w:t xml:space="preserve">一条 </w:t>
          </w:r>
          <w:r>
            <w:rPr>
              <w:rFonts w:ascii="Times New Roman"/>
            </w:rPr>
            <w:t xml:space="preserve"> 释义</w:t>
          </w:r>
          <w:r>
            <w:tab/>
          </w:r>
          <w:r>
            <w:fldChar w:fldCharType="begin"/>
          </w:r>
          <w:r>
            <w:instrText xml:space="preserve"> PAGEREF _Toc12856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"_Toc11117" </w:instrText>
          </w:r>
          <w:r>
            <w:fldChar w:fldCharType="separate"/>
          </w:r>
          <w:r>
            <w:rPr>
              <w:rFonts w:hint="eastAsia" w:hAnsi="宋体"/>
              <w:szCs w:val="28"/>
            </w:rPr>
            <w:t>第二条  理财产品基本情况</w:t>
          </w:r>
          <w:r>
            <w:tab/>
          </w:r>
          <w:r>
            <w:fldChar w:fldCharType="begin"/>
          </w:r>
          <w:r>
            <w:instrText xml:space="preserve"> PAGEREF _Toc11117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"_Toc20496" </w:instrText>
          </w:r>
          <w:r>
            <w:fldChar w:fldCharType="separate"/>
          </w:r>
          <w:r>
            <w:rPr>
              <w:rFonts w:ascii="Times New Roman"/>
            </w:rPr>
            <w:t>第</w:t>
          </w:r>
          <w:r>
            <w:rPr>
              <w:rFonts w:hint="eastAsia" w:ascii="Times New Roman"/>
            </w:rPr>
            <w:t>三条</w:t>
          </w:r>
          <w:r>
            <w:rPr>
              <w:rFonts w:ascii="Times New Roman"/>
            </w:rPr>
            <w:t xml:space="preserve">  </w:t>
          </w:r>
          <w:r>
            <w:rPr>
              <w:rFonts w:hint="eastAsia" w:ascii="Times New Roman"/>
            </w:rPr>
            <w:t>理财产品的认购</w:t>
          </w:r>
          <w:r>
            <w:tab/>
          </w:r>
          <w:r>
            <w:fldChar w:fldCharType="begin"/>
          </w:r>
          <w:r>
            <w:instrText xml:space="preserve"> PAGEREF _Toc20496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"_Toc30037" </w:instrText>
          </w:r>
          <w:r>
            <w:fldChar w:fldCharType="separate"/>
          </w:r>
          <w:r>
            <w:rPr>
              <w:rFonts w:hint="eastAsia" w:ascii="Times New Roman"/>
            </w:rPr>
            <w:t xml:space="preserve">第四条 </w:t>
          </w:r>
          <w:r>
            <w:rPr>
              <w:rFonts w:ascii="Times New Roman"/>
            </w:rPr>
            <w:t xml:space="preserve"> </w:t>
          </w:r>
          <w:r>
            <w:rPr>
              <w:rFonts w:hint="eastAsia" w:ascii="Times New Roman"/>
            </w:rPr>
            <w:t>理财产品的申购与赎回</w:t>
          </w:r>
          <w:r>
            <w:tab/>
          </w:r>
          <w:r>
            <w:fldChar w:fldCharType="begin"/>
          </w:r>
          <w:r>
            <w:instrText xml:space="preserve"> PAGEREF _Toc30037 </w:instrText>
          </w:r>
          <w:r>
            <w:fldChar w:fldCharType="separate"/>
          </w:r>
          <w:r>
            <w:t>15</w:t>
          </w:r>
          <w:r>
            <w:fldChar w:fldCharType="end"/>
          </w:r>
          <w:r>
            <w:fldChar w:fldCharType="end"/>
          </w:r>
        </w:p>
        <w:p>
          <w:pPr>
            <w:pStyle w:val="17"/>
            <w:tabs>
              <w:tab w:val="right" w:leader="dot" w:pos="8306"/>
            </w:tabs>
          </w:pPr>
          <w:r>
            <w:fldChar w:fldCharType="begin"/>
          </w:r>
          <w:r>
            <w:instrText xml:space="preserve"> HYPERLINK \l "_Toc16425" </w:instrText>
          </w:r>
          <w:r>
            <w:fldChar w:fldCharType="separate"/>
          </w:r>
          <w:r>
            <w:rPr>
              <w:rFonts w:ascii="Times New Roman"/>
            </w:rPr>
            <w:t>第</w:t>
          </w:r>
          <w:r>
            <w:rPr>
              <w:rFonts w:hint="eastAsia" w:ascii="Times New Roman"/>
            </w:rPr>
            <w:t>五条</w:t>
          </w:r>
          <w:r>
            <w:rPr>
              <w:rFonts w:ascii="Times New Roman"/>
            </w:rPr>
            <w:t xml:space="preserve">  </w:t>
          </w:r>
          <w:r>
            <w:rPr>
              <w:rFonts w:hint="eastAsia" w:ascii="Times New Roman"/>
            </w:rPr>
            <w:t>理财产品的投资</w:t>
          </w:r>
          <w:r>
            <w:tab/>
          </w:r>
          <w:r>
            <w:fldChar w:fldCharType="begin"/>
          </w:r>
          <w:r>
            <w:instrText xml:space="preserve"> PAGEREF _Toc16425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"_Toc4918" </w:instrText>
          </w:r>
          <w:r>
            <w:fldChar w:fldCharType="separate"/>
          </w:r>
          <w:r>
            <w:rPr>
              <w:rFonts w:ascii="Times New Roman"/>
            </w:rPr>
            <w:t>第</w:t>
          </w:r>
          <w:r>
            <w:rPr>
              <w:rFonts w:hint="eastAsia" w:ascii="Times New Roman"/>
            </w:rPr>
            <w:t>六条</w:t>
          </w:r>
          <w:r>
            <w:rPr>
              <w:rFonts w:ascii="Times New Roman"/>
            </w:rPr>
            <w:t xml:space="preserve">  </w:t>
          </w:r>
          <w:r>
            <w:rPr>
              <w:rFonts w:hint="eastAsia" w:ascii="Times New Roman"/>
            </w:rPr>
            <w:t>理财产品的资产</w:t>
          </w:r>
          <w:r>
            <w:tab/>
          </w:r>
          <w:r>
            <w:fldChar w:fldCharType="begin"/>
          </w:r>
          <w:r>
            <w:instrText xml:space="preserve"> PAGEREF _Toc4918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"_Toc5409" </w:instrText>
          </w:r>
          <w:r>
            <w:fldChar w:fldCharType="separate"/>
          </w:r>
          <w:r>
            <w:rPr>
              <w:rFonts w:hint="eastAsia" w:ascii="Times New Roman"/>
              <w:szCs w:val="28"/>
            </w:rPr>
            <w:t>第七条</w:t>
          </w:r>
          <w:r>
            <w:rPr>
              <w:rFonts w:ascii="Times New Roman"/>
              <w:szCs w:val="28"/>
            </w:rPr>
            <w:t xml:space="preserve">  </w:t>
          </w:r>
          <w:r>
            <w:rPr>
              <w:rFonts w:hint="eastAsia" w:ascii="Times New Roman"/>
              <w:szCs w:val="28"/>
            </w:rPr>
            <w:t>理财产品项下资产的估值</w:t>
          </w:r>
          <w:r>
            <w:tab/>
          </w:r>
          <w:r>
            <w:fldChar w:fldCharType="begin"/>
          </w:r>
          <w:r>
            <w:instrText xml:space="preserve"> PAGEREF _Toc5409 </w:instrText>
          </w:r>
          <w:r>
            <w:fldChar w:fldCharType="separate"/>
          </w:r>
          <w:r>
            <w:t>24</w:t>
          </w:r>
          <w:r>
            <w:fldChar w:fldCharType="end"/>
          </w:r>
          <w:r>
            <w:fldChar w:fldCharType="end"/>
          </w:r>
        </w:p>
        <w:p>
          <w:pPr>
            <w:pStyle w:val="17"/>
            <w:tabs>
              <w:tab w:val="right" w:leader="dot" w:pos="8306"/>
            </w:tabs>
          </w:pPr>
          <w:r>
            <w:fldChar w:fldCharType="begin"/>
          </w:r>
          <w:r>
            <w:instrText xml:space="preserve"> HYPERLINK \l "_Toc7447" </w:instrText>
          </w:r>
          <w:r>
            <w:fldChar w:fldCharType="separate"/>
          </w:r>
          <w:r>
            <w:rPr>
              <w:rFonts w:ascii="Times New Roman"/>
            </w:rPr>
            <w:t>第</w:t>
          </w:r>
          <w:r>
            <w:rPr>
              <w:rFonts w:hint="eastAsia" w:ascii="Times New Roman"/>
            </w:rPr>
            <w:t>八条</w:t>
          </w:r>
          <w:r>
            <w:rPr>
              <w:rFonts w:ascii="Times New Roman"/>
            </w:rPr>
            <w:t xml:space="preserve">  </w:t>
          </w:r>
          <w:r>
            <w:rPr>
              <w:rFonts w:hint="eastAsia" w:ascii="Times New Roman"/>
            </w:rPr>
            <w:t>理财产品的利益分配</w:t>
          </w:r>
          <w:r>
            <w:tab/>
          </w:r>
          <w:r>
            <w:fldChar w:fldCharType="begin"/>
          </w:r>
          <w:r>
            <w:instrText xml:space="preserve"> PAGEREF _Toc7447 </w:instrText>
          </w:r>
          <w:r>
            <w:fldChar w:fldCharType="separate"/>
          </w:r>
          <w:r>
            <w:t>28</w:t>
          </w:r>
          <w:r>
            <w:fldChar w:fldCharType="end"/>
          </w:r>
          <w:r>
            <w:fldChar w:fldCharType="end"/>
          </w:r>
        </w:p>
        <w:p>
          <w:pPr>
            <w:pStyle w:val="17"/>
            <w:tabs>
              <w:tab w:val="right" w:leader="dot" w:pos="8306"/>
            </w:tabs>
          </w:pPr>
          <w:r>
            <w:fldChar w:fldCharType="begin"/>
          </w:r>
          <w:r>
            <w:instrText xml:space="preserve"> HYPERLINK \l "_Toc8000" </w:instrText>
          </w:r>
          <w:r>
            <w:fldChar w:fldCharType="separate"/>
          </w:r>
          <w:r>
            <w:rPr>
              <w:rFonts w:ascii="Times New Roman"/>
            </w:rPr>
            <w:t>第</w:t>
          </w:r>
          <w:r>
            <w:rPr>
              <w:rFonts w:hint="eastAsia" w:ascii="Times New Roman"/>
            </w:rPr>
            <w:t>九条</w:t>
          </w:r>
          <w:r>
            <w:rPr>
              <w:rFonts w:ascii="Times New Roman"/>
            </w:rPr>
            <w:t xml:space="preserve">  </w:t>
          </w:r>
          <w:r>
            <w:rPr>
              <w:rFonts w:hint="eastAsia" w:ascii="Times New Roman"/>
            </w:rPr>
            <w:t>理财产品的费用与税收</w:t>
          </w:r>
          <w:r>
            <w:tab/>
          </w:r>
          <w:r>
            <w:fldChar w:fldCharType="begin"/>
          </w:r>
          <w:r>
            <w:instrText xml:space="preserve"> PAGEREF _Toc8000 </w:instrText>
          </w:r>
          <w:r>
            <w:fldChar w:fldCharType="separate"/>
          </w:r>
          <w:r>
            <w:t>29</w:t>
          </w:r>
          <w:r>
            <w:fldChar w:fldCharType="end"/>
          </w:r>
          <w:r>
            <w:fldChar w:fldCharType="end"/>
          </w:r>
        </w:p>
        <w:p>
          <w:pPr>
            <w:pStyle w:val="17"/>
            <w:tabs>
              <w:tab w:val="right" w:leader="dot" w:pos="8306"/>
            </w:tabs>
          </w:pPr>
          <w:r>
            <w:fldChar w:fldCharType="begin"/>
          </w:r>
          <w:r>
            <w:instrText xml:space="preserve"> HYPERLINK \l "_Toc16660"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_Toc16660 </w:instrText>
          </w:r>
          <w:r>
            <w:fldChar w:fldCharType="separate"/>
          </w:r>
          <w:r>
            <w:t>31</w:t>
          </w:r>
          <w:r>
            <w:fldChar w:fldCharType="end"/>
          </w:r>
          <w:r>
            <w:fldChar w:fldCharType="end"/>
          </w:r>
        </w:p>
        <w:p>
          <w:pPr>
            <w:pStyle w:val="17"/>
            <w:tabs>
              <w:tab w:val="right" w:leader="dot" w:pos="8306"/>
            </w:tabs>
          </w:pPr>
          <w:r>
            <w:fldChar w:fldCharType="begin"/>
          </w:r>
          <w:r>
            <w:instrText xml:space="preserve"> HYPERLINK \l "_Toc16218" </w:instrText>
          </w:r>
          <w:r>
            <w:fldChar w:fldCharType="separate"/>
          </w:r>
          <w:r>
            <w:rPr>
              <w:rFonts w:hint="eastAsia" w:ascii="Times New Roman"/>
              <w:szCs w:val="28"/>
            </w:rPr>
            <w:t>第十一条</w:t>
          </w:r>
          <w:r>
            <w:rPr>
              <w:rFonts w:ascii="Times New Roman"/>
              <w:szCs w:val="28"/>
            </w:rPr>
            <w:t xml:space="preserve">  </w:t>
          </w:r>
          <w:r>
            <w:rPr>
              <w:rFonts w:hint="eastAsia" w:ascii="Times New Roman"/>
              <w:szCs w:val="28"/>
            </w:rPr>
            <w:t>理财产品的信息披露</w:t>
          </w:r>
          <w:r>
            <w:tab/>
          </w:r>
          <w:r>
            <w:fldChar w:fldCharType="begin"/>
          </w:r>
          <w:r>
            <w:instrText xml:space="preserve"> PAGEREF _Toc16218 </w:instrText>
          </w:r>
          <w:r>
            <w:fldChar w:fldCharType="separate"/>
          </w:r>
          <w:r>
            <w:t>33</w:t>
          </w:r>
          <w:r>
            <w:fldChar w:fldCharType="end"/>
          </w:r>
          <w:r>
            <w:fldChar w:fldCharType="end"/>
          </w:r>
        </w:p>
        <w:p>
          <w:pPr>
            <w:pStyle w:val="17"/>
            <w:tabs>
              <w:tab w:val="right" w:leader="dot" w:pos="8306"/>
            </w:tabs>
          </w:pPr>
          <w:r>
            <w:fldChar w:fldCharType="begin"/>
          </w:r>
          <w:r>
            <w:instrText xml:space="preserve"> HYPERLINK \l "_Toc17205" </w:instrText>
          </w:r>
          <w:r>
            <w:fldChar w:fldCharType="separate"/>
          </w:r>
          <w:r>
            <w:rPr>
              <w:rFonts w:hint="eastAsia" w:ascii="Times New Roman"/>
            </w:rPr>
            <w:t>第十二条</w:t>
          </w:r>
          <w:r>
            <w:rPr>
              <w:rFonts w:ascii="Times New Roman"/>
            </w:rPr>
            <w:t xml:space="preserve">  </w:t>
          </w:r>
          <w:r>
            <w:rPr>
              <w:rFonts w:hint="eastAsia" w:ascii="Times New Roman"/>
            </w:rPr>
            <w:t>理财产品</w:t>
          </w:r>
          <w:r>
            <w:rPr>
              <w:rFonts w:ascii="Times New Roman"/>
            </w:rPr>
            <w:t>的风险揭示</w:t>
          </w:r>
          <w:r>
            <w:tab/>
          </w:r>
          <w:r>
            <w:fldChar w:fldCharType="begin"/>
          </w:r>
          <w:r>
            <w:instrText xml:space="preserve"> PAGEREF _Toc17205 </w:instrText>
          </w:r>
          <w:r>
            <w:fldChar w:fldCharType="separate"/>
          </w:r>
          <w:r>
            <w:t>36</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footerReference r:id="rId6"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12856"/>
      <w:bookmarkStart w:id="2" w:name="_Toc92377130"/>
      <w:bookmarkStart w:id="3" w:name="_Toc9482"/>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bookmarkEnd w:id="2"/>
      <w:bookmarkEnd w:id="3"/>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pPr>
        <w:pStyle w:val="34"/>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4" w:name="_Toc79154665"/>
      <w:bookmarkStart w:id="5" w:name="_Toc23998"/>
      <w:bookmarkStart w:id="6" w:name="_Toc92377131"/>
      <w:bookmarkStart w:id="7" w:name="_Toc11117"/>
      <w:r>
        <w:rPr>
          <w:rFonts w:hint="eastAsia" w:hAnsi="宋体"/>
          <w:sz w:val="28"/>
          <w:szCs w:val="28"/>
        </w:rPr>
        <w:t>第二条  理财产品基本情况</w:t>
      </w:r>
      <w:bookmarkEnd w:id="4"/>
      <w:bookmarkEnd w:id="5"/>
      <w:bookmarkEnd w:id="6"/>
      <w:bookmarkEnd w:id="7"/>
      <w:r>
        <w:rPr>
          <w:rFonts w:hint="eastAsia" w:hAnsi="宋体"/>
          <w:sz w:val="28"/>
          <w:szCs w:val="28"/>
        </w:rPr>
        <w:t xml:space="preserve"> </w:t>
      </w:r>
    </w:p>
    <w:tbl>
      <w:tblPr>
        <w:tblStyle w:val="30"/>
        <w:tblW w:w="964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vAlign w:val="top"/>
          </w:tcPr>
          <w:p>
            <w:pPr>
              <w:spacing w:line="360" w:lineRule="auto"/>
              <w:jc w:val="left"/>
              <w:rPr>
                <w:rFonts w:asciiTheme="minorEastAsia" w:hAnsiTheme="minorEastAsia" w:eastAsiaTheme="minorEastAsia" w:cstheme="minorEastAsia"/>
                <w:bCs/>
                <w:sz w:val="18"/>
                <w:szCs w:val="18"/>
              </w:rPr>
            </w:pPr>
            <w:r>
              <w:rPr>
                <w:rFonts w:hint="eastAsia" w:ascii="宋体" w:hAnsi="宋体"/>
                <w:bCs/>
                <w:sz w:val="18"/>
                <w:szCs w:val="18"/>
              </w:rPr>
              <w:t>兴银理财天天万利宝稳利</w:t>
            </w:r>
            <w:r>
              <w:rPr>
                <w:rFonts w:ascii="宋体" w:hAnsi="宋体"/>
                <w:bCs/>
                <w:sz w:val="18"/>
                <w:szCs w:val="18"/>
              </w:rPr>
              <w:t>8</w:t>
            </w:r>
            <w:r>
              <w:rPr>
                <w:rFonts w:hint="eastAsia" w:ascii="宋体" w:hAnsi="宋体"/>
                <w:bCs/>
                <w:sz w:val="18"/>
                <w:szCs w:val="18"/>
              </w:rPr>
              <w:t>号</w:t>
            </w:r>
            <w:r>
              <w:rPr>
                <w:rFonts w:hint="eastAsia" w:ascii="宋体" w:hAnsi="宋体"/>
                <w:bCs/>
                <w:sz w:val="18"/>
                <w:szCs w:val="18"/>
                <w:lang w:val="en-US" w:eastAsia="zh-CN"/>
              </w:rPr>
              <w:t>I</w:t>
            </w:r>
            <w:r>
              <w:rPr>
                <w:rFonts w:hint="eastAsia" w:ascii="宋体" w:hAnsi="宋体"/>
                <w:bCs/>
                <w:sz w:val="18"/>
                <w:szCs w:val="18"/>
              </w:rPr>
              <w:t>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widowControl w:val="0"/>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款】（适用【A】类份额）</w:t>
            </w:r>
          </w:p>
          <w:p>
            <w:pPr>
              <w:widowControl/>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款B】（适用【B】类份额）</w:t>
            </w:r>
          </w:p>
          <w:p>
            <w:pPr>
              <w:widowControl/>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款C】（适用【C】类份额）</w:t>
            </w:r>
          </w:p>
          <w:p>
            <w:pPr>
              <w:spacing w:line="360" w:lineRule="auto"/>
              <w:jc w:val="left"/>
              <w:rPr>
                <w:rFonts w:ascii="宋体" w:hAnsi="宋体"/>
                <w:bCs/>
                <w:sz w:val="18"/>
                <w:szCs w:val="18"/>
              </w:rPr>
            </w:pPr>
            <w:r>
              <w:rPr>
                <w:rFonts w:hint="eastAsia" w:ascii="宋体" w:hAnsi="宋体"/>
                <w:bCs/>
                <w:sz w:val="18"/>
                <w:szCs w:val="18"/>
              </w:rPr>
              <w:t>【稳利季季增利</w:t>
            </w:r>
            <w:r>
              <w:rPr>
                <w:rFonts w:hint="eastAsia" w:ascii="宋体" w:hAnsi="宋体"/>
                <w:bCs/>
                <w:sz w:val="18"/>
                <w:szCs w:val="18"/>
                <w:lang w:val="en-US" w:eastAsia="zh-CN"/>
              </w:rPr>
              <w:t>L</w:t>
            </w:r>
            <w:r>
              <w:rPr>
                <w:rFonts w:hint="eastAsia" w:ascii="宋体" w:hAnsi="宋体"/>
                <w:bCs/>
                <w:sz w:val="18"/>
                <w:szCs w:val="18"/>
              </w:rPr>
              <w:t>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vAlign w:val="top"/>
          </w:tcPr>
          <w:p>
            <w:pPr>
              <w:spacing w:line="360" w:lineRule="auto"/>
              <w:jc w:val="left"/>
              <w:rPr>
                <w:rFonts w:asciiTheme="minorEastAsia" w:hAnsiTheme="minorEastAsia" w:eastAsiaTheme="minorEastAsia" w:cstheme="minorEastAsia"/>
                <w:b/>
                <w:sz w:val="18"/>
                <w:szCs w:val="18"/>
              </w:rPr>
            </w:pPr>
            <w:r>
              <w:rPr>
                <w:rFonts w:hint="eastAsia" w:ascii="宋体" w:hAnsi="宋体"/>
                <w:bCs/>
                <w:sz w:val="18"/>
                <w:szCs w:val="18"/>
              </w:rPr>
              <w:t>【</w:t>
            </w:r>
            <w:r>
              <w:rPr>
                <w:rFonts w:ascii="宋体" w:hAnsi="宋体"/>
                <w:bCs/>
                <w:sz w:val="18"/>
                <w:szCs w:val="18"/>
              </w:rPr>
              <w:t>Z700202100016</w:t>
            </w:r>
            <w:r>
              <w:rPr>
                <w:rFonts w:hint="eastAsia" w:ascii="宋体" w:hAnsi="宋体"/>
                <w:bCs/>
                <w:sz w:val="18"/>
                <w:szCs w:val="18"/>
                <w:lang w:val="en-US" w:eastAsia="zh-CN"/>
              </w:rPr>
              <w:t>8</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Theme="minorEastAsia" w:hAnsiTheme="minorEastAsia" w:eastAsiaTheme="minorEastAsia" w:cstheme="minorEastAsia"/>
                <w:bCs/>
                <w:sz w:val="18"/>
                <w:szCs w:val="18"/>
              </w:rPr>
            </w:pPr>
            <w:r>
              <w:rPr>
                <w:rFonts w:ascii="宋体" w:hAnsi="宋体"/>
                <w:bCs/>
                <w:sz w:val="18"/>
                <w:szCs w:val="18"/>
              </w:rPr>
              <w:t>【9K2095</w:t>
            </w:r>
            <w:r>
              <w:rPr>
                <w:rFonts w:hint="eastAsia" w:ascii="宋体" w:hAnsi="宋体"/>
                <w:bCs/>
                <w:sz w:val="18"/>
                <w:szCs w:val="18"/>
                <w:lang w:val="en-US" w:eastAsia="zh-CN"/>
              </w:rPr>
              <w:t>9</w:t>
            </w:r>
            <w:r>
              <w:rPr>
                <w:rFonts w:ascii="宋体" w:hAnsi="宋体"/>
                <w:bCs/>
                <w:sz w:val="18"/>
                <w:szCs w:val="18"/>
              </w:rPr>
              <w:t>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60" w:lineRule="auto"/>
              <w:jc w:val="both"/>
              <w:rPr>
                <w:rFonts w:ascii="宋体" w:hAnsi="宋体"/>
                <w:bCs/>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A】（适用【A】类份额）</w:t>
            </w:r>
          </w:p>
          <w:p>
            <w:pPr>
              <w:spacing w:line="360" w:lineRule="auto"/>
              <w:jc w:val="both"/>
              <w:rPr>
                <w:rFonts w:ascii="宋体" w:hAnsi="宋体"/>
                <w:bCs/>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B】（适用【B】类份额）</w:t>
            </w:r>
          </w:p>
          <w:p>
            <w:pPr>
              <w:spacing w:line="360" w:lineRule="auto"/>
              <w:jc w:val="both"/>
              <w:rPr>
                <w:rFonts w:ascii="宋体" w:hAnsi="宋体"/>
                <w:bCs/>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C】（适用【C】类份额）</w:t>
            </w:r>
          </w:p>
          <w:p>
            <w:pPr>
              <w:spacing w:line="360" w:lineRule="auto"/>
              <w:jc w:val="both"/>
              <w:rPr>
                <w:rFonts w:ascii="宋体" w:hAnsi="宋体"/>
                <w:bCs/>
                <w:color w:val="000000" w:themeColor="text1"/>
                <w:sz w:val="18"/>
                <w:szCs w:val="18"/>
              </w:rPr>
            </w:pPr>
            <w:r>
              <w:rPr>
                <w:rFonts w:hint="eastAsia" w:ascii="宋体" w:hAnsi="宋体"/>
                <w:bCs/>
                <w:sz w:val="18"/>
                <w:szCs w:val="18"/>
              </w:rPr>
              <w:t>【9K2095</w:t>
            </w:r>
            <w:r>
              <w:rPr>
                <w:rFonts w:hint="eastAsia" w:ascii="宋体" w:hAnsi="宋体"/>
                <w:bCs/>
                <w:sz w:val="18"/>
                <w:szCs w:val="18"/>
                <w:lang w:val="en-US" w:eastAsia="zh-CN"/>
              </w:rPr>
              <w:t>9</w:t>
            </w:r>
            <w:r>
              <w:rPr>
                <w:rFonts w:hint="eastAsia" w:ascii="宋体" w:hAnsi="宋体"/>
                <w:bCs/>
                <w:sz w:val="18"/>
                <w:szCs w:val="18"/>
              </w:rPr>
              <w:t>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rPr>
            </w:pPr>
            <w:r>
              <w:rPr>
                <w:rFonts w:hint="eastAsia" w:asciiTheme="majorEastAsia" w:hAnsiTheme="majorEastAsia" w:eastAsiaTheme="majorEastAsia"/>
                <w:b/>
                <w:color w:val="000000" w:themeColor="text1"/>
                <w:sz w:val="18"/>
                <w:szCs w:val="18"/>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本产品</w:t>
            </w:r>
            <w:r>
              <w:rPr>
                <w:rFonts w:asciiTheme="majorEastAsia" w:hAnsiTheme="majorEastAsia" w:eastAsiaTheme="majorEastAsia"/>
                <w:bCs/>
                <w:color w:val="000000" w:themeColor="text1"/>
                <w:sz w:val="18"/>
                <w:szCs w:val="18"/>
              </w:rPr>
              <w:t>适合以下类型投资者：</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 xml:space="preserve">客户 </w:t>
            </w:r>
            <w:r>
              <w:rPr>
                <w:rFonts w:asciiTheme="majorEastAsia" w:hAnsiTheme="majorEastAsia" w:eastAsiaTheme="majorEastAsia"/>
                <w:bCs/>
                <w:color w:val="000000" w:themeColor="text1"/>
                <w:sz w:val="18"/>
                <w:szCs w:val="18"/>
              </w:rPr>
              <w:t xml:space="preserve">  </w:t>
            </w:r>
            <w:r>
              <w:rPr>
                <w:rFonts w:hint="eastAsia" w:asciiTheme="majorEastAsia" w:hAnsiTheme="majorEastAsia" w:eastAsiaTheme="majorEastAsia"/>
                <w:bCs/>
                <w:color w:val="000000" w:themeColor="text1"/>
                <w:sz w:val="18"/>
                <w:szCs w:val="18"/>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规模为【20】亿元，最小成立规模为【/】亿元。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：【2022】年【3】月【16】日9:00至【2022】年【3】月【22】日15:45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bCs/>
                <w:sz w:val="18"/>
                <w:szCs w:val="18"/>
              </w:rPr>
              <w:t>【2022】年【3】月【23】日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rPr>
            </w:pPr>
            <w:r>
              <w:rPr>
                <w:rFonts w:asciiTheme="minorEastAsia" w:hAnsiTheme="minorEastAsia" w:eastAsiaTheme="minorEastAsia"/>
                <w:bCs/>
                <w:color w:val="000000" w:themeColor="text1"/>
                <w:sz w:val="18"/>
                <w:szCs w:val="18"/>
              </w:rPr>
              <w:t>1</w:t>
            </w:r>
            <w:r>
              <w:rPr>
                <w:rFonts w:asciiTheme="majorEastAsia" w:hAnsiTheme="majorEastAsia" w:eastAsiaTheme="majorEastAsia"/>
                <w:bCs/>
                <w:color w:val="000000" w:themeColor="text1"/>
                <w:sz w:val="18"/>
                <w:szCs w:val="18"/>
              </w:rPr>
              <w:t>.投资周期的设置</w:t>
            </w:r>
          </w:p>
          <w:p>
            <w:pPr>
              <w:spacing w:line="360" w:lineRule="auto"/>
              <w:rPr>
                <w:rFonts w:asciiTheme="minorEastAsia" w:hAnsiTheme="minorEastAsia" w:eastAsiaTheme="min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w:t>
            </w:r>
            <w:r>
              <w:rPr>
                <w:rFonts w:hint="eastAsia" w:asciiTheme="majorEastAsia" w:hAnsiTheme="majorEastAsia" w:eastAsiaTheme="majorEastAsia"/>
                <w:bCs/>
                <w:color w:val="000000" w:themeColor="text1"/>
                <w:sz w:val="18"/>
                <w:szCs w:val="18"/>
              </w:rPr>
              <w:t>投资周期指</w:t>
            </w:r>
            <w:r>
              <w:rPr>
                <w:rFonts w:hint="eastAsia" w:asciiTheme="minorEastAsia" w:hAnsiTheme="minorEastAsia" w:eastAsiaTheme="minorEastAsia"/>
                <w:bCs/>
                <w:color w:val="000000" w:themeColor="text1"/>
                <w:sz w:val="18"/>
                <w:szCs w:val="18"/>
              </w:rPr>
              <w:t>投资者</w:t>
            </w:r>
            <w:r>
              <w:rPr>
                <w:rFonts w:asciiTheme="minorEastAsia" w:hAnsiTheme="minorEastAsia" w:eastAsiaTheme="minorEastAsia"/>
                <w:bCs/>
                <w:color w:val="000000" w:themeColor="text1"/>
                <w:sz w:val="18"/>
                <w:szCs w:val="18"/>
              </w:rPr>
              <w:t>持有理财产品份额</w:t>
            </w:r>
            <w:r>
              <w:rPr>
                <w:rFonts w:hint="eastAsia" w:asciiTheme="minorEastAsia" w:hAnsiTheme="minorEastAsia" w:eastAsiaTheme="minorEastAsia"/>
                <w:bCs/>
                <w:color w:val="000000" w:themeColor="text1"/>
                <w:sz w:val="18"/>
                <w:szCs w:val="18"/>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rPr>
            </w:pPr>
            <w:r>
              <w:rPr>
                <w:rFonts w:hint="eastAsia" w:asciiTheme="majorEastAsia" w:hAnsiTheme="majorEastAsia" w:eastAsiaTheme="majorEastAsia"/>
                <w:bCs/>
                <w:color w:val="000000" w:themeColor="text1"/>
                <w:sz w:val="18"/>
                <w:szCs w:val="18"/>
              </w:rPr>
              <w:t>（2）每一个投资周期：包含</w:t>
            </w:r>
            <w:r>
              <w:rPr>
                <w:rFonts w:hint="eastAsia" w:cs="仿宋_GB2312" w:asciiTheme="majorEastAsia" w:hAnsiTheme="majorEastAsia" w:eastAsiaTheme="majorEastAsia"/>
                <w:color w:val="000000" w:themeColor="text1"/>
                <w:kern w:val="0"/>
                <w:sz w:val="18"/>
                <w:szCs w:val="18"/>
              </w:rPr>
              <w:t>该</w:t>
            </w:r>
            <w:r>
              <w:rPr>
                <w:rFonts w:hint="eastAsia" w:asciiTheme="majorEastAsia" w:hAnsiTheme="majorEastAsia" w:eastAsiaTheme="majorEastAsia"/>
                <w:bCs/>
                <w:color w:val="000000" w:themeColor="text1"/>
                <w:sz w:val="18"/>
                <w:szCs w:val="18"/>
              </w:rPr>
              <w:t>投资者对应产品份额的认购确认日</w:t>
            </w:r>
            <w:r>
              <w:rPr>
                <w:rFonts w:asciiTheme="majorEastAsia" w:hAnsiTheme="majorEastAsia" w:eastAsiaTheme="majorEastAsia"/>
                <w:bCs/>
                <w:color w:val="000000" w:themeColor="text1"/>
                <w:sz w:val="18"/>
                <w:szCs w:val="18"/>
              </w:rPr>
              <w:t>/申购确认日</w:t>
            </w:r>
            <w:r>
              <w:rPr>
                <w:rFonts w:hint="eastAsia" w:cs="仿宋_GB2312" w:asciiTheme="majorEastAsia" w:hAnsiTheme="majorEastAsia" w:eastAsiaTheme="majorEastAsia"/>
                <w:color w:val="000000" w:themeColor="text1"/>
                <w:kern w:val="0"/>
                <w:sz w:val="18"/>
                <w:szCs w:val="18"/>
              </w:rPr>
              <w:t>至该投资者对应产品份额的赎回确认日的期间。</w:t>
            </w:r>
          </w:p>
          <w:p>
            <w:pPr>
              <w:spacing w:line="360" w:lineRule="auto"/>
              <w:rPr>
                <w:rFonts w:asciiTheme="majorEastAsia" w:hAnsiTheme="majorEastAsia" w:eastAsiaTheme="maj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asciiTheme="minorEastAsia" w:hAnsiTheme="minorEastAsia" w:eastAsiaTheme="minorEastAsia"/>
                <w:bCs/>
                <w:color w:val="000000" w:themeColor="text1"/>
                <w:sz w:val="18"/>
                <w:szCs w:val="18"/>
              </w:rPr>
              <w:t>）</w:t>
            </w:r>
            <w:r>
              <w:rPr>
                <w:rFonts w:hint="eastAsia" w:asciiTheme="majorEastAsia" w:hAnsiTheme="majorEastAsia" w:eastAsiaTheme="majorEastAsia"/>
                <w:bCs/>
                <w:color w:val="000000" w:themeColor="text1"/>
                <w:sz w:val="18"/>
                <w:szCs w:val="18"/>
              </w:rPr>
              <w:t>正常情况下，本产品的一个投资周期为【3个月】</w:t>
            </w:r>
            <w:r>
              <w:rPr>
                <w:rFonts w:asciiTheme="majorEastAsia" w:hAnsiTheme="majorEastAsia" w:eastAsiaTheme="majorEastAsia"/>
                <w:bCs/>
                <w:color w:val="000000" w:themeColor="text1"/>
                <w:sz w:val="18"/>
                <w:szCs w:val="18"/>
              </w:rPr>
              <w:t>，</w:t>
            </w:r>
            <w:r>
              <w:rPr>
                <w:rFonts w:hint="eastAsia" w:asciiTheme="majorEastAsia" w:hAnsiTheme="majorEastAsia" w:eastAsiaTheme="majorEastAsia"/>
                <w:bCs/>
                <w:color w:val="000000" w:themeColor="text1"/>
                <w:sz w:val="18"/>
                <w:szCs w:val="18"/>
              </w:rPr>
              <w:t>投资周期存在长于或短于【3个月】的可能，投资者具体投资周期以本产品说明书“申购</w:t>
            </w:r>
            <w:r>
              <w:rPr>
                <w:rFonts w:asciiTheme="majorEastAsia" w:hAnsiTheme="majorEastAsia" w:eastAsiaTheme="majorEastAsia"/>
                <w:bCs/>
                <w:color w:val="000000" w:themeColor="text1"/>
                <w:sz w:val="18"/>
                <w:szCs w:val="18"/>
              </w:rPr>
              <w:t>/赎回安排</w:t>
            </w:r>
            <w:r>
              <w:rPr>
                <w:rFonts w:hint="eastAsia" w:asciiTheme="majorEastAsia" w:hAnsiTheme="majorEastAsia" w:eastAsiaTheme="majorEastAsia"/>
                <w:bCs/>
                <w:color w:val="000000" w:themeColor="text1"/>
                <w:sz w:val="18"/>
                <w:szCs w:val="18"/>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2.投资周期的参与</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w:t>
            </w:r>
            <w:r>
              <w:rPr>
                <w:rFonts w:asciiTheme="majorEastAsia" w:hAnsiTheme="majorEastAsia" w:eastAsiaTheme="majorEastAsia"/>
                <w:bCs/>
                <w:color w:val="000000" w:themeColor="text1"/>
                <w:sz w:val="18"/>
                <w:szCs w:val="18"/>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rPr>
            </w:pP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rPr>
              <w:t>本产品</w:t>
            </w:r>
            <w:r>
              <w:rPr>
                <w:rFonts w:cs="仿宋_GB2312" w:asciiTheme="majorEastAsia" w:hAnsiTheme="majorEastAsia" w:eastAsiaTheme="majorEastAsia"/>
                <w:color w:val="000000" w:themeColor="text1"/>
                <w:kern w:val="0"/>
                <w:sz w:val="18"/>
                <w:szCs w:val="18"/>
              </w:rPr>
              <w:t>成立后管理人可根据募集情况设置预约申购期</w:t>
            </w:r>
            <w:r>
              <w:rPr>
                <w:rFonts w:hint="eastAsia" w:cs="仿宋_GB2312" w:asciiTheme="majorEastAsia" w:hAnsiTheme="majorEastAsia" w:eastAsiaTheme="majorEastAsia"/>
                <w:color w:val="000000" w:themeColor="text1"/>
                <w:kern w:val="0"/>
                <w:sz w:val="18"/>
                <w:szCs w:val="18"/>
              </w:rPr>
              <w:t>。</w:t>
            </w:r>
            <w:r>
              <w:rPr>
                <w:rFonts w:cs="仿宋_GB2312" w:asciiTheme="majorEastAsia" w:hAnsiTheme="majorEastAsia" w:eastAsiaTheme="majorEastAsia"/>
                <w:color w:val="000000" w:themeColor="text1"/>
                <w:kern w:val="0"/>
                <w:sz w:val="18"/>
                <w:szCs w:val="18"/>
              </w:rPr>
              <w:t>在理财产品运作一个完整的投资周期</w:t>
            </w:r>
            <w:r>
              <w:rPr>
                <w:rFonts w:hint="eastAsia" w:cs="仿宋_GB2312" w:asciiTheme="majorEastAsia" w:hAnsiTheme="majorEastAsia" w:eastAsiaTheme="majorEastAsia"/>
                <w:color w:val="000000" w:themeColor="text1"/>
                <w:kern w:val="0"/>
                <w:sz w:val="18"/>
                <w:szCs w:val="18"/>
              </w:rPr>
              <w:t>结束前后，</w:t>
            </w:r>
            <w:r>
              <w:rPr>
                <w:rFonts w:cs="仿宋_GB2312" w:asciiTheme="majorEastAsia" w:hAnsiTheme="majorEastAsia" w:eastAsiaTheme="majorEastAsia"/>
                <w:color w:val="000000" w:themeColor="text1"/>
                <w:kern w:val="0"/>
                <w:sz w:val="18"/>
                <w:szCs w:val="18"/>
              </w:rPr>
              <w:t>管理人可设置预约申购期</w:t>
            </w:r>
            <w:r>
              <w:rPr>
                <w:rFonts w:hint="eastAsia" w:cs="仿宋_GB2312" w:asciiTheme="majorEastAsia" w:hAnsiTheme="majorEastAsia" w:eastAsiaTheme="majorEastAsia"/>
                <w:color w:val="000000" w:themeColor="text1"/>
                <w:kern w:val="0"/>
                <w:sz w:val="18"/>
                <w:szCs w:val="18"/>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3.投资周期的退出</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（1）本产品成立后，投资者可通过预约赎回方式退出本产品的投资周期。在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在运作一个完整的投资周期结束前，投资者可在预约赎回期内</w:t>
            </w:r>
            <w:r>
              <w:rPr>
                <w:rFonts w:asciiTheme="minorEastAsia" w:hAnsiTheme="minorEastAsia" w:eastAsiaTheme="minorEastAsia"/>
                <w:bCs/>
                <w:color w:val="000000" w:themeColor="text1"/>
                <w:sz w:val="18"/>
                <w:szCs w:val="18"/>
              </w:rPr>
              <w:t>提出预约</w:t>
            </w:r>
            <w:r>
              <w:rPr>
                <w:rFonts w:hint="eastAsia" w:asciiTheme="minorEastAsia" w:hAnsiTheme="minorEastAsia" w:eastAsiaTheme="minorEastAsia"/>
                <w:bCs/>
                <w:color w:val="000000" w:themeColor="text1"/>
                <w:sz w:val="18"/>
                <w:szCs w:val="18"/>
              </w:rPr>
              <w:t>赎回申请，如未赎回将进入下一个投资周期继续运作。</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（2）在</w:t>
            </w:r>
            <w:r>
              <w:rPr>
                <w:rFonts w:asciiTheme="minorEastAsia" w:hAnsiTheme="minorEastAsia" w:eastAsiaTheme="minorEastAsia"/>
                <w:bCs/>
                <w:color w:val="000000" w:themeColor="text1"/>
                <w:sz w:val="18"/>
                <w:szCs w:val="18"/>
              </w:rPr>
              <w:t>投资者持有的理财产品份额</w:t>
            </w:r>
            <w:r>
              <w:rPr>
                <w:rFonts w:hint="eastAsia" w:asciiTheme="minorEastAsia" w:hAnsiTheme="minorEastAsia" w:eastAsiaTheme="minorEastAsia"/>
                <w:bCs/>
                <w:color w:val="000000" w:themeColor="text1"/>
                <w:sz w:val="18"/>
                <w:szCs w:val="18"/>
              </w:rPr>
              <w:t>在运作一个完整的投资周期后，投资者</w:t>
            </w:r>
            <w:r>
              <w:rPr>
                <w:rFonts w:asciiTheme="minorEastAsia" w:hAnsiTheme="minorEastAsia" w:eastAsiaTheme="minorEastAsia"/>
                <w:bCs/>
                <w:color w:val="000000" w:themeColor="text1"/>
                <w:sz w:val="18"/>
                <w:szCs w:val="18"/>
              </w:rPr>
              <w:t>也可以继续</w:t>
            </w:r>
            <w:r>
              <w:rPr>
                <w:rFonts w:hint="eastAsia" w:asciiTheme="minorEastAsia" w:hAnsiTheme="minorEastAsia" w:eastAsiaTheme="minorEastAsia"/>
                <w:bCs/>
                <w:color w:val="000000" w:themeColor="text1"/>
                <w:sz w:val="18"/>
                <w:szCs w:val="18"/>
              </w:rPr>
              <w:t>持有理财产品份额进入</w:t>
            </w:r>
            <w:r>
              <w:rPr>
                <w:rFonts w:asciiTheme="minorEastAsia" w:hAnsiTheme="minorEastAsia" w:eastAsiaTheme="minorEastAsia"/>
                <w:bCs/>
                <w:color w:val="000000" w:themeColor="text1"/>
                <w:sz w:val="18"/>
                <w:szCs w:val="18"/>
              </w:rPr>
              <w:t>下一个投资周期</w:t>
            </w:r>
            <w:r>
              <w:rPr>
                <w:rFonts w:hint="eastAsia" w:asciiTheme="minorEastAsia" w:hAnsiTheme="minorEastAsia" w:eastAsiaTheme="minorEastAsia"/>
                <w:bCs/>
                <w:color w:val="000000" w:themeColor="text1"/>
                <w:sz w:val="18"/>
                <w:szCs w:val="18"/>
              </w:rPr>
              <w:t>。</w:t>
            </w:r>
          </w:p>
          <w:p>
            <w:pPr>
              <w:spacing w:line="360" w:lineRule="auto"/>
              <w:rPr>
                <w:rFonts w:asciiTheme="minorEastAsia" w:hAnsiTheme="minorEastAsia" w:eastAsiaTheme="minorEastAsia"/>
                <w:bCs/>
                <w:color w:val="000000" w:themeColor="text1"/>
                <w:sz w:val="18"/>
                <w:szCs w:val="18"/>
              </w:rPr>
            </w:pPr>
            <w:r>
              <w:rPr>
                <w:rFonts w:hint="eastAsia" w:asciiTheme="minorEastAsia" w:hAnsiTheme="minorEastAsia" w:eastAsiaTheme="minorEastAsia"/>
                <w:bCs/>
                <w:color w:val="000000" w:themeColor="text1"/>
                <w:sz w:val="18"/>
                <w:szCs w:val="18"/>
              </w:rPr>
              <w:t>（3）</w:t>
            </w:r>
            <w:r>
              <w:rPr>
                <w:rFonts w:hint="eastAsia" w:asciiTheme="majorEastAsia" w:hAnsiTheme="majorEastAsia" w:eastAsiaTheme="majorEastAsia"/>
                <w:bCs/>
                <w:sz w:val="18"/>
                <w:szCs w:val="18"/>
              </w:rPr>
              <w:t>如果投资者在本产品提前终止时仍有未赎回的份额，则产品管理人将于提前终止日将未赎回的产品</w:t>
            </w:r>
            <w:r>
              <w:rPr>
                <w:rFonts w:asciiTheme="majorEastAsia" w:hAnsiTheme="majorEastAsia" w:eastAsiaTheme="majorEastAsia"/>
                <w:bCs/>
                <w:sz w:val="18"/>
                <w:szCs w:val="18"/>
              </w:rPr>
              <w:t>份额</w:t>
            </w:r>
            <w:r>
              <w:rPr>
                <w:rFonts w:hint="eastAsia" w:asciiTheme="majorEastAsia" w:hAnsiTheme="majorEastAsia" w:eastAsiaTheme="majorEastAsia"/>
                <w:bCs/>
                <w:sz w:val="18"/>
                <w:szCs w:val="18"/>
              </w:rPr>
              <w:t>自动进行清算，于提前终止日分配理财资金，本产品终止。</w:t>
            </w:r>
          </w:p>
          <w:p>
            <w:pPr>
              <w:spacing w:line="360" w:lineRule="auto"/>
              <w:rPr>
                <w:rFonts w:ascii="黑体" w:hAnsi="黑体" w:eastAsia="黑体"/>
                <w:color w:val="000000" w:themeColor="text1"/>
                <w:sz w:val="18"/>
                <w:szCs w:val="18"/>
              </w:rPr>
            </w:pPr>
            <w:r>
              <w:rPr>
                <w:rFonts w:hint="eastAsia" w:ascii="黑体" w:hAnsi="黑体" w:eastAsia="黑体"/>
                <w:color w:val="000000" w:themeColor="text1"/>
                <w:sz w:val="18"/>
                <w:szCs w:val="18"/>
              </w:rPr>
              <w:t>4</w:t>
            </w:r>
            <w:r>
              <w:rPr>
                <w:rFonts w:ascii="黑体" w:hAnsi="黑体" w:eastAsia="黑体"/>
                <w:color w:val="000000" w:themeColor="text1"/>
                <w:sz w:val="18"/>
                <w:szCs w:val="18"/>
              </w:rPr>
              <w:t>.</w:t>
            </w:r>
            <w:r>
              <w:rPr>
                <w:rFonts w:hint="eastAsia" w:ascii="黑体" w:hAnsi="黑体" w:eastAsia="黑体"/>
                <w:color w:val="000000" w:themeColor="text1"/>
                <w:sz w:val="18"/>
                <w:szCs w:val="18"/>
              </w:rPr>
              <w:t>投资周期的调整</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cs="Times New Roman"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rPr>
              <w:t>1.</w:t>
            </w:r>
            <w:r>
              <w:rPr>
                <w:rFonts w:hint="eastAsia" w:cs="Times New Roman" w:asciiTheme="minorEastAsia" w:hAnsiTheme="minorEastAsia"/>
                <w:sz w:val="18"/>
                <w:szCs w:val="18"/>
              </w:rPr>
              <w:t>本产品成立后，开放多个预约申购/赎回期。</w:t>
            </w:r>
          </w:p>
          <w:p>
            <w:pPr>
              <w:spacing w:line="360" w:lineRule="auto"/>
              <w:rPr>
                <w:rFonts w:asciiTheme="majorEastAsia" w:hAnsiTheme="majorEastAsia" w:eastAsiaTheme="majorEastAsia"/>
                <w:bCs/>
                <w:color w:val="000000" w:themeColor="text1"/>
                <w:sz w:val="18"/>
                <w:szCs w:val="18"/>
              </w:rPr>
            </w:pPr>
            <w:r>
              <w:rPr>
                <w:rFonts w:hint="eastAsia" w:cs="Times New Roman" w:asciiTheme="minorEastAsia" w:hAnsiTheme="minorEastAsia"/>
                <w:sz w:val="18"/>
                <w:szCs w:val="18"/>
              </w:rPr>
              <w:t>2</w:t>
            </w:r>
            <w:r>
              <w:rPr>
                <w:rFonts w:cs="Times New Roman" w:asciiTheme="minorEastAsia" w:hAnsiTheme="minorEastAsia"/>
                <w:sz w:val="18"/>
                <w:szCs w:val="18"/>
              </w:rPr>
              <w:t>.</w:t>
            </w:r>
            <w:r>
              <w:rPr>
                <w:rFonts w:hint="eastAsia" w:cs="Times New Roman" w:asciiTheme="minorEastAsia" w:hAnsiTheme="minorEastAsia"/>
                <w:sz w:val="18"/>
                <w:szCs w:val="18"/>
              </w:rPr>
              <w:t>预约申购具体安排如下：</w:t>
            </w:r>
          </w:p>
          <w:p>
            <w:pPr>
              <w:spacing w:line="360" w:lineRule="auto"/>
              <w:rPr>
                <w:rFonts w:cs="Times New Roman" w:asciiTheme="minorEastAsia" w:hAnsiTheme="minorEastAsia"/>
                <w:sz w:val="18"/>
                <w:szCs w:val="18"/>
              </w:rPr>
            </w:pPr>
            <w:r>
              <w:rPr>
                <w:rFonts w:hint="eastAsia" w:cs="Times New Roman" w:asciiTheme="minorEastAsia" w:hAnsiTheme="minorEastAsia"/>
                <w:sz w:val="18"/>
                <w:szCs w:val="18"/>
              </w:rPr>
              <w:t>（1）申购的时间</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1.</w:t>
            </w:r>
            <w:r>
              <w:rPr>
                <w:rFonts w:hint="eastAsia" w:asciiTheme="majorEastAsia" w:hAnsiTheme="majorEastAsia" w:eastAsiaTheme="majorEastAsia"/>
                <w:bCs/>
                <w:color w:val="000000" w:themeColor="text1"/>
                <w:sz w:val="18"/>
                <w:szCs w:val="18"/>
              </w:rPr>
              <w:t>预约申购期：【2022】年【06】月【15】日11:00至【2022】年【06】月【21】日15:45；投资周期【91】天；</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2.</w:t>
            </w:r>
            <w:r>
              <w:rPr>
                <w:rFonts w:hint="eastAsia" w:asciiTheme="majorEastAsia" w:hAnsiTheme="majorEastAsia" w:eastAsiaTheme="majorEastAsia"/>
                <w:bCs/>
                <w:color w:val="000000" w:themeColor="text1"/>
                <w:sz w:val="18"/>
                <w:szCs w:val="18"/>
              </w:rPr>
              <w:t>预约申购期：【2022】年【09】月【14】日11:00至【2022】年【09】月【20】日15:45；投资周期【91】天；</w:t>
            </w:r>
          </w:p>
          <w:p>
            <w:pPr>
              <w:spacing w:line="360" w:lineRule="auto"/>
              <w:rPr>
                <w:rFonts w:hint="eastAsia"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3.</w:t>
            </w:r>
            <w:r>
              <w:rPr>
                <w:rFonts w:hint="eastAsia" w:asciiTheme="majorEastAsia" w:hAnsiTheme="majorEastAsia" w:eastAsiaTheme="majorEastAsia"/>
                <w:bCs/>
                <w:color w:val="000000" w:themeColor="text1"/>
                <w:sz w:val="18"/>
                <w:szCs w:val="18"/>
              </w:rPr>
              <w:t>预约申购期：【2022】年【12】月【14】日11:00至【2022】年【12】月【20】日15:45；投资周期【91】天；</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（2）申购的确认</w:t>
            </w:r>
          </w:p>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预约申购申请日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申购日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申购确认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为预约申购期内任意一日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为预约申购期内最后一个工作日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申购日后【2】个工作日内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cs="Times New Roman" w:asciiTheme="minorEastAsia" w:hAnsiTheme="minorEastAsia"/>
                <w:sz w:val="18"/>
                <w:szCs w:val="18"/>
              </w:rPr>
              <w:t>本产</w:t>
            </w:r>
            <w:bookmarkStart w:id="182" w:name="_GoBack"/>
            <w:r>
              <w:rPr>
                <w:rFonts w:hint="eastAsia" w:cs="Times New Roman" w:asciiTheme="minorEastAsia" w:hAnsiTheme="minorEastAsia"/>
                <w:sz w:val="18"/>
                <w:szCs w:val="18"/>
              </w:rPr>
              <w:t>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3</w:t>
            </w:r>
            <w:r>
              <w:rPr>
                <w:rFonts w:asciiTheme="majorEastAsia" w:hAnsiTheme="majorEastAsia" w:eastAsiaTheme="majorEastAsia"/>
                <w:bCs/>
                <w:color w:val="000000" w:themeColor="text1"/>
                <w:sz w:val="18"/>
                <w:szCs w:val="18"/>
              </w:rPr>
              <w:t>.预约</w:t>
            </w:r>
            <w:r>
              <w:rPr>
                <w:rFonts w:hint="eastAsia" w:asciiTheme="majorEastAsia" w:hAnsiTheme="majorEastAsia" w:eastAsiaTheme="majorEastAsia"/>
                <w:bCs/>
                <w:color w:val="000000" w:themeColor="text1"/>
                <w:sz w:val="18"/>
                <w:szCs w:val="18"/>
              </w:rPr>
              <w:t>赎回具体安排如下：</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（1）赎回的时间</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1.</w:t>
            </w:r>
            <w:r>
              <w:rPr>
                <w:rFonts w:hint="eastAsia" w:asciiTheme="majorEastAsia" w:hAnsiTheme="majorEastAsia" w:eastAsiaTheme="majorEastAsia"/>
                <w:bCs/>
                <w:color w:val="000000" w:themeColor="text1"/>
                <w:sz w:val="18"/>
                <w:szCs w:val="18"/>
              </w:rPr>
              <w:t>预约赎回期：【2022】年【09】月【14】日00:00至【2022】年【09】月【20】日15:45</w:t>
            </w:r>
            <w:r>
              <w:rPr>
                <w:rFonts w:hint="eastAsia" w:asciiTheme="majorEastAsia" w:hAnsiTheme="majorEastAsia" w:eastAsiaTheme="majorEastAsia"/>
                <w:bCs/>
                <w:color w:val="000000" w:themeColor="text1"/>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w:t>
            </w:r>
            <w:r>
              <w:rPr>
                <w:rFonts w:hint="eastAsia" w:asciiTheme="majorEastAsia" w:hAnsiTheme="majorEastAsia" w:eastAsiaTheme="majorEastAsia"/>
                <w:bCs/>
                <w:color w:val="000000" w:themeColor="text1"/>
                <w:sz w:val="18"/>
                <w:szCs w:val="18"/>
              </w:rPr>
              <w:t>预约赎回期：【2022】年【12】月【14】日00:00至【2022】年【12】月【20】日15:4</w:t>
            </w:r>
            <w:r>
              <w:rPr>
                <w:rFonts w:hint="eastAsia" w:asciiTheme="majorEastAsia" w:hAnsiTheme="majorEastAsia" w:eastAsiaTheme="majorEastAsia"/>
                <w:bCs/>
                <w:color w:val="000000" w:themeColor="text1"/>
                <w:sz w:val="18"/>
                <w:szCs w:val="18"/>
                <w:lang w:val="en-US" w:eastAsia="zh-CN"/>
              </w:rPr>
              <w:t>5</w:t>
            </w:r>
            <w:r>
              <w:rPr>
                <w:rFonts w:hint="eastAsia" w:asciiTheme="majorEastAsia" w:hAnsiTheme="majorEastAsia" w:eastAsiaTheme="majorEastAsia"/>
                <w:bCs/>
                <w:color w:val="000000" w:themeColor="text1"/>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lang w:val="en-US" w:eastAsia="zh-CN"/>
              </w:rPr>
              <w:t>3.</w:t>
            </w:r>
            <w:r>
              <w:rPr>
                <w:rFonts w:hint="eastAsia" w:asciiTheme="majorEastAsia" w:hAnsiTheme="majorEastAsia" w:eastAsiaTheme="majorEastAsia"/>
                <w:bCs/>
                <w:color w:val="000000" w:themeColor="text1"/>
                <w:sz w:val="18"/>
                <w:szCs w:val="18"/>
              </w:rPr>
              <w:t>预约赎回期：【2023】年【03】月【15】日00:00至【2023】年【03】月【21】日15:45</w:t>
            </w:r>
            <w:r>
              <w:rPr>
                <w:rFonts w:hint="eastAsia" w:asciiTheme="majorEastAsia" w:hAnsiTheme="majorEastAsia" w:eastAsiaTheme="majorEastAsia"/>
                <w:bCs/>
                <w:color w:val="000000" w:themeColor="text1"/>
                <w:sz w:val="18"/>
                <w:szCs w:val="18"/>
              </w:rPr>
              <w:t>。</w:t>
            </w:r>
          </w:p>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（2）赎回的确认</w:t>
            </w:r>
          </w:p>
          <w:bookmarkEnd w:id="182"/>
          <w:tbl>
            <w:tblPr>
              <w:tblStyle w:val="31"/>
              <w:tblW w:w="719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8" w:hRule="atLeast"/>
                <w:jc w:val="center"/>
              </w:trPr>
              <w:tc>
                <w:tcPr>
                  <w:tcW w:w="155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预约赎回申请日</w:t>
                  </w:r>
                </w:p>
              </w:tc>
              <w:tc>
                <w:tcPr>
                  <w:tcW w:w="1559" w:type="dxa"/>
                  <w:vAlign w:val="center"/>
                </w:tcPr>
                <w:p>
                  <w:pPr>
                    <w:pStyle w:val="34"/>
                    <w:spacing w:line="360" w:lineRule="auto"/>
                    <w:jc w:val="center"/>
                    <w:rPr>
                      <w:rFonts w:cs="Times New Roman" w:asciiTheme="minorEastAsia" w:hAnsiTheme="minorEastAsia"/>
                      <w:b/>
                      <w:bCs/>
                      <w:color w:val="auto"/>
                      <w:sz w:val="18"/>
                      <w:szCs w:val="18"/>
                    </w:rPr>
                  </w:pPr>
                  <w:r>
                    <w:rPr>
                      <w:rFonts w:hint="eastAsia" w:cs="Times New Roman" w:asciiTheme="minorEastAsia" w:hAnsiTheme="minorEastAsia"/>
                      <w:b/>
                      <w:bCs/>
                      <w:color w:val="auto"/>
                      <w:sz w:val="18"/>
                      <w:szCs w:val="18"/>
                    </w:rPr>
                    <w:t>赎回日</w:t>
                  </w:r>
                </w:p>
              </w:tc>
              <w:tc>
                <w:tcPr>
                  <w:tcW w:w="1843"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赎回确认日</w:t>
                  </w:r>
                </w:p>
              </w:tc>
              <w:tc>
                <w:tcPr>
                  <w:tcW w:w="2229" w:type="dxa"/>
                  <w:vAlign w:val="center"/>
                </w:tcPr>
                <w:p>
                  <w:pPr>
                    <w:pStyle w:val="34"/>
                    <w:spacing w:line="360" w:lineRule="auto"/>
                    <w:jc w:val="center"/>
                    <w:rPr>
                      <w:rFonts w:asciiTheme="minorEastAsia" w:hAnsiTheme="minorEastAsia"/>
                      <w:b/>
                      <w:bCs/>
                      <w:kern w:val="2"/>
                      <w:sz w:val="18"/>
                      <w:szCs w:val="18"/>
                    </w:rPr>
                  </w:pPr>
                  <w:r>
                    <w:rPr>
                      <w:rFonts w:hint="eastAsia" w:cs="Times New Roman" w:asciiTheme="minorEastAsia" w:hAnsiTheme="minorEastAsia"/>
                      <w:b/>
                      <w:bCs/>
                      <w:color w:val="auto"/>
                      <w:sz w:val="18"/>
                      <w:szCs w:val="18"/>
                    </w:rPr>
                    <w:t>赎回确认</w:t>
                  </w:r>
                  <w:r>
                    <w:rPr>
                      <w:rFonts w:cs="Times New Roman"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7" w:hRule="atLeast"/>
                <w:jc w:val="center"/>
              </w:trPr>
              <w:tc>
                <w:tcPr>
                  <w:tcW w:w="1559" w:type="dxa"/>
                </w:tcPr>
                <w:p>
                  <w:pPr>
                    <w:pStyle w:val="34"/>
                    <w:spacing w:line="360" w:lineRule="auto"/>
                    <w:jc w:val="left"/>
                    <w:rPr>
                      <w:rFonts w:asciiTheme="minorEastAsia" w:hAnsiTheme="minorEastAsia"/>
                      <w:bCs/>
                      <w:color w:val="auto"/>
                      <w:kern w:val="2"/>
                      <w:sz w:val="18"/>
                      <w:szCs w:val="18"/>
                    </w:rPr>
                  </w:pPr>
                  <w:r>
                    <w:rPr>
                      <w:rFonts w:hint="eastAsia" w:cs="Times New Roman" w:asciiTheme="minorEastAsia" w:hAnsiTheme="minorEastAsia" w:eastAsiaTheme="minorEastAsia"/>
                      <w:color w:val="auto"/>
                      <w:sz w:val="18"/>
                      <w:szCs w:val="18"/>
                    </w:rPr>
                    <w:t>为预约赎回期内任意一日</w:t>
                  </w:r>
                </w:p>
              </w:tc>
              <w:tc>
                <w:tcPr>
                  <w:tcW w:w="1559" w:type="dxa"/>
                </w:tcPr>
                <w:p>
                  <w:pPr>
                    <w:pStyle w:val="34"/>
                    <w:spacing w:line="360" w:lineRule="auto"/>
                    <w:jc w:val="both"/>
                    <w:rPr>
                      <w:rFonts w:cs="Times New Roman" w:asciiTheme="minorEastAsia" w:hAnsiTheme="minorEastAsia" w:eastAsiaTheme="minorEastAsia"/>
                      <w:bCs/>
                      <w:sz w:val="18"/>
                      <w:szCs w:val="18"/>
                    </w:rPr>
                  </w:pPr>
                  <w:r>
                    <w:rPr>
                      <w:rFonts w:hint="eastAsia" w:cs="Times New Roman" w:asciiTheme="minorEastAsia" w:hAnsiTheme="minorEastAsia" w:eastAsiaTheme="minorEastAsia"/>
                      <w:color w:val="auto"/>
                      <w:sz w:val="18"/>
                      <w:szCs w:val="18"/>
                    </w:rPr>
                    <w:t>为预约赎回期内最后一个工作日</w:t>
                  </w:r>
                </w:p>
              </w:tc>
              <w:tc>
                <w:tcPr>
                  <w:tcW w:w="1843"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赎回日后【2】个工作日内</w:t>
                  </w:r>
                </w:p>
              </w:tc>
              <w:tc>
                <w:tcPr>
                  <w:tcW w:w="2229" w:type="dxa"/>
                </w:tcPr>
                <w:p>
                  <w:pPr>
                    <w:pStyle w:val="34"/>
                    <w:spacing w:line="360" w:lineRule="auto"/>
                    <w:jc w:val="both"/>
                    <w:rPr>
                      <w:rFonts w:asciiTheme="minorEastAsia" w:hAnsiTheme="minorEastAsia"/>
                      <w:bCs/>
                      <w:kern w:val="2"/>
                      <w:sz w:val="18"/>
                      <w:szCs w:val="18"/>
                    </w:rPr>
                  </w:pPr>
                  <w:r>
                    <w:rPr>
                      <w:rFonts w:hint="eastAsia" w:cs="Times New Roman" w:asciiTheme="minorEastAsia" w:hAnsiTheme="minorEastAsia" w:eastAsiaTheme="minorEastAsia"/>
                      <w:bCs/>
                      <w:sz w:val="18"/>
                      <w:szCs w:val="18"/>
                    </w:rPr>
                    <w:t>产品管理人在赎回</w:t>
                  </w:r>
                  <w:r>
                    <w:rPr>
                      <w:rFonts w:cs="Times New Roman" w:asciiTheme="minorEastAsia" w:hAnsiTheme="minorEastAsia" w:eastAsiaTheme="minorEastAsia"/>
                      <w:bCs/>
                      <w:sz w:val="18"/>
                      <w:szCs w:val="18"/>
                    </w:rPr>
                    <w:t>确认日</w:t>
                  </w:r>
                  <w:r>
                    <w:rPr>
                      <w:rFonts w:hint="eastAsia" w:cs="Times New Roman" w:asciiTheme="minorEastAsia" w:hAnsiTheme="minorEastAsia" w:eastAsiaTheme="minorEastAsia"/>
                      <w:bCs/>
                      <w:sz w:val="18"/>
                      <w:szCs w:val="18"/>
                    </w:rPr>
                    <w:t>对投资者的赎回申请的有效性进行确认，并注销理财份额。</w:t>
                  </w:r>
                </w:p>
              </w:tc>
            </w:tr>
          </w:tbl>
          <w:p>
            <w:pPr>
              <w:spacing w:line="360" w:lineRule="auto"/>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注：</w:t>
            </w:r>
            <w:r>
              <w:rPr>
                <w:rFonts w:hint="eastAsia" w:asciiTheme="majorEastAsia" w:hAnsiTheme="majorEastAsia"/>
                <w:color w:val="000000" w:themeColor="text1"/>
                <w:sz w:val="18"/>
              </w:rPr>
              <w:t>赎回</w:t>
            </w:r>
            <w:r>
              <w:rPr>
                <w:rFonts w:hint="eastAsia" w:asciiTheme="majorEastAsia" w:hAnsiTheme="majorEastAsia" w:eastAsiaTheme="majorEastAsia"/>
                <w:bCs/>
                <w:color w:val="000000" w:themeColor="text1"/>
                <w:sz w:val="18"/>
                <w:szCs w:val="18"/>
              </w:rPr>
              <w:t>款项于</w:t>
            </w:r>
            <w:r>
              <w:rPr>
                <w:rFonts w:hint="eastAsia" w:cs="Times New Roman" w:asciiTheme="minorEastAsia" w:hAnsiTheme="minorEastAsia" w:eastAsiaTheme="minorEastAsia"/>
                <w:bCs/>
                <w:kern w:val="0"/>
                <w:sz w:val="18"/>
                <w:szCs w:val="18"/>
              </w:rPr>
              <w:t>赎回</w:t>
            </w:r>
            <w:r>
              <w:rPr>
                <w:rFonts w:hint="eastAsia" w:asciiTheme="minorEastAsia" w:hAnsiTheme="minorEastAsia"/>
                <w:kern w:val="0"/>
                <w:sz w:val="18"/>
              </w:rPr>
              <w:t>日后【5】个工作日</w:t>
            </w:r>
            <w:r>
              <w:rPr>
                <w:rFonts w:hint="eastAsia" w:cs="Times New Roman"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cs="Times New Roman" w:asciiTheme="minorEastAsia" w:hAnsiTheme="minorEastAsia" w:eastAsiaTheme="minorEastAsia"/>
                <w:bCs/>
                <w:kern w:val="0"/>
                <w:sz w:val="18"/>
                <w:szCs w:val="18"/>
              </w:rPr>
              <w:t>。</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4.预约申购期/</w:t>
            </w:r>
            <w:r>
              <w:rPr>
                <w:rFonts w:hint="eastAsia" w:asciiTheme="majorEastAsia" w:hAnsiTheme="majorEastAsia" w:eastAsiaTheme="majorEastAsia"/>
                <w:bCs/>
                <w:color w:val="000000" w:themeColor="text1"/>
                <w:sz w:val="18"/>
                <w:szCs w:val="18"/>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rPr>
            </w:pPr>
            <w:r>
              <w:rPr>
                <w:rFonts w:asciiTheme="majorEastAsia" w:hAnsiTheme="majorEastAsia" w:eastAsiaTheme="majorEastAsia"/>
                <w:bCs/>
                <w:color w:val="000000" w:themeColor="text1"/>
                <w:sz w:val="18"/>
                <w:szCs w:val="18"/>
              </w:rPr>
              <w:t>5</w:t>
            </w:r>
            <w:r>
              <w:rPr>
                <w:rFonts w:hint="eastAsia" w:asciiTheme="majorEastAsia" w:hAnsiTheme="majorEastAsia" w:eastAsiaTheme="majorEastAsia"/>
                <w:bCs/>
                <w:color w:val="000000" w:themeColor="text1"/>
                <w:sz w:val="18"/>
                <w:szCs w:val="18"/>
              </w:rPr>
              <w:t>.</w:t>
            </w:r>
            <w:r>
              <w:rPr>
                <w:rFonts w:hint="eastAsia" w:cs="Times New Roman" w:asciiTheme="minorEastAsia" w:hAnsiTheme="minorEastAsia"/>
                <w:sz w:val="18"/>
                <w:szCs w:val="18"/>
              </w:rPr>
              <w:t>本产品在一个完整投资周期结束前，由产品</w:t>
            </w:r>
            <w:r>
              <w:rPr>
                <w:rFonts w:cs="Times New Roman" w:asciiTheme="minorEastAsia" w:hAnsiTheme="minorEastAsia"/>
                <w:sz w:val="18"/>
                <w:szCs w:val="18"/>
              </w:rPr>
              <w:t>管理人</w:t>
            </w:r>
            <w:r>
              <w:rPr>
                <w:rFonts w:hint="eastAsia" w:cs="Times New Roman"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rPr>
              <w:t>预约申购期/</w:t>
            </w:r>
            <w:r>
              <w:rPr>
                <w:rFonts w:hint="eastAsia" w:asciiTheme="majorEastAsia" w:hAnsiTheme="majorEastAsia" w:eastAsiaTheme="majorEastAsia"/>
                <w:bCs/>
                <w:color w:val="000000" w:themeColor="text1"/>
                <w:sz w:val="18"/>
                <w:szCs w:val="18"/>
              </w:rPr>
              <w:t>预约赎回期。</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注：关于代理销售机构的实际工作服务时段的提示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②代理销售机构的实际工作服务时段，最早不得早于销售文件约定</w:t>
            </w:r>
            <w:r>
              <w:rPr>
                <w:rFonts w:ascii="黑体" w:hAnsi="黑体" w:eastAsia="黑体"/>
                <w:bCs/>
                <w:color w:val="000000" w:themeColor="text1"/>
                <w:sz w:val="18"/>
                <w:szCs w:val="18"/>
              </w:rPr>
              <w:t>的</w:t>
            </w:r>
            <w:r>
              <w:rPr>
                <w:rFonts w:hint="eastAsia" w:ascii="黑体" w:hAnsi="黑体" w:eastAsia="黑体"/>
                <w:bCs/>
                <w:color w:val="000000" w:themeColor="text1"/>
                <w:sz w:val="18"/>
                <w:szCs w:val="18"/>
              </w:rPr>
              <w:t>起始时点、最晚不得晚于销售文件</w:t>
            </w:r>
            <w:r>
              <w:rPr>
                <w:rFonts w:ascii="黑体" w:hAnsi="黑体" w:eastAsia="黑体"/>
                <w:bCs/>
                <w:color w:val="000000" w:themeColor="text1"/>
                <w:sz w:val="18"/>
                <w:szCs w:val="18"/>
              </w:rPr>
              <w:t>约定的</w:t>
            </w:r>
            <w:r>
              <w:rPr>
                <w:rFonts w:hint="eastAsia" w:ascii="黑体" w:hAnsi="黑体" w:eastAsia="黑体"/>
                <w:bCs/>
                <w:color w:val="000000" w:themeColor="text1"/>
                <w:sz w:val="18"/>
                <w:szCs w:val="18"/>
              </w:rPr>
              <w:t>终止时点</w:t>
            </w:r>
            <w:r>
              <w:rPr>
                <w:rFonts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宋体" w:hAnsi="宋体"/>
                <w:sz w:val="18"/>
                <w:szCs w:val="18"/>
              </w:rPr>
            </w:pPr>
            <w:r>
              <w:rPr>
                <w:rFonts w:hint="eastAsia" w:ascii="宋体" w:hAnsi="宋体"/>
                <w:sz w:val="18"/>
                <w:szCs w:val="18"/>
              </w:rPr>
              <w:t>每笔购买起点金额为【1.00】元；超出起点金额的部分以【0.01】元的整数倍递增。（适用【A/B/D】类份额）</w:t>
            </w:r>
          </w:p>
          <w:p>
            <w:pPr>
              <w:spacing w:line="360" w:lineRule="auto"/>
              <w:rPr>
                <w:rFonts w:ascii="宋体" w:hAnsi="宋体"/>
                <w:sz w:val="18"/>
                <w:szCs w:val="18"/>
              </w:rPr>
            </w:pPr>
            <w:r>
              <w:rPr>
                <w:rFonts w:hint="eastAsia" w:ascii="宋体" w:hAnsi="宋体"/>
                <w:sz w:val="18"/>
                <w:szCs w:val="18"/>
              </w:rPr>
              <w:t>每笔购买起点金额为【100,000.00】元；超出起点金额的部分以【1.00】元的整数倍递增。（适用【C】类份额）</w:t>
            </w:r>
          </w:p>
          <w:p>
            <w:pPr>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关于代理销售机构的实际销售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的提示</w:t>
            </w:r>
          </w:p>
          <w:p>
            <w:pPr>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rPr>
              <w:t>以</w:t>
            </w:r>
            <w:r>
              <w:rPr>
                <w:rFonts w:hint="eastAsia" w:ascii="黑体" w:hAnsi="黑体" w:eastAsia="黑体"/>
                <w:bCs/>
                <w:color w:val="000000" w:themeColor="text1"/>
                <w:sz w:val="18"/>
                <w:szCs w:val="18"/>
              </w:rPr>
              <w:t>代理销售机构展示</w:t>
            </w:r>
            <w:r>
              <w:rPr>
                <w:rFonts w:ascii="黑体" w:hAnsi="黑体" w:eastAsia="黑体"/>
                <w:bCs/>
                <w:color w:val="000000" w:themeColor="text1"/>
                <w:sz w:val="18"/>
                <w:szCs w:val="18"/>
              </w:rPr>
              <w:t>为准</w:t>
            </w:r>
            <w:r>
              <w:rPr>
                <w:rFonts w:hint="eastAsia" w:ascii="黑体" w:hAnsi="黑体" w:eastAsia="黑体"/>
                <w:bCs/>
                <w:color w:val="000000" w:themeColor="text1"/>
                <w:sz w:val="18"/>
                <w:szCs w:val="18"/>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rPr>
              <w:t>②代理销售机构的实际销售起点金额，</w:t>
            </w:r>
            <w:r>
              <w:rPr>
                <w:rFonts w:ascii="黑体" w:hAnsi="黑体" w:eastAsia="黑体"/>
                <w:bCs/>
                <w:color w:val="000000" w:themeColor="text1"/>
                <w:sz w:val="18"/>
                <w:szCs w:val="18"/>
              </w:rPr>
              <w:t>不得低于</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文件约定的</w:t>
            </w:r>
            <w:r>
              <w:rPr>
                <w:rFonts w:hint="eastAsia" w:ascii="黑体" w:hAnsi="黑体" w:eastAsia="黑体"/>
                <w:bCs/>
                <w:color w:val="000000" w:themeColor="text1"/>
                <w:sz w:val="18"/>
                <w:szCs w:val="18"/>
              </w:rPr>
              <w:t>销售</w:t>
            </w:r>
            <w:r>
              <w:rPr>
                <w:rFonts w:ascii="黑体" w:hAnsi="黑体" w:eastAsia="黑体"/>
                <w:bCs/>
                <w:color w:val="000000" w:themeColor="text1"/>
                <w:sz w:val="18"/>
                <w:szCs w:val="18"/>
              </w:rPr>
              <w:t>起点金额</w:t>
            </w:r>
            <w:r>
              <w:rPr>
                <w:rFonts w:hint="eastAsia" w:ascii="黑体" w:hAnsi="黑体" w:eastAsia="黑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4"/>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34"/>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34"/>
              <w:spacing w:line="360" w:lineRule="auto"/>
              <w:rPr>
                <w:rFonts w:ascii="黑体" w:hAnsi="黑体" w:eastAsia="黑体"/>
                <w:bCs/>
                <w:color w:val="000000" w:themeColor="text1"/>
                <w:sz w:val="18"/>
                <w:szCs w:val="18"/>
              </w:rPr>
            </w:pPr>
            <w:r>
              <w:rPr>
                <w:rFonts w:hint="eastAsia" w:hAnsi="宋体"/>
                <w:sz w:val="18"/>
                <w:szCs w:val="18"/>
              </w:rPr>
              <w:t>★</w:t>
            </w:r>
            <w:r>
              <w:rPr>
                <w:rFonts w:hint="eastAsia" w:ascii="黑体" w:hAnsi="黑体" w:eastAsia="黑体"/>
                <w:bCs/>
                <w:color w:val="000000" w:themeColor="text1"/>
                <w:sz w:val="18"/>
                <w:szCs w:val="18"/>
              </w:rPr>
              <w:t>注</w:t>
            </w:r>
            <w:r>
              <w:rPr>
                <w:rFonts w:ascii="黑体" w:hAnsi="黑体" w:eastAsia="黑体"/>
                <w:bCs/>
                <w:color w:val="000000" w:themeColor="text1"/>
                <w:sz w:val="18"/>
                <w:szCs w:val="18"/>
              </w:rPr>
              <w:t>：</w:t>
            </w:r>
            <w:r>
              <w:rPr>
                <w:rFonts w:hint="eastAsia" w:ascii="黑体" w:hAnsi="黑体" w:eastAsia="黑体"/>
                <w:bCs/>
                <w:color w:val="000000" w:themeColor="text1"/>
                <w:sz w:val="18"/>
                <w:szCs w:val="18"/>
              </w:rPr>
              <w:t>本产品单一投资者持有份额不得超过产品总份额50%。</w:t>
            </w:r>
          </w:p>
          <w:p>
            <w:pPr>
              <w:pStyle w:val="34"/>
              <w:spacing w:line="360" w:lineRule="auto"/>
              <w:rPr>
                <w:rFonts w:ascii="黑体" w:hAnsi="黑体" w:eastAsia="黑体"/>
                <w:bCs/>
                <w:color w:val="000000" w:themeColor="text1"/>
                <w:sz w:val="18"/>
                <w:szCs w:val="18"/>
              </w:rPr>
            </w:pPr>
            <w:r>
              <w:rPr>
                <w:rFonts w:hint="eastAsia" w:ascii="黑体" w:hAnsi="黑体" w:eastAsia="黑体"/>
                <w:bCs/>
                <w:color w:val="000000" w:themeColor="text1"/>
                <w:sz w:val="18"/>
                <w:szCs w:val="18"/>
              </w:rPr>
              <w:t>（1）投资者认购或申购确认后可能导致其持有份额超过产品总份额50%的，管理人有权拒绝或暂停认购、申购。</w:t>
            </w:r>
          </w:p>
          <w:p>
            <w:pPr>
              <w:pStyle w:val="34"/>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4"/>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w:t>
            </w:r>
            <w:r>
              <w:rPr>
                <w:rFonts w:asciiTheme="majorEastAsia" w:hAnsiTheme="majorEastAsia" w:eastAsiaTheme="majorEastAsia"/>
                <w:b/>
                <w:bCs/>
                <w:sz w:val="18"/>
                <w:szCs w:val="18"/>
              </w:rPr>
              <w:t>.业绩比较基准的设定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r>
              <w:rPr>
                <w:rFonts w:hint="eastAsia" w:ascii="宋体" w:hAnsi="宋体"/>
                <w:b/>
                <w:bCs/>
                <w:sz w:val="18"/>
                <w:szCs w:val="18"/>
              </w:rPr>
              <w:t>【人民银行活期存款利率</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2.业绩比较基准的提示：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b/>
                <w:bCs/>
                <w:sz w:val="18"/>
                <w:szCs w:val="18"/>
              </w:rPr>
            </w:pPr>
            <w:r>
              <w:rPr>
                <w:rFonts w:hint="eastAsia" w:ascii="宋体" w:hAnsi="宋体"/>
                <w:sz w:val="18"/>
                <w:szCs w:val="18"/>
              </w:rPr>
              <w:t>本产品不收取超额业绩报酬</w:t>
            </w:r>
            <w:r>
              <w:rPr>
                <w:rFonts w:hint="eastAsia"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hint="eastAsia" w:ascii="宋体" w:hAnsi="宋体"/>
                <w:b/>
                <w:bCs/>
                <w:color w:val="000000" w:themeColor="text1"/>
                <w:sz w:val="18"/>
                <w:szCs w:val="18"/>
              </w:rPr>
              <w:t>认购费：</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hint="eastAsia" w:ascii="宋体" w:hAnsi="宋体"/>
                <w:bCs/>
                <w:color w:val="000000" w:themeColor="text1"/>
                <w:sz w:val="18"/>
                <w:szCs w:val="18"/>
              </w:rPr>
              <w:t>【/】</w:t>
            </w:r>
            <w:r>
              <w:rPr>
                <w:rFonts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hint="eastAsia" w:ascii="宋体" w:hAnsi="宋体"/>
                <w:b/>
                <w:bCs/>
                <w:color w:val="000000" w:themeColor="text1"/>
                <w:sz w:val="18"/>
                <w:szCs w:val="18"/>
              </w:rPr>
              <w:t>赎回费：</w:t>
            </w:r>
            <w:r>
              <w:rPr>
                <w:rFonts w:hint="eastAsia" w:ascii="宋体" w:hAnsi="宋体"/>
                <w:bCs/>
                <w:color w:val="000000" w:themeColor="text1"/>
                <w:sz w:val="18"/>
                <w:szCs w:val="18"/>
              </w:rPr>
              <w:t>【/】。</w:t>
            </w:r>
          </w:p>
          <w:p>
            <w:pPr>
              <w:spacing w:line="360" w:lineRule="auto"/>
              <w:rPr>
                <w:rFonts w:ascii="宋体" w:hAnsi="宋体"/>
                <w:b/>
                <w:bCs/>
                <w:color w:val="000000" w:themeColor="text1"/>
                <w:sz w:val="18"/>
                <w:szCs w:val="18"/>
              </w:rPr>
            </w:pPr>
            <w:r>
              <w:rPr>
                <w:rFonts w:asciiTheme="majorEastAsia" w:hAnsiTheme="majorEastAsia" w:eastAsiaTheme="majorEastAsia"/>
                <w:b/>
                <w:bCs/>
                <w:color w:val="000000" w:themeColor="text1"/>
                <w:sz w:val="18"/>
                <w:szCs w:val="18"/>
              </w:rPr>
              <w:t>4.销售服</w:t>
            </w:r>
            <w:r>
              <w:rPr>
                <w:rFonts w:hint="eastAsia" w:ascii="宋体" w:hAnsi="宋体"/>
                <w:b/>
                <w:bCs/>
                <w:color w:val="000000" w:themeColor="text1"/>
                <w:sz w:val="18"/>
                <w:szCs w:val="18"/>
              </w:rPr>
              <w:t>务费：</w:t>
            </w:r>
          </w:p>
          <w:p>
            <w:pPr>
              <w:spacing w:line="360" w:lineRule="auto"/>
              <w:rPr>
                <w:rFonts w:ascii="宋体" w:hAnsi="宋体"/>
                <w:bCs/>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rPr>
              <w:t>。</w:t>
            </w:r>
            <w:r>
              <w:rPr>
                <w:rFonts w:hint="eastAsia" w:ascii="宋体" w:hAnsi="宋体"/>
                <w:bCs/>
                <w:sz w:val="18"/>
                <w:szCs w:val="18"/>
              </w:rPr>
              <w:t>（适用【A/B</w:t>
            </w:r>
            <w:r>
              <w:rPr>
                <w:rFonts w:ascii="宋体" w:hAnsi="宋体"/>
                <w:bCs/>
                <w:sz w:val="18"/>
                <w:szCs w:val="18"/>
              </w:rPr>
              <w:t>/D</w:t>
            </w:r>
            <w:r>
              <w:rPr>
                <w:rFonts w:hint="eastAsia" w:ascii="宋体" w:hAnsi="宋体"/>
                <w:bCs/>
                <w:sz w:val="18"/>
                <w:szCs w:val="18"/>
              </w:rPr>
              <w:t>】类份额）</w:t>
            </w:r>
          </w:p>
          <w:p>
            <w:pPr>
              <w:spacing w:line="360" w:lineRule="auto"/>
              <w:rPr>
                <w:rFonts w:ascii="宋体" w:hAnsi="宋体"/>
                <w:bCs/>
                <w:sz w:val="18"/>
                <w:szCs w:val="18"/>
              </w:rPr>
            </w:pPr>
            <w:r>
              <w:rPr>
                <w:rFonts w:hint="eastAsia" w:ascii="宋体" w:hAnsi="宋体"/>
                <w:bCs/>
                <w:sz w:val="18"/>
                <w:szCs w:val="18"/>
              </w:rPr>
              <w:t>年化</w:t>
            </w:r>
            <w:r>
              <w:rPr>
                <w:rFonts w:ascii="宋体" w:hAnsi="宋体"/>
                <w:bCs/>
                <w:sz w:val="18"/>
                <w:szCs w:val="18"/>
              </w:rPr>
              <w:t>费率</w:t>
            </w:r>
            <w:r>
              <w:rPr>
                <w:rFonts w:hint="eastAsia" w:ascii="宋体" w:hAnsi="宋体"/>
                <w:sz w:val="18"/>
                <w:szCs w:val="18"/>
              </w:rPr>
              <w:t>【0.</w:t>
            </w:r>
            <w:r>
              <w:rPr>
                <w:rFonts w:ascii="宋体" w:hAnsi="宋体"/>
                <w:sz w:val="18"/>
                <w:szCs w:val="18"/>
              </w:rPr>
              <w:t>35</w:t>
            </w:r>
            <w:r>
              <w:rPr>
                <w:rFonts w:hint="eastAsia" w:ascii="宋体" w:hAnsi="宋体"/>
                <w:sz w:val="18"/>
                <w:szCs w:val="18"/>
              </w:rPr>
              <w:t>】%</w:t>
            </w:r>
            <w:r>
              <w:rPr>
                <w:rFonts w:hint="eastAsia" w:ascii="宋体" w:hAnsi="宋体"/>
                <w:bCs/>
                <w:color w:val="000000" w:themeColor="text1"/>
                <w:sz w:val="18"/>
                <w:szCs w:val="18"/>
              </w:rPr>
              <w:t>。</w:t>
            </w:r>
            <w:r>
              <w:rPr>
                <w:rFonts w:hint="eastAsia" w:ascii="宋体" w:hAnsi="宋体"/>
                <w:bCs/>
                <w:sz w:val="18"/>
                <w:szCs w:val="18"/>
              </w:rPr>
              <w:t>（适用【</w:t>
            </w:r>
            <w:r>
              <w:rPr>
                <w:rFonts w:ascii="宋体" w:hAnsi="宋体"/>
                <w:bCs/>
                <w:sz w:val="18"/>
                <w:szCs w:val="18"/>
              </w:rPr>
              <w:t>C</w:t>
            </w:r>
            <w:r>
              <w:rPr>
                <w:rFonts w:hint="eastAsia" w:ascii="宋体" w:hAnsi="宋体"/>
                <w:bCs/>
                <w:sz w:val="18"/>
                <w:szCs w:val="18"/>
              </w:rPr>
              <w:t>】类份额）</w:t>
            </w:r>
          </w:p>
          <w:p>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hint="eastAsia" w:ascii="宋体" w:hAnsi="宋体"/>
                <w:b/>
                <w:bCs/>
                <w:color w:val="000000" w:themeColor="text1"/>
                <w:sz w:val="18"/>
                <w:szCs w:val="18"/>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hint="eastAsia" w:ascii="宋体" w:hAnsi="宋体"/>
                <w:b/>
                <w:bCs/>
                <w:color w:val="000000" w:themeColor="text1"/>
                <w:sz w:val="18"/>
                <w:szCs w:val="18"/>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hint="eastAsia" w:ascii="宋体" w:hAnsi="宋体"/>
                <w:bCs/>
                <w:color w:val="000000" w:themeColor="text1"/>
                <w:sz w:val="18"/>
                <w:szCs w:val="18"/>
              </w:rPr>
              <w:t>。</w:t>
            </w:r>
          </w:p>
          <w:p>
            <w:pPr>
              <w:widowControl/>
              <w:spacing w:line="360" w:lineRule="auto"/>
              <w:jc w:val="left"/>
              <w:rPr>
                <w:rFonts w:ascii="宋体" w:hAnsi="宋体"/>
                <w:sz w:val="18"/>
                <w:szCs w:val="18"/>
              </w:rPr>
            </w:pPr>
            <w:r>
              <w:rPr>
                <w:rFonts w:hint="eastAsia" w:ascii="宋体" w:hAnsi="宋体"/>
                <w:b/>
                <w:bCs/>
                <w:color w:val="000000" w:themeColor="text1"/>
                <w:sz w:val="18"/>
                <w:szCs w:val="18"/>
              </w:rPr>
              <w:t>7</w:t>
            </w:r>
            <w:r>
              <w:rPr>
                <w:rFonts w:ascii="宋体" w:hAnsi="宋体"/>
                <w:b/>
                <w:bCs/>
                <w:color w:val="000000" w:themeColor="text1"/>
                <w:sz w:val="18"/>
                <w:szCs w:val="18"/>
              </w:rPr>
              <w:t>.</w:t>
            </w:r>
            <w:r>
              <w:rPr>
                <w:rFonts w:hint="eastAsia" w:ascii="宋体" w:hAnsi="宋体"/>
                <w:b/>
                <w:bCs/>
                <w:color w:val="000000" w:themeColor="text1"/>
                <w:sz w:val="18"/>
                <w:szCs w:val="18"/>
              </w:rPr>
              <w:t>超额业绩报酬：</w:t>
            </w:r>
            <w:r>
              <w:rPr>
                <w:rFonts w:hint="eastAsia" w:ascii="宋体" w:hAnsi="宋体"/>
                <w:sz w:val="18"/>
                <w:szCs w:val="18"/>
              </w:rPr>
              <w:t>本产品不收取超额业绩报酬。</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8" w:name="_Toc79154666"/>
      <w:bookmarkStart w:id="9" w:name="_Toc20496"/>
      <w:bookmarkStart w:id="10" w:name="_Toc92377132"/>
      <w:bookmarkStart w:id="11" w:name="_Toc15862"/>
      <w:r>
        <w:rPr>
          <w:rFonts w:ascii="Times New Roman"/>
          <w:sz w:val="30"/>
        </w:rPr>
        <w:t>第</w:t>
      </w:r>
      <w:r>
        <w:rPr>
          <w:rFonts w:hint="eastAsia" w:ascii="Times New Roman"/>
          <w:sz w:val="30"/>
        </w:rPr>
        <w:t>三条</w:t>
      </w:r>
      <w:r>
        <w:rPr>
          <w:rFonts w:ascii="Times New Roman"/>
          <w:sz w:val="30"/>
        </w:rPr>
        <w:t xml:space="preserve">  </w:t>
      </w:r>
      <w:bookmarkStart w:id="12" w:name="_Toc79392573"/>
      <w:r>
        <w:rPr>
          <w:rFonts w:hint="eastAsia" w:ascii="Times New Roman"/>
          <w:sz w:val="30"/>
        </w:rPr>
        <w:t>理财产品的认购</w:t>
      </w:r>
      <w:bookmarkEnd w:id="8"/>
      <w:bookmarkEnd w:id="9"/>
      <w:bookmarkEnd w:id="10"/>
      <w:bookmarkEnd w:id="11"/>
    </w:p>
    <w:p>
      <w:pPr>
        <w:spacing w:line="360" w:lineRule="auto"/>
        <w:ind w:firstLine="361" w:firstLineChars="200"/>
        <w:rPr>
          <w:rFonts w:asciiTheme="minorEastAsia" w:hAnsiTheme="minorEastAsia"/>
          <w:b/>
          <w:bCs/>
          <w:sz w:val="18"/>
          <w:szCs w:val="18"/>
        </w:rPr>
      </w:pPr>
      <w:bookmarkStart w:id="13" w:name="_Hlt88031774"/>
      <w:bookmarkEnd w:id="13"/>
      <w:bookmarkStart w:id="1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31"/>
        <w:tblW w:w="786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w:t>
            </w:r>
            <w:r>
              <w:rPr>
                <w:rFonts w:hint="eastAsia" w:cs="Times New Roman" w:asciiTheme="minorEastAsia" w:hAnsiTheme="minorEastAsia" w:eastAsiaTheme="minorEastAsia"/>
                <w:bCs/>
                <w:sz w:val="18"/>
                <w:szCs w:val="18"/>
              </w:rPr>
              <w:t>，并登记理财份额</w:t>
            </w:r>
            <w:r>
              <w:rPr>
                <w:rFonts w:hint="eastAsia" w:cs="Times New Roman"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line="360" w:lineRule="auto"/>
        <w:jc w:val="center"/>
        <w:rPr>
          <w:rFonts w:ascii="Times New Roman"/>
          <w:sz w:val="30"/>
        </w:rPr>
      </w:pPr>
      <w:bookmarkStart w:id="15" w:name="_Toc28040"/>
      <w:bookmarkStart w:id="16" w:name="_Toc79154667"/>
      <w:bookmarkStart w:id="17" w:name="_Toc30037"/>
      <w:bookmarkStart w:id="18"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15"/>
      <w:bookmarkEnd w:id="16"/>
      <w:bookmarkEnd w:id="17"/>
      <w:bookmarkEnd w:id="18"/>
    </w:p>
    <w:bookmarkEnd w:id="14"/>
    <w:p>
      <w:pPr>
        <w:spacing w:line="360" w:lineRule="auto"/>
        <w:ind w:firstLine="420" w:firstLineChars="200"/>
      </w:pP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4"/>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12"/>
    <w:p>
      <w:pPr>
        <w:pStyle w:val="2"/>
        <w:spacing w:before="0" w:after="0" w:line="360" w:lineRule="auto"/>
        <w:jc w:val="center"/>
        <w:rPr>
          <w:rFonts w:ascii="Times New Roman"/>
          <w:sz w:val="30"/>
        </w:rPr>
      </w:pPr>
      <w:bookmarkStart w:id="19" w:name="_Toc29948"/>
      <w:bookmarkStart w:id="20" w:name="_Toc15203"/>
      <w:bookmarkStart w:id="21" w:name="_Toc90742321"/>
      <w:bookmarkStart w:id="22" w:name="_Toc90742390"/>
      <w:bookmarkStart w:id="23" w:name="_Toc74065741"/>
      <w:bookmarkStart w:id="24" w:name="_Toc90742688"/>
      <w:bookmarkStart w:id="25" w:name="_Toc3266"/>
      <w:bookmarkStart w:id="26" w:name="_Toc92377134"/>
      <w:bookmarkStart w:id="27" w:name="_Toc16425"/>
      <w:bookmarkStart w:id="28" w:name="_Toc79154668"/>
      <w:bookmarkStart w:id="29" w:name="_Toc22074"/>
      <w:bookmarkStart w:id="30" w:name="_Toc24722"/>
      <w:bookmarkStart w:id="31" w:name="_Toc7151"/>
      <w:bookmarkStart w:id="32" w:name="_Toc29784"/>
      <w:bookmarkStart w:id="33" w:name="_Toc16265"/>
      <w:bookmarkStart w:id="34" w:name="_Toc6714"/>
      <w:bookmarkStart w:id="35" w:name="_Toc27189"/>
      <w:bookmarkStart w:id="36" w:name="_Toc27226"/>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符合监管要求的非标准化债权类资产低于产品总资产的50%。</w:t>
      </w:r>
    </w:p>
    <w:p>
      <w:pPr>
        <w:pStyle w:val="34"/>
        <w:spacing w:line="360" w:lineRule="auto"/>
        <w:ind w:firstLine="423" w:firstLineChars="235"/>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kern w:val="2"/>
          <w:sz w:val="18"/>
          <w:szCs w:val="18"/>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rPr>
        <w:t>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（9）本产品投资资产组合久期不超过【5】年。</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（10）本产品投资的各类债券主体（发行人或担保人）或债项评级达到AA级（含）以上。</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产品管理人设置业绩报酬计提基准。</w:t>
      </w:r>
    </w:p>
    <w:p>
      <w:pPr>
        <w:pStyle w:val="21"/>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1"/>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产品管理人不设置业绩报酬计提基准。</w:t>
      </w:r>
    </w:p>
    <w:p>
      <w:pPr>
        <w:pStyle w:val="21"/>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37" w:name="_Toc21988"/>
      <w:bookmarkStart w:id="38" w:name="_Toc139991735"/>
      <w:bookmarkStart w:id="39" w:name="_Toc4918"/>
      <w:bookmarkStart w:id="40" w:name="_Toc7848"/>
      <w:bookmarkStart w:id="41" w:name="_Toc18797"/>
      <w:bookmarkStart w:id="42" w:name="_Toc92377135"/>
      <w:bookmarkStart w:id="43" w:name="_Toc18526"/>
      <w:bookmarkStart w:id="44" w:name="_Toc1823"/>
      <w:bookmarkStart w:id="45" w:name="_Toc17912"/>
      <w:bookmarkStart w:id="46" w:name="_Toc74065742"/>
      <w:bookmarkStart w:id="47" w:name="_Toc18329"/>
      <w:bookmarkStart w:id="48" w:name="_Toc26986"/>
      <w:bookmarkStart w:id="49" w:name="_Toc14893"/>
      <w:bookmarkStart w:id="50" w:name="_Toc79154669"/>
      <w:bookmarkStart w:id="51" w:name="_Toc141703885"/>
      <w:bookmarkStart w:id="52" w:name="_Toc27357"/>
      <w:bookmarkStart w:id="53" w:name="_Toc4741"/>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4"/>
        <w:spacing w:line="360" w:lineRule="auto"/>
        <w:ind w:firstLine="361" w:firstLineChars="200"/>
        <w:rPr>
          <w:rFonts w:asciiTheme="majorEastAsia" w:hAnsiTheme="majorEastAsia" w:eastAsiaTheme="majorEastAsia"/>
          <w:b/>
          <w:color w:val="auto"/>
          <w:sz w:val="18"/>
          <w:szCs w:val="18"/>
        </w:rPr>
      </w:pPr>
      <w:bookmarkStart w:id="54"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54"/>
    <w:p>
      <w:pPr>
        <w:pStyle w:val="2"/>
        <w:spacing w:before="0" w:after="0" w:line="360" w:lineRule="auto"/>
        <w:jc w:val="center"/>
        <w:rPr>
          <w:rFonts w:ascii="Times New Roman"/>
          <w:sz w:val="28"/>
          <w:szCs w:val="28"/>
        </w:rPr>
      </w:pPr>
      <w:bookmarkStart w:id="55" w:name="_Toc5409"/>
      <w:bookmarkStart w:id="56" w:name="_Toc92377136"/>
      <w:bookmarkStart w:id="57" w:name="_Toc83391971"/>
      <w:bookmarkStart w:id="58" w:name="_Toc10162"/>
      <w:bookmarkStart w:id="59" w:name="_Toc74065743"/>
      <w:bookmarkStart w:id="60" w:name="_Toc1270"/>
      <w:bookmarkStart w:id="61" w:name="_Toc123102453"/>
      <w:bookmarkStart w:id="62" w:name="_Toc20733"/>
      <w:bookmarkStart w:id="63" w:name="_Toc17244"/>
      <w:bookmarkStart w:id="64" w:name="_Toc23822"/>
      <w:bookmarkStart w:id="65" w:name="_Toc4003"/>
      <w:bookmarkStart w:id="66" w:name="_Toc7920"/>
      <w:bookmarkStart w:id="67" w:name="_Toc139991736"/>
      <w:bookmarkStart w:id="68" w:name="_Toc123051452"/>
      <w:bookmarkStart w:id="69" w:name="_Toc610"/>
      <w:bookmarkStart w:id="70" w:name="_Toc48649707"/>
      <w:bookmarkStart w:id="71" w:name="_Toc1427"/>
      <w:bookmarkStart w:id="72" w:name="_Toc79154670"/>
      <w:bookmarkStart w:id="73" w:name="_Toc79392606"/>
      <w:bookmarkStart w:id="74" w:name="_Toc123112234"/>
      <w:bookmarkStart w:id="75" w:name="_Toc141703886"/>
      <w:bookmarkStart w:id="76" w:name="_Toc10463"/>
      <w:bookmarkStart w:id="77" w:name="_Toc23261"/>
      <w:bookmarkStart w:id="78" w:name="_Toc98560352"/>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55"/>
      <w:bookmarkEnd w:id="56"/>
      <w:bookmarkEnd w:id="57"/>
      <w:bookmarkEnd w:id="58"/>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1"/>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4"/>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4"/>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4"/>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4"/>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4"/>
        <w:spacing w:line="360" w:lineRule="auto"/>
        <w:ind w:firstLine="361" w:firstLineChars="200"/>
        <w:rPr>
          <w:rFonts w:cs="Times New Roman" w:asciiTheme="minorEastAsia" w:hAnsiTheme="minorEastAsia" w:eastAsiaTheme="minorEastAsia"/>
          <w:b/>
          <w:color w:val="auto"/>
          <w:sz w:val="18"/>
          <w:szCs w:val="18"/>
        </w:rPr>
      </w:pPr>
      <w:r>
        <w:rPr>
          <w:rFonts w:hint="eastAsia" w:cs="Times New Roman" w:asciiTheme="minorEastAsia" w:hAnsiTheme="minorEastAsia" w:eastAsiaTheme="minorEastAsia"/>
          <w:b/>
          <w:color w:val="auto"/>
          <w:sz w:val="18"/>
          <w:szCs w:val="18"/>
        </w:rPr>
        <w:t>（六）估值主体</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2"/>
        <w:spacing w:before="0" w:after="0" w:line="360" w:lineRule="auto"/>
        <w:ind w:left="60" w:firstLine="10"/>
        <w:jc w:val="center"/>
        <w:rPr>
          <w:rFonts w:ascii="Times New Roman"/>
          <w:sz w:val="30"/>
        </w:rPr>
      </w:pPr>
      <w:bookmarkStart w:id="79" w:name="_Hlt70481650"/>
      <w:bookmarkEnd w:id="79"/>
      <w:bookmarkStart w:id="80" w:name="_Toc74065744"/>
      <w:bookmarkStart w:id="81" w:name="_Toc92377137"/>
      <w:bookmarkStart w:id="82" w:name="_Toc31235"/>
      <w:bookmarkStart w:id="83" w:name="_Toc7447"/>
      <w:bookmarkStart w:id="84" w:name="_Toc3601"/>
      <w:bookmarkStart w:id="85" w:name="_Toc31653"/>
      <w:bookmarkStart w:id="86" w:name="_Toc123102454"/>
      <w:bookmarkStart w:id="87" w:name="_Toc123051453"/>
      <w:bookmarkStart w:id="88" w:name="_Toc98560353"/>
      <w:bookmarkStart w:id="89" w:name="_Toc31644"/>
      <w:bookmarkStart w:id="90" w:name="_Toc29251"/>
      <w:bookmarkStart w:id="91" w:name="_Toc14835"/>
      <w:bookmarkStart w:id="92" w:name="_Toc3138"/>
      <w:bookmarkStart w:id="93" w:name="_Toc139991737"/>
      <w:bookmarkStart w:id="94" w:name="_Toc123112235"/>
      <w:bookmarkStart w:id="95" w:name="_Toc26207"/>
      <w:bookmarkStart w:id="96" w:name="_Toc12245"/>
      <w:bookmarkStart w:id="97" w:name="_Toc15143"/>
      <w:bookmarkStart w:id="98" w:name="_Toc141703887"/>
      <w:bookmarkStart w:id="99" w:name="_Toc79154671"/>
      <w:bookmarkStart w:id="100" w:name="_Toc6405"/>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Start w:id="101" w:name="_Hlt55355235"/>
      <w:bookmarkEnd w:id="101"/>
      <w:bookmarkStart w:id="102" w:name="_Toc523711668"/>
      <w:bookmarkStart w:id="103" w:name="_Toc15118234"/>
      <w:bookmarkStart w:id="104" w:name="_Toc79392580"/>
      <w:bookmarkStart w:id="105"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02"/>
    <w:bookmarkEnd w:id="103"/>
    <w:bookmarkEnd w:id="104"/>
    <w:bookmarkEnd w:id="105"/>
    <w:p>
      <w:pPr>
        <w:pStyle w:val="2"/>
        <w:spacing w:before="0" w:after="0" w:line="360" w:lineRule="auto"/>
        <w:jc w:val="center"/>
        <w:rPr>
          <w:rFonts w:ascii="Times New Roman"/>
          <w:sz w:val="30"/>
        </w:rPr>
      </w:pPr>
      <w:bookmarkStart w:id="106" w:name="_Hlt88825574"/>
      <w:bookmarkEnd w:id="106"/>
      <w:bookmarkStart w:id="107" w:name="_Hlt88897298"/>
      <w:bookmarkEnd w:id="107"/>
      <w:bookmarkStart w:id="108" w:name="_Toc139991738"/>
      <w:bookmarkStart w:id="109" w:name="_Toc17110"/>
      <w:bookmarkStart w:id="110" w:name="_Toc3321"/>
      <w:bookmarkStart w:id="111" w:name="_Toc98560354"/>
      <w:bookmarkStart w:id="112" w:name="_Toc9706"/>
      <w:bookmarkStart w:id="113" w:name="_Toc123102455"/>
      <w:bookmarkStart w:id="114" w:name="_Toc123112236"/>
      <w:bookmarkStart w:id="115" w:name="_Toc25783"/>
      <w:bookmarkStart w:id="116" w:name="_Toc11030"/>
      <w:bookmarkStart w:id="117" w:name="_Toc6447"/>
      <w:bookmarkStart w:id="118" w:name="_Toc92377138"/>
      <w:bookmarkStart w:id="119" w:name="_Toc18567"/>
      <w:bookmarkStart w:id="120" w:name="_Toc123051454"/>
      <w:bookmarkStart w:id="121" w:name="_Toc141703888"/>
      <w:bookmarkStart w:id="122" w:name="_Toc74065745"/>
      <w:bookmarkStart w:id="123" w:name="_Toc79392583"/>
      <w:bookmarkStart w:id="124" w:name="_Toc8000"/>
      <w:bookmarkStart w:id="125" w:name="_Toc79154672"/>
      <w:bookmarkStart w:id="126" w:name="_Toc10650"/>
      <w:bookmarkStart w:id="127" w:name="_Toc4559"/>
      <w:bookmarkStart w:id="128" w:name="_Toc3771"/>
      <w:bookmarkStart w:id="129" w:name="_Toc705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28"/>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本产品不收取超额业绩报酬。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30" w:name="_Toc3963"/>
      <w:bookmarkStart w:id="131" w:name="_Toc1745"/>
      <w:r>
        <w:br w:type="page"/>
      </w:r>
      <w:bookmarkStart w:id="132" w:name="_Toc3572"/>
      <w:bookmarkStart w:id="133" w:name="_Toc98560355"/>
      <w:bookmarkStart w:id="134" w:name="_Toc18206"/>
      <w:bookmarkStart w:id="135" w:name="_Toc123112237"/>
      <w:bookmarkStart w:id="136" w:name="_Toc4606"/>
      <w:bookmarkStart w:id="137" w:name="_Toc16660"/>
      <w:bookmarkStart w:id="138" w:name="_Toc92377139"/>
      <w:bookmarkStart w:id="139" w:name="_Toc139991739"/>
      <w:bookmarkStart w:id="140" w:name="_Toc21735"/>
      <w:bookmarkStart w:id="141" w:name="_Toc10398"/>
      <w:bookmarkStart w:id="142" w:name="_Toc141703889"/>
      <w:bookmarkStart w:id="143" w:name="_Toc16164"/>
      <w:bookmarkStart w:id="144" w:name="_Toc74065746"/>
      <w:bookmarkStart w:id="145" w:name="_Toc123102456"/>
      <w:bookmarkStart w:id="146" w:name="_Toc31821"/>
      <w:bookmarkStart w:id="147" w:name="_Toc725"/>
      <w:bookmarkStart w:id="148" w:name="_Toc79154673"/>
      <w:bookmarkStart w:id="149" w:name="_Toc3080"/>
      <w:bookmarkStart w:id="150" w:name="_Toc123051455"/>
      <w:r>
        <w:rPr>
          <w:rFonts w:hint="eastAsia"/>
          <w:sz w:val="30"/>
        </w:rPr>
        <w:t>第十条</w:t>
      </w:r>
      <w:r>
        <w:rPr>
          <w:sz w:val="30"/>
        </w:rPr>
        <w:t xml:space="preserve">  </w:t>
      </w:r>
      <w:r>
        <w:rPr>
          <w:rFonts w:hint="eastAsia"/>
          <w:sz w:val="30"/>
        </w:rPr>
        <w:t>理财产品的终止与清算</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360" w:lineRule="auto"/>
        <w:ind w:firstLine="361" w:firstLineChars="200"/>
        <w:rPr>
          <w:rFonts w:asciiTheme="majorEastAsia" w:hAnsiTheme="majorEastAsia" w:eastAsiaTheme="majorEastAsia"/>
          <w:b/>
          <w:bCs/>
          <w:sz w:val="18"/>
          <w:szCs w:val="18"/>
        </w:rPr>
      </w:pPr>
      <w:bookmarkStart w:id="151" w:name="_Toc15118245"/>
      <w:bookmarkStart w:id="152" w:name="_Toc57530252"/>
      <w:bookmarkStart w:id="15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51"/>
    <w:bookmarkEnd w:id="152"/>
    <w:bookmarkEnd w:id="153"/>
    <w:p>
      <w:pPr>
        <w:pStyle w:val="2"/>
        <w:spacing w:before="0" w:after="0" w:line="360" w:lineRule="auto"/>
        <w:jc w:val="center"/>
        <w:rPr>
          <w:rFonts w:ascii="Times New Roman"/>
          <w:sz w:val="18"/>
          <w:szCs w:val="18"/>
        </w:rPr>
      </w:pPr>
      <w:r>
        <w:rPr>
          <w:rFonts w:ascii="Times New Roman"/>
          <w:b w:val="0"/>
          <w:bCs w:val="0"/>
          <w:kern w:val="2"/>
        </w:rPr>
        <w:br w:type="page"/>
      </w:r>
      <w:bookmarkStart w:id="154" w:name="_Toc16218"/>
      <w:bookmarkStart w:id="155" w:name="_Toc11469"/>
      <w:bookmarkStart w:id="156" w:name="_Toc92377140"/>
      <w:bookmarkStart w:id="157" w:name="_Toc123051456"/>
      <w:bookmarkStart w:id="158" w:name="_Toc32092"/>
      <w:bookmarkStart w:id="159" w:name="_Toc139991740"/>
      <w:bookmarkStart w:id="160" w:name="_Toc48649708"/>
      <w:bookmarkStart w:id="161" w:name="_Toc98560356"/>
      <w:bookmarkStart w:id="162" w:name="_Toc123112238"/>
      <w:bookmarkStart w:id="163" w:name="_Toc5170"/>
      <w:bookmarkStart w:id="164" w:name="_Toc21237"/>
      <w:bookmarkStart w:id="165" w:name="_Toc17920"/>
      <w:bookmarkStart w:id="166" w:name="_Toc79154674"/>
      <w:bookmarkStart w:id="167" w:name="_Toc123102457"/>
      <w:bookmarkStart w:id="168" w:name="_Toc141703890"/>
      <w:bookmarkStart w:id="169" w:name="_Toc739"/>
      <w:bookmarkStart w:id="170" w:name="_Toc79392622"/>
      <w:bookmarkStart w:id="171" w:name="_Toc83391975"/>
      <w:bookmarkStart w:id="172" w:name="_Toc74065747"/>
      <w:bookmarkStart w:id="173" w:name="_Toc29408"/>
      <w:bookmarkStart w:id="174" w:name="_Toc32584"/>
      <w:bookmarkStart w:id="175" w:name="_Toc17198"/>
      <w:bookmarkStart w:id="176" w:name="_Toc3329"/>
      <w:bookmarkStart w:id="177" w:name="_Toc8791"/>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154"/>
      <w:bookmarkEnd w:id="155"/>
      <w:bookmarkEnd w:id="156"/>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sz w:val="24"/>
        </w:rPr>
        <w:br w:type="page"/>
      </w:r>
    </w:p>
    <w:p>
      <w:pPr>
        <w:pStyle w:val="2"/>
        <w:spacing w:before="0" w:after="0" w:line="360" w:lineRule="auto"/>
        <w:jc w:val="center"/>
        <w:rPr>
          <w:rFonts w:ascii="Times New Roman"/>
          <w:b w:val="0"/>
          <w:sz w:val="30"/>
        </w:rPr>
      </w:pPr>
      <w:bookmarkStart w:id="178" w:name="_Toc24766"/>
      <w:bookmarkStart w:id="179" w:name="_Toc79154675"/>
      <w:bookmarkStart w:id="180" w:name="_Toc92377141"/>
      <w:bookmarkStart w:id="181" w:name="_Toc17205"/>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178"/>
      <w:bookmarkEnd w:id="179"/>
      <w:bookmarkEnd w:id="180"/>
      <w:bookmarkEnd w:id="18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（1）投资固定收益类资产的风险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footerReference r:id="rId7"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黑体" w:hAnsi="黑体" w:eastAsia="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5"/>
          <w:jc w:val="center"/>
        </w:pPr>
        <w:r>
          <w:fldChar w:fldCharType="begin"/>
        </w:r>
        <w:r>
          <w:instrText xml:space="preserve"> PAGE   \* MERGEFORMAT </w:instrText>
        </w:r>
        <w:r>
          <w:fldChar w:fldCharType="separate"/>
        </w:r>
        <w:r>
          <w:rPr>
            <w:lang w:val="zh-CN"/>
          </w:rPr>
          <w:t>36</w:t>
        </w:r>
        <w:r>
          <w:fldChar w:fldCharType="end"/>
        </w:r>
      </w:p>
    </w:sdtContent>
  </w:sdt>
  <w:p>
    <w:pPr>
      <w:pStyle w:val="7"/>
      <w:jc w:val="both"/>
      <w:rPr>
        <w:rFonts w:ascii="黑体" w:hAnsi="黑体" w:eastAsia="黑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6"/>
      <w:pBdr>
        <w:bottom w:val="thickThinLargeGap" w:color="auto" w:sz="24" w:space="0"/>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7124"/>
    <w:rsid w:val="0000208C"/>
    <w:rsid w:val="00002480"/>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4EC8"/>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47F9"/>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44E0"/>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20153"/>
    <w:rsid w:val="003224C7"/>
    <w:rsid w:val="00327E26"/>
    <w:rsid w:val="00330DD8"/>
    <w:rsid w:val="00330E24"/>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808"/>
    <w:rsid w:val="00375BC6"/>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4878"/>
    <w:rsid w:val="00466864"/>
    <w:rsid w:val="00466F57"/>
    <w:rsid w:val="00467C9D"/>
    <w:rsid w:val="00470261"/>
    <w:rsid w:val="004711A9"/>
    <w:rsid w:val="00471ABA"/>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4F75E3"/>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77B"/>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38DB"/>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76A"/>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84D"/>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3C4"/>
    <w:rsid w:val="00A7660D"/>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130D"/>
    <w:rsid w:val="00AD32D9"/>
    <w:rsid w:val="00AD3352"/>
    <w:rsid w:val="00AD47E3"/>
    <w:rsid w:val="00AD4A59"/>
    <w:rsid w:val="00AD5746"/>
    <w:rsid w:val="00AD60A8"/>
    <w:rsid w:val="00AD64B8"/>
    <w:rsid w:val="00AE089F"/>
    <w:rsid w:val="00AE36AF"/>
    <w:rsid w:val="00AE3F46"/>
    <w:rsid w:val="00AE4061"/>
    <w:rsid w:val="00AE60F5"/>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6270"/>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3238"/>
    <w:rsid w:val="00B5343C"/>
    <w:rsid w:val="00B53EA7"/>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6947"/>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32A6"/>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CC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0C12"/>
    <w:rsid w:val="00DE295D"/>
    <w:rsid w:val="00DE2B95"/>
    <w:rsid w:val="00DE45E9"/>
    <w:rsid w:val="00DE51F9"/>
    <w:rsid w:val="00DE52FB"/>
    <w:rsid w:val="00DE56BC"/>
    <w:rsid w:val="00DE7F8F"/>
    <w:rsid w:val="00DF03B9"/>
    <w:rsid w:val="00DF0C4B"/>
    <w:rsid w:val="00DF0F34"/>
    <w:rsid w:val="00DF1657"/>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5C4"/>
    <w:rsid w:val="00E95C4B"/>
    <w:rsid w:val="00E965EE"/>
    <w:rsid w:val="00E9683E"/>
    <w:rsid w:val="00E96ECC"/>
    <w:rsid w:val="00E9744A"/>
    <w:rsid w:val="00E97657"/>
    <w:rsid w:val="00EA2A51"/>
    <w:rsid w:val="00EA3F51"/>
    <w:rsid w:val="00EA536C"/>
    <w:rsid w:val="00EA7696"/>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967"/>
    <w:rsid w:val="00F67CF6"/>
    <w:rsid w:val="00F72651"/>
    <w:rsid w:val="00F7301E"/>
    <w:rsid w:val="00F8175E"/>
    <w:rsid w:val="00F81B05"/>
    <w:rsid w:val="00F81F15"/>
    <w:rsid w:val="00F82049"/>
    <w:rsid w:val="00F82C9F"/>
    <w:rsid w:val="00F8388A"/>
    <w:rsid w:val="00F84E80"/>
    <w:rsid w:val="00F87537"/>
    <w:rsid w:val="00F947DC"/>
    <w:rsid w:val="00F9781A"/>
    <w:rsid w:val="00FA057C"/>
    <w:rsid w:val="00FA086F"/>
    <w:rsid w:val="00FA0D16"/>
    <w:rsid w:val="00FA185B"/>
    <w:rsid w:val="00FA5406"/>
    <w:rsid w:val="00FA60BF"/>
    <w:rsid w:val="00FA6883"/>
    <w:rsid w:val="00FA7405"/>
    <w:rsid w:val="00FB0D12"/>
    <w:rsid w:val="00FB1CB4"/>
    <w:rsid w:val="00FB23B5"/>
    <w:rsid w:val="00FB3D40"/>
    <w:rsid w:val="00FB44EB"/>
    <w:rsid w:val="00FB675F"/>
    <w:rsid w:val="00FC11A3"/>
    <w:rsid w:val="00FC1300"/>
    <w:rsid w:val="00FC1C93"/>
    <w:rsid w:val="00FC3307"/>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654C82"/>
    <w:rsid w:val="01A31AE7"/>
    <w:rsid w:val="020A6A96"/>
    <w:rsid w:val="0356786B"/>
    <w:rsid w:val="03C96CBB"/>
    <w:rsid w:val="046E31C1"/>
    <w:rsid w:val="056C4F65"/>
    <w:rsid w:val="06F4696E"/>
    <w:rsid w:val="070E6B8F"/>
    <w:rsid w:val="07245E56"/>
    <w:rsid w:val="0C023D8C"/>
    <w:rsid w:val="0C225D7B"/>
    <w:rsid w:val="0E94232E"/>
    <w:rsid w:val="0F1306D5"/>
    <w:rsid w:val="0F3D11FD"/>
    <w:rsid w:val="11295396"/>
    <w:rsid w:val="163E2FB7"/>
    <w:rsid w:val="17622796"/>
    <w:rsid w:val="1A48157B"/>
    <w:rsid w:val="1BD70953"/>
    <w:rsid w:val="1BF87698"/>
    <w:rsid w:val="1CE5662F"/>
    <w:rsid w:val="1D73517C"/>
    <w:rsid w:val="1E585AB7"/>
    <w:rsid w:val="1EB160C2"/>
    <w:rsid w:val="1FF145B9"/>
    <w:rsid w:val="2193546F"/>
    <w:rsid w:val="26F50BA9"/>
    <w:rsid w:val="27BD5E26"/>
    <w:rsid w:val="285E4249"/>
    <w:rsid w:val="29026D00"/>
    <w:rsid w:val="293556EA"/>
    <w:rsid w:val="2EA644DF"/>
    <w:rsid w:val="2FB532A0"/>
    <w:rsid w:val="302A0BDB"/>
    <w:rsid w:val="31785CB1"/>
    <w:rsid w:val="318E0C3C"/>
    <w:rsid w:val="319C4BEA"/>
    <w:rsid w:val="34740810"/>
    <w:rsid w:val="34C829B2"/>
    <w:rsid w:val="35381804"/>
    <w:rsid w:val="386A3F56"/>
    <w:rsid w:val="38D50832"/>
    <w:rsid w:val="39B27394"/>
    <w:rsid w:val="3A810EF7"/>
    <w:rsid w:val="3ACF0F3F"/>
    <w:rsid w:val="3C3802E9"/>
    <w:rsid w:val="3E586AB8"/>
    <w:rsid w:val="3E5C1B1D"/>
    <w:rsid w:val="3EAE14E9"/>
    <w:rsid w:val="3F836E49"/>
    <w:rsid w:val="3FD261A6"/>
    <w:rsid w:val="40BA4D25"/>
    <w:rsid w:val="42EB2F9C"/>
    <w:rsid w:val="45226963"/>
    <w:rsid w:val="45546609"/>
    <w:rsid w:val="4D39606F"/>
    <w:rsid w:val="4E2E25F7"/>
    <w:rsid w:val="4EA10DF9"/>
    <w:rsid w:val="4F8E3D4D"/>
    <w:rsid w:val="53063B85"/>
    <w:rsid w:val="533C1961"/>
    <w:rsid w:val="53B3493A"/>
    <w:rsid w:val="5418588F"/>
    <w:rsid w:val="5537323C"/>
    <w:rsid w:val="555A43BF"/>
    <w:rsid w:val="55855837"/>
    <w:rsid w:val="56503211"/>
    <w:rsid w:val="57A91098"/>
    <w:rsid w:val="590D6E75"/>
    <w:rsid w:val="598B567E"/>
    <w:rsid w:val="5A357504"/>
    <w:rsid w:val="5AF44D38"/>
    <w:rsid w:val="5C624734"/>
    <w:rsid w:val="5FE91ABC"/>
    <w:rsid w:val="61386B66"/>
    <w:rsid w:val="628E734C"/>
    <w:rsid w:val="6580603B"/>
    <w:rsid w:val="6811538A"/>
    <w:rsid w:val="68C7223A"/>
    <w:rsid w:val="68EF6886"/>
    <w:rsid w:val="68F55069"/>
    <w:rsid w:val="6A563D47"/>
    <w:rsid w:val="6D643F0F"/>
    <w:rsid w:val="6EAA7DFD"/>
    <w:rsid w:val="6FDD1093"/>
    <w:rsid w:val="709C0126"/>
    <w:rsid w:val="72185132"/>
    <w:rsid w:val="76022652"/>
    <w:rsid w:val="768501BE"/>
    <w:rsid w:val="76C8601E"/>
    <w:rsid w:val="785F6471"/>
    <w:rsid w:val="78AB3944"/>
    <w:rsid w:val="79952C43"/>
    <w:rsid w:val="7B1E63C9"/>
    <w:rsid w:val="7BEA1CFE"/>
    <w:rsid w:val="7D803772"/>
    <w:rsid w:val="7D80556D"/>
    <w:rsid w:val="7E3713F1"/>
    <w:rsid w:val="7E9D5B85"/>
    <w:rsid w:val="7ED86E63"/>
    <w:rsid w:val="7F446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2"/>
    <w:qFormat/>
    <w:uiPriority w:val="0"/>
    <w:pPr>
      <w:widowControl w:val="0"/>
    </w:pPr>
    <w:rPr>
      <w:rFonts w:ascii="Calibri" w:hAnsi="Calibri"/>
      <w:b/>
      <w:bCs/>
      <w:kern w:val="2"/>
      <w:sz w:val="21"/>
      <w:szCs w:val="22"/>
    </w:rPr>
  </w:style>
  <w:style w:type="paragraph" w:styleId="7">
    <w:name w:val="annotation text"/>
    <w:basedOn w:val="1"/>
    <w:link w:val="36"/>
    <w:qFormat/>
    <w:uiPriority w:val="99"/>
    <w:pPr>
      <w:widowControl/>
      <w:jc w:val="left"/>
    </w:pPr>
    <w:rPr>
      <w:rFonts w:ascii="宋体" w:hAnsi="宋体"/>
      <w:kern w:val="0"/>
      <w:sz w:val="24"/>
      <w:szCs w:val="24"/>
    </w:rPr>
  </w:style>
  <w:style w:type="paragraph" w:styleId="8">
    <w:name w:val="Normal Indent"/>
    <w:basedOn w:val="1"/>
    <w:qFormat/>
    <w:uiPriority w:val="0"/>
    <w:pPr>
      <w:ind w:firstLine="420" w:firstLineChars="200"/>
    </w:pPr>
    <w:rPr>
      <w:rFonts w:ascii="Times New Roman" w:hAnsi="Times New Roman" w:cs="Times New Roman"/>
      <w:szCs w:val="20"/>
    </w:rPr>
  </w:style>
  <w:style w:type="paragraph" w:styleId="9">
    <w:name w:val="Document Map"/>
    <w:basedOn w:val="1"/>
    <w:link w:val="62"/>
    <w:qFormat/>
    <w:uiPriority w:val="0"/>
    <w:pPr>
      <w:shd w:val="clear" w:color="auto" w:fill="000080"/>
    </w:pPr>
    <w:rPr>
      <w:rFonts w:ascii="Times New Roman" w:hAnsi="Times New Roman" w:cs="Times New Roman"/>
      <w:szCs w:val="20"/>
    </w:rPr>
  </w:style>
  <w:style w:type="paragraph" w:styleId="10">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1">
    <w:name w:val="toc 3"/>
    <w:basedOn w:val="1"/>
    <w:next w:val="1"/>
    <w:qFormat/>
    <w:uiPriority w:val="39"/>
    <w:pPr>
      <w:widowControl/>
      <w:spacing w:after="100" w:line="276" w:lineRule="auto"/>
      <w:ind w:left="440"/>
      <w:jc w:val="left"/>
    </w:pPr>
    <w:rPr>
      <w:kern w:val="0"/>
      <w:sz w:val="22"/>
    </w:rPr>
  </w:style>
  <w:style w:type="paragraph" w:styleId="12">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3">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4">
    <w:name w:val="Balloon Text"/>
    <w:basedOn w:val="1"/>
    <w:link w:val="37"/>
    <w:qFormat/>
    <w:uiPriority w:val="99"/>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76" w:lineRule="auto"/>
      <w:jc w:val="left"/>
    </w:pPr>
    <w:rPr>
      <w:kern w:val="0"/>
      <w:sz w:val="22"/>
    </w:rPr>
  </w:style>
  <w:style w:type="paragraph" w:styleId="18">
    <w:name w:val="footnote text"/>
    <w:basedOn w:val="1"/>
    <w:link w:val="71"/>
    <w:qFormat/>
    <w:uiPriority w:val="0"/>
    <w:pPr>
      <w:snapToGrid w:val="0"/>
      <w:jc w:val="left"/>
    </w:pPr>
    <w:rPr>
      <w:rFonts w:ascii="Times New Roman" w:hAnsi="Times New Roman" w:cs="Times New Roman"/>
      <w:sz w:val="18"/>
      <w:szCs w:val="20"/>
    </w:rPr>
  </w:style>
  <w:style w:type="paragraph" w:styleId="19">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0">
    <w:name w:val="toc 2"/>
    <w:basedOn w:val="1"/>
    <w:next w:val="1"/>
    <w:qFormat/>
    <w:uiPriority w:val="39"/>
    <w:pPr>
      <w:widowControl/>
      <w:spacing w:after="100" w:line="276" w:lineRule="auto"/>
      <w:ind w:left="220"/>
      <w:jc w:val="left"/>
    </w:pPr>
    <w:rPr>
      <w:kern w:val="0"/>
      <w:sz w:val="22"/>
    </w:rPr>
  </w:style>
  <w:style w:type="paragraph" w:styleId="21">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Title"/>
    <w:basedOn w:val="1"/>
    <w:next w:val="1"/>
    <w:link w:val="54"/>
    <w:qFormat/>
    <w:uiPriority w:val="0"/>
    <w:pPr>
      <w:spacing w:before="240" w:after="60"/>
      <w:jc w:val="center"/>
      <w:outlineLvl w:val="0"/>
    </w:pPr>
    <w:rPr>
      <w:rFonts w:ascii="Cambria" w:hAnsi="Cambria"/>
      <w:b/>
      <w:sz w:val="32"/>
      <w:szCs w:val="20"/>
    </w:rPr>
  </w:style>
  <w:style w:type="character" w:styleId="25">
    <w:name w:val="Strong"/>
    <w:qFormat/>
    <w:uiPriority w:val="22"/>
    <w:rPr>
      <w:b/>
      <w:bCs/>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Char"/>
    <w:basedOn w:val="24"/>
    <w:link w:val="16"/>
    <w:qFormat/>
    <w:uiPriority w:val="99"/>
    <w:rPr>
      <w:sz w:val="18"/>
      <w:szCs w:val="18"/>
    </w:rPr>
  </w:style>
  <w:style w:type="character" w:customStyle="1" w:styleId="33">
    <w:name w:val="页脚 Char"/>
    <w:basedOn w:val="24"/>
    <w:link w:val="15"/>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4"/>
    <w:link w:val="7"/>
    <w:qFormat/>
    <w:uiPriority w:val="99"/>
    <w:rPr>
      <w:rFonts w:ascii="宋体" w:hAnsi="宋体" w:eastAsia="宋体" w:cs="宋体"/>
      <w:kern w:val="0"/>
      <w:sz w:val="24"/>
      <w:szCs w:val="24"/>
    </w:rPr>
  </w:style>
  <w:style w:type="character" w:customStyle="1" w:styleId="37">
    <w:name w:val="批注框文本 Char"/>
    <w:basedOn w:val="24"/>
    <w:link w:val="14"/>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4"/>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6"/>
    <w:qFormat/>
    <w:uiPriority w:val="99"/>
    <w:rPr>
      <w:rFonts w:ascii="宋体" w:hAnsi="宋体" w:eastAsia="宋体" w:cs="宋体"/>
      <w:b/>
      <w:bCs/>
      <w:kern w:val="0"/>
      <w:sz w:val="24"/>
      <w:szCs w:val="24"/>
    </w:rPr>
  </w:style>
  <w:style w:type="character" w:customStyle="1" w:styleId="43">
    <w:name w:val="HTML 预设格式 Char"/>
    <w:basedOn w:val="24"/>
    <w:link w:val="21"/>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4"/>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2 Char"/>
    <w:basedOn w:val="24"/>
    <w:link w:val="3"/>
    <w:qFormat/>
    <w:uiPriority w:val="0"/>
    <w:rPr>
      <w:rFonts w:ascii="Arial" w:hAnsi="Arial" w:eastAsia="黑体" w:cs="Times New Roman"/>
      <w:b/>
      <w:kern w:val="2"/>
      <w:sz w:val="32"/>
    </w:rPr>
  </w:style>
  <w:style w:type="character" w:customStyle="1" w:styleId="50">
    <w:name w:val="标题 3 Char"/>
    <w:basedOn w:val="24"/>
    <w:link w:val="4"/>
    <w:qFormat/>
    <w:uiPriority w:val="0"/>
    <w:rPr>
      <w:rFonts w:ascii="Times New Roman" w:hAnsi="Times New Roman" w:cs="Times New Roman"/>
      <w:b/>
      <w:kern w:val="2"/>
      <w:sz w:val="32"/>
    </w:rPr>
  </w:style>
  <w:style w:type="character" w:customStyle="1" w:styleId="51">
    <w:name w:val="标题 4 Char"/>
    <w:basedOn w:val="24"/>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4"/>
    <w:qFormat/>
    <w:uiPriority w:val="0"/>
  </w:style>
  <w:style w:type="character" w:customStyle="1" w:styleId="54">
    <w:name w:val="标题 Char"/>
    <w:link w:val="23"/>
    <w:qFormat/>
    <w:uiPriority w:val="0"/>
    <w:rPr>
      <w:rFonts w:ascii="Cambria" w:hAnsi="Cambria"/>
      <w:b/>
      <w:kern w:val="2"/>
      <w:sz w:val="32"/>
    </w:rPr>
  </w:style>
  <w:style w:type="character" w:customStyle="1" w:styleId="55">
    <w:name w:val="正文文本 Char"/>
    <w:link w:val="10"/>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4"/>
    <w:link w:val="9"/>
    <w:qFormat/>
    <w:uiPriority w:val="0"/>
    <w:rPr>
      <w:rFonts w:ascii="Times New Roman" w:hAnsi="Times New Roman" w:cs="Times New Roman"/>
      <w:kern w:val="2"/>
      <w:sz w:val="21"/>
      <w:shd w:val="clear" w:color="auto" w:fill="000080"/>
    </w:rPr>
  </w:style>
  <w:style w:type="character" w:customStyle="1" w:styleId="63">
    <w:name w:val="纯文本 Char"/>
    <w:basedOn w:val="24"/>
    <w:link w:val="12"/>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4"/>
    <w:semiHidden/>
    <w:qFormat/>
    <w:uiPriority w:val="99"/>
    <w:rPr>
      <w:kern w:val="2"/>
      <w:sz w:val="21"/>
      <w:szCs w:val="22"/>
    </w:rPr>
  </w:style>
  <w:style w:type="character" w:customStyle="1" w:styleId="66">
    <w:name w:val="标题 Char1"/>
    <w:basedOn w:val="24"/>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4"/>
    <w:link w:val="19"/>
    <w:qFormat/>
    <w:uiPriority w:val="0"/>
    <w:rPr>
      <w:rFonts w:ascii="Times New Roman" w:hAnsi="Times New Roman" w:cs="Times New Roman"/>
      <w:color w:val="0000FF"/>
      <w:kern w:val="2"/>
      <w:sz w:val="21"/>
    </w:rPr>
  </w:style>
  <w:style w:type="character" w:customStyle="1" w:styleId="70">
    <w:name w:val="正文文本缩进 2 Char"/>
    <w:basedOn w:val="24"/>
    <w:link w:val="13"/>
    <w:qFormat/>
    <w:uiPriority w:val="0"/>
    <w:rPr>
      <w:rFonts w:ascii="仿宋_GB2312" w:hAnsi="Times New Roman" w:eastAsia="仿宋_GB2312" w:cs="Times New Roman"/>
      <w:kern w:val="2"/>
      <w:sz w:val="28"/>
    </w:rPr>
  </w:style>
  <w:style w:type="character" w:customStyle="1" w:styleId="71">
    <w:name w:val="脚注文本 Char"/>
    <w:basedOn w:val="24"/>
    <w:link w:val="18"/>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10"/>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BA1C92E-715E-4E79-B98C-8617A97A6F3A}">
  <ds:schemaRefs/>
</ds:datastoreItem>
</file>

<file path=customXml/itemProps11.xml><?xml version="1.0" encoding="utf-8"?>
<ds:datastoreItem xmlns:ds="http://schemas.openxmlformats.org/officeDocument/2006/customXml" ds:itemID="{CF487381-D648-48A1-B1E4-A4540B0D3650}">
  <ds:schemaRefs/>
</ds:datastoreItem>
</file>

<file path=customXml/itemProps12.xml><?xml version="1.0" encoding="utf-8"?>
<ds:datastoreItem xmlns:ds="http://schemas.openxmlformats.org/officeDocument/2006/customXml" ds:itemID="{1A3BDF38-4832-4575-A8AB-7A1679738229}">
  <ds:schemaRefs/>
</ds:datastoreItem>
</file>

<file path=customXml/itemProps13.xml><?xml version="1.0" encoding="utf-8"?>
<ds:datastoreItem xmlns:ds="http://schemas.openxmlformats.org/officeDocument/2006/customXml" ds:itemID="{D902962D-C8CC-43BF-804A-CD60AE6D7475}">
  <ds:schemaRefs/>
</ds:datastoreItem>
</file>

<file path=customXml/itemProps14.xml><?xml version="1.0" encoding="utf-8"?>
<ds:datastoreItem xmlns:ds="http://schemas.openxmlformats.org/officeDocument/2006/customXml" ds:itemID="{E6D3D55C-3DD8-4C31-8069-E5508DD844FB}">
  <ds:schemaRefs/>
</ds:datastoreItem>
</file>

<file path=customXml/itemProps15.xml><?xml version="1.0" encoding="utf-8"?>
<ds:datastoreItem xmlns:ds="http://schemas.openxmlformats.org/officeDocument/2006/customXml" ds:itemID="{509BA638-9D3A-4AA3-A169-FF78BC0E4BE9}">
  <ds:schemaRefs/>
</ds:datastoreItem>
</file>

<file path=customXml/itemProps16.xml><?xml version="1.0" encoding="utf-8"?>
<ds:datastoreItem xmlns:ds="http://schemas.openxmlformats.org/officeDocument/2006/customXml" ds:itemID="{2108FF18-8EC8-4170-A536-1AA8E39CC797}">
  <ds:schemaRefs/>
</ds:datastoreItem>
</file>

<file path=customXml/itemProps17.xml><?xml version="1.0" encoding="utf-8"?>
<ds:datastoreItem xmlns:ds="http://schemas.openxmlformats.org/officeDocument/2006/customXml" ds:itemID="{BEEE0313-55EB-45FA-BBBD-C0232D367255}">
  <ds:schemaRefs/>
</ds:datastoreItem>
</file>

<file path=customXml/itemProps18.xml><?xml version="1.0" encoding="utf-8"?>
<ds:datastoreItem xmlns:ds="http://schemas.openxmlformats.org/officeDocument/2006/customXml" ds:itemID="{3A3C3A8D-C5E4-45AF-8B48-C3BF528808AD}">
  <ds:schemaRefs/>
</ds:datastoreItem>
</file>

<file path=customXml/itemProps2.xml><?xml version="1.0" encoding="utf-8"?>
<ds:datastoreItem xmlns:ds="http://schemas.openxmlformats.org/officeDocument/2006/customXml" ds:itemID="{AC86F3EB-DB57-4B60-8A7E-BBB67A22EE0B}">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A06CD169-7F5C-4082-81B2-6ECAA9AF6149}">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79B37214-9E52-4241-8DD2-9E9CD9442006}">
  <ds:schemaRefs/>
</ds:datastoreItem>
</file>

<file path=customXml/itemProps8.xml><?xml version="1.0" encoding="utf-8"?>
<ds:datastoreItem xmlns:ds="http://schemas.openxmlformats.org/officeDocument/2006/customXml" ds:itemID="{9114D43D-ED98-4C7B-A3AE-26D78B80CA82}">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4618</Words>
  <Characters>26326</Characters>
  <Lines>219</Lines>
  <Paragraphs>61</Paragraphs>
  <TotalTime>5</TotalTime>
  <ScaleCrop>false</ScaleCrop>
  <LinksUpToDate>false</LinksUpToDate>
  <CharactersWithSpaces>30883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罗钦</cp:lastModifiedBy>
  <cp:lastPrinted>2022-01-18T08:37:00Z</cp:lastPrinted>
  <dcterms:modified xsi:type="dcterms:W3CDTF">2022-06-13T04:28:37Z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5466F5ED04264CD88390FDC4DDCA6BAE</vt:lpwstr>
  </property>
</Properties>
</file>