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b/>
          <w:szCs w:val="21"/>
        </w:rPr>
      </w:pPr>
      <w:r>
        <w:rPr>
          <w:rFonts w:hint="eastAsia" w:ascii="黑体" w:hAnsi="黑体" w:eastAsia="黑体"/>
          <w:b/>
          <w:sz w:val="44"/>
          <w:szCs w:val="44"/>
        </w:rPr>
        <w:t>兴银理财天天万利宝稳利净值型理财产品销售文件</w:t>
      </w:r>
    </w:p>
    <w:tbl>
      <w:tblPr>
        <w:tblStyle w:val="31"/>
        <w:tblW w:w="8922"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0"/>
        <w:gridCol w:w="6008"/>
        <w:gridCol w:w="192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990"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6008"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2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990"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6008"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兴银理财天天万利宝稳利净值型理财产品投资协议书</w:t>
            </w:r>
            <w:r>
              <w:rPr>
                <w:rFonts w:ascii="宋体" w:hAnsi="宋体"/>
                <w:kern w:val="0"/>
                <w:sz w:val="20"/>
                <w:szCs w:val="21"/>
              </w:rPr>
              <w:t xml:space="preserve"> </w:t>
            </w:r>
          </w:p>
        </w:tc>
        <w:tc>
          <w:tcPr>
            <w:tcW w:w="192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23" w:hRule="atLeast"/>
          <w:jc w:val="center"/>
        </w:trPr>
        <w:tc>
          <w:tcPr>
            <w:tcW w:w="990"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6008"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兴银理财天天万利宝稳利净值型理财产品产品说明书</w:t>
            </w:r>
          </w:p>
        </w:tc>
        <w:tc>
          <w:tcPr>
            <w:tcW w:w="192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990"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6008" w:type="dxa"/>
          </w:tcPr>
          <w:p>
            <w:pPr>
              <w:widowControl/>
              <w:spacing w:line="360" w:lineRule="auto"/>
              <w:rPr>
                <w:rFonts w:ascii="宋体" w:hAnsi="宋体"/>
                <w:kern w:val="0"/>
                <w:sz w:val="20"/>
                <w:szCs w:val="21"/>
              </w:rPr>
            </w:pPr>
            <w:r>
              <w:rPr>
                <w:rFonts w:hint="eastAsia" w:ascii="宋体" w:hAnsi="宋体"/>
                <w:kern w:val="0"/>
                <w:sz w:val="20"/>
                <w:szCs w:val="21"/>
              </w:rPr>
              <w:t>兴银理财天天万利宝稳利净值型理财产品（代理）销售协议书</w:t>
            </w:r>
          </w:p>
        </w:tc>
        <w:tc>
          <w:tcPr>
            <w:tcW w:w="192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990"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6008" w:type="dxa"/>
          </w:tcPr>
          <w:p>
            <w:pPr>
              <w:widowControl/>
              <w:spacing w:line="360" w:lineRule="auto"/>
              <w:rPr>
                <w:rFonts w:ascii="宋体" w:hAnsi="宋体"/>
                <w:szCs w:val="21"/>
              </w:rPr>
            </w:pPr>
            <w:r>
              <w:rPr>
                <w:rFonts w:hint="eastAsia" w:ascii="宋体" w:hAnsi="宋体"/>
                <w:kern w:val="0"/>
                <w:sz w:val="20"/>
                <w:szCs w:val="21"/>
              </w:rPr>
              <w:t>兴银理财天天万利宝稳利净值型理财产品风险揭示书</w:t>
            </w:r>
          </w:p>
        </w:tc>
        <w:tc>
          <w:tcPr>
            <w:tcW w:w="192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1" w:hRule="atLeast"/>
          <w:jc w:val="center"/>
        </w:trPr>
        <w:tc>
          <w:tcPr>
            <w:tcW w:w="990"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6008" w:type="dxa"/>
          </w:tcPr>
          <w:p>
            <w:pPr>
              <w:widowControl/>
              <w:spacing w:line="360" w:lineRule="auto"/>
              <w:rPr>
                <w:rFonts w:ascii="宋体" w:hAnsi="宋体"/>
                <w:kern w:val="0"/>
                <w:sz w:val="20"/>
                <w:szCs w:val="21"/>
              </w:rPr>
            </w:pPr>
            <w:r>
              <w:rPr>
                <w:rFonts w:hint="eastAsia" w:ascii="宋体" w:hAnsi="宋体"/>
                <w:kern w:val="0"/>
                <w:sz w:val="20"/>
                <w:szCs w:val="21"/>
              </w:rPr>
              <w:t>兴银理财天天万利宝稳利净值型理财产品投资者权益须知</w:t>
            </w:r>
          </w:p>
        </w:tc>
        <w:tc>
          <w:tcPr>
            <w:tcW w:w="192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pStyle w:val="58"/>
        <w:widowControl/>
        <w:snapToGrid w:val="0"/>
        <w:spacing w:line="360" w:lineRule="auto"/>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r>
        <w:br w:type="page"/>
      </w:r>
    </w:p>
    <w:p>
      <w:pPr>
        <w:tabs>
          <w:tab w:val="left" w:pos="6660"/>
        </w:tabs>
        <w:spacing w:line="360" w:lineRule="auto"/>
        <w:jc w:val="center"/>
        <w:rPr>
          <w:bCs/>
          <w:sz w:val="44"/>
        </w:rPr>
      </w:pPr>
    </w:p>
    <w:p>
      <w:pPr>
        <w:widowControl/>
        <w:spacing w:line="360" w:lineRule="auto"/>
        <w:jc w:val="center"/>
        <w:rPr>
          <w:rStyle w:val="25"/>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5"/>
          <w:rFonts w:ascii="黑体" w:hAnsi="黑体" w:eastAsia="黑体" w:cs="宋体"/>
          <w:sz w:val="44"/>
          <w:szCs w:val="44"/>
        </w:rPr>
      </w:pPr>
      <w:r>
        <w:rPr>
          <w:rStyle w:val="25"/>
          <w:rFonts w:hint="eastAsia" w:ascii="黑体" w:hAnsi="黑体" w:eastAsia="黑体" w:cs="宋体"/>
          <w:sz w:val="44"/>
          <w:szCs w:val="44"/>
        </w:rPr>
        <w:t>兴银理财天天万利宝稳利净值型理财产品投资协议书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5"/>
          <w:rFonts w:ascii="宋体" w:hAnsi="宋体"/>
          <w:sz w:val="28"/>
          <w:szCs w:val="28"/>
        </w:rPr>
      </w:pPr>
      <w:bookmarkStart w:id="0" w:name="_Toc123112224"/>
      <w:bookmarkStart w:id="1" w:name="_Toc139991726"/>
      <w:bookmarkStart w:id="2" w:name="_Toc123701383"/>
      <w:bookmarkStart w:id="3" w:name="_Toc139992301"/>
      <w:bookmarkStart w:id="4" w:name="_Toc123112263"/>
      <w:r>
        <w:rPr>
          <w:rStyle w:val="25"/>
          <w:rFonts w:hint="eastAsia" w:ascii="宋体" w:hAnsi="宋体"/>
          <w:sz w:val="28"/>
          <w:szCs w:val="28"/>
        </w:rPr>
        <w:t>理财产品管理人：</w:t>
      </w:r>
      <w:bookmarkEnd w:id="0"/>
      <w:bookmarkEnd w:id="1"/>
      <w:bookmarkEnd w:id="2"/>
      <w:bookmarkEnd w:id="3"/>
      <w:bookmarkEnd w:id="4"/>
      <w:r>
        <w:rPr>
          <w:rStyle w:val="25"/>
          <w:rFonts w:hint="eastAsia" w:ascii="宋体" w:hAnsi="宋体"/>
          <w:sz w:val="28"/>
          <w:szCs w:val="28"/>
        </w:rPr>
        <w:t>兴银理财有限责任公司</w:t>
      </w:r>
    </w:p>
    <w:p>
      <w:pPr>
        <w:adjustRightInd w:val="0"/>
        <w:spacing w:line="360" w:lineRule="auto"/>
        <w:jc w:val="center"/>
        <w:rPr>
          <w:rStyle w:val="25"/>
          <w:rFonts w:ascii="黑体" w:hAnsi="黑体" w:eastAsia="黑体" w:cs="宋体"/>
          <w:sz w:val="28"/>
          <w:szCs w:val="28"/>
        </w:rPr>
      </w:pPr>
      <w:bookmarkStart w:id="5" w:name="_Toc123701384"/>
      <w:bookmarkStart w:id="6" w:name="_Toc123112225"/>
      <w:bookmarkStart w:id="7" w:name="_Toc139992302"/>
      <w:bookmarkStart w:id="8" w:name="_Toc139991727"/>
      <w:bookmarkStart w:id="9" w:name="_Toc123112264"/>
    </w:p>
    <w:bookmarkEnd w:id="5"/>
    <w:bookmarkEnd w:id="6"/>
    <w:bookmarkEnd w:id="7"/>
    <w:bookmarkEnd w:id="8"/>
    <w:bookmarkEnd w:id="9"/>
    <w:p>
      <w:pPr>
        <w:adjustRightInd w:val="0"/>
        <w:spacing w:line="360" w:lineRule="auto"/>
        <w:jc w:val="center"/>
        <w:rPr>
          <w:rStyle w:val="25"/>
          <w:rFonts w:ascii="黑体" w:hAnsi="黑体" w:eastAsia="黑体" w:cs="宋体"/>
          <w:sz w:val="28"/>
          <w:szCs w:val="28"/>
        </w:rPr>
      </w:pPr>
      <w:bookmarkStart w:id="73" w:name="_GoBack"/>
    </w:p>
    <w:p>
      <w:pPr>
        <w:adjustRightInd w:val="0"/>
        <w:spacing w:line="360" w:lineRule="auto"/>
        <w:jc w:val="center"/>
        <w:rPr>
          <w:rStyle w:val="25"/>
          <w:rFonts w:ascii="宋体" w:hAnsi="宋体"/>
          <w:sz w:val="28"/>
          <w:szCs w:val="28"/>
        </w:rPr>
      </w:pPr>
      <w:r>
        <w:rPr>
          <w:rStyle w:val="25"/>
          <w:rFonts w:hint="eastAsia" w:ascii="宋体" w:hAnsi="宋体"/>
          <w:sz w:val="28"/>
          <w:szCs w:val="28"/>
        </w:rPr>
        <w:t>日期</w:t>
      </w:r>
      <w:r>
        <w:rPr>
          <w:rStyle w:val="25"/>
          <w:rFonts w:ascii="宋体" w:hAnsi="宋体"/>
          <w:sz w:val="28"/>
          <w:szCs w:val="28"/>
        </w:rPr>
        <w:t>：</w:t>
      </w:r>
      <w:r>
        <w:rPr>
          <w:rStyle w:val="25"/>
          <w:rFonts w:hint="eastAsia" w:ascii="宋体" w:hAnsi="宋体"/>
          <w:sz w:val="28"/>
          <w:szCs w:val="28"/>
        </w:rPr>
        <w:t>【2022】年【</w:t>
      </w:r>
      <w:r>
        <w:rPr>
          <w:rStyle w:val="25"/>
          <w:rFonts w:hint="eastAsia" w:ascii="宋体" w:hAnsi="宋体"/>
          <w:sz w:val="28"/>
          <w:szCs w:val="28"/>
          <w:lang w:val="en-US" w:eastAsia="zh-CN"/>
        </w:rPr>
        <w:t>6</w:t>
      </w:r>
      <w:r>
        <w:rPr>
          <w:rStyle w:val="25"/>
          <w:rFonts w:hint="eastAsia" w:ascii="宋体" w:hAnsi="宋体"/>
          <w:sz w:val="28"/>
          <w:szCs w:val="28"/>
        </w:rPr>
        <w:t>】月</w:t>
      </w:r>
    </w:p>
    <w:bookmarkEnd w:id="73"/>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31"/>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8522" w:type="dxa"/>
          </w:tcPr>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2"/>
              <w:snapToGrid w:val="0"/>
              <w:spacing w:before="0" w:beforeAutospacing="0" w:after="0" w:afterAutospacing="0" w:line="360" w:lineRule="auto"/>
              <w:jc w:val="both"/>
              <w:rPr>
                <w:rFonts w:ascii="黑体" w:hAnsi="黑体" w:eastAsia="黑体"/>
                <w:bCs/>
                <w:sz w:val="18"/>
                <w:szCs w:val="18"/>
              </w:rPr>
            </w:pP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w:t>
            </w:r>
            <w:r>
              <w:rPr>
                <w:rFonts w:ascii="黑体" w:hAnsi="黑体" w:eastAsia="黑体"/>
                <w:bCs/>
                <w:sz w:val="18"/>
                <w:szCs w:val="18"/>
              </w:rPr>
              <w:t>须</w:t>
            </w:r>
            <w:r>
              <w:rPr>
                <w:rFonts w:hint="eastAsia" w:ascii="黑体" w:hAnsi="黑体" w:eastAsia="黑体"/>
                <w:bCs/>
                <w:sz w:val="18"/>
                <w:szCs w:val="18"/>
              </w:rPr>
              <w:t>谨慎。</w:t>
            </w:r>
          </w:p>
          <w:p>
            <w:pPr>
              <w:pStyle w:val="22"/>
              <w:snapToGrid w:val="0"/>
              <w:spacing w:before="0" w:beforeAutospacing="0" w:after="0" w:afterAutospacing="0" w:line="360" w:lineRule="auto"/>
              <w:jc w:val="both"/>
              <w:rPr>
                <w:rFonts w:ascii="黑体" w:hAnsi="黑体" w:eastAsia="黑体"/>
                <w:bCs/>
                <w:sz w:val="18"/>
                <w:szCs w:val="18"/>
              </w:rPr>
            </w:pPr>
          </w:p>
          <w:p>
            <w:pPr>
              <w:pStyle w:val="22"/>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22"/>
              <w:snapToGrid w:val="0"/>
              <w:spacing w:before="0" w:beforeAutospacing="0" w:after="0" w:afterAutospacing="0" w:line="360" w:lineRule="auto"/>
              <w:jc w:val="both"/>
              <w:rPr>
                <w:rFonts w:ascii="黑体" w:hAnsi="黑体" w:eastAsia="黑体"/>
                <w:bCs/>
                <w:sz w:val="18"/>
                <w:szCs w:val="18"/>
              </w:rPr>
            </w:pP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2"/>
              <w:snapToGrid w:val="0"/>
              <w:spacing w:before="0" w:beforeAutospacing="0" w:after="0" w:afterAutospacing="0" w:line="360" w:lineRule="auto"/>
              <w:jc w:val="both"/>
              <w:rPr>
                <w:rFonts w:ascii="黑体" w:hAnsi="黑体" w:eastAsia="黑体"/>
                <w:bCs/>
                <w:sz w:val="18"/>
                <w:szCs w:val="18"/>
              </w:rPr>
            </w:pP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2"/>
              <w:snapToGrid w:val="0"/>
              <w:spacing w:before="0" w:beforeAutospacing="0" w:after="0" w:afterAutospacing="0" w:line="360" w:lineRule="auto"/>
              <w:jc w:val="both"/>
              <w:rPr>
                <w:rFonts w:ascii="黑体" w:hAnsi="黑体" w:eastAsia="黑体"/>
                <w:bCs/>
                <w:sz w:val="18"/>
                <w:szCs w:val="18"/>
              </w:rPr>
            </w:pP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投资者在此同意并授权，产品管理人可根据监管要求和合同约定，为理财产品登记、反洗钱</w:t>
            </w:r>
            <w:r>
              <w:rPr>
                <w:rFonts w:ascii="黑体" w:hAnsi="黑体" w:eastAsia="黑体"/>
                <w:bCs/>
                <w:sz w:val="18"/>
                <w:szCs w:val="18"/>
              </w:rPr>
              <w:t>工作</w:t>
            </w:r>
            <w:r>
              <w:rPr>
                <w:rFonts w:hint="eastAsia" w:ascii="黑体" w:hAnsi="黑体" w:eastAsia="黑体"/>
                <w:bCs/>
                <w:sz w:val="18"/>
                <w:szCs w:val="18"/>
              </w:rPr>
              <w:t>等需要，向登记部门或监管机构及相关方提供投资者相关信息。</w:t>
            </w:r>
          </w:p>
          <w:p>
            <w:pPr>
              <w:pStyle w:val="22"/>
              <w:snapToGrid w:val="0"/>
              <w:spacing w:before="0" w:beforeAutospacing="0" w:after="0" w:afterAutospacing="0" w:line="360" w:lineRule="auto"/>
              <w:jc w:val="both"/>
              <w:rPr>
                <w:rFonts w:ascii="黑体" w:hAnsi="黑体" w:eastAsia="黑体"/>
                <w:bCs/>
                <w:sz w:val="18"/>
                <w:szCs w:val="18"/>
              </w:rPr>
            </w:pP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2"/>
              <w:snapToGrid w:val="0"/>
              <w:spacing w:before="0" w:beforeAutospacing="0" w:after="0" w:afterAutospacing="0" w:line="360" w:lineRule="auto"/>
              <w:jc w:val="both"/>
              <w:rPr>
                <w:rFonts w:ascii="黑体" w:hAnsi="黑体" w:eastAsia="黑体"/>
                <w:bCs/>
                <w:sz w:val="18"/>
                <w:szCs w:val="18"/>
              </w:rPr>
            </w:pPr>
          </w:p>
          <w:p>
            <w:pPr>
              <w:pStyle w:val="22"/>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关于理财产品咨询的提示</w:t>
            </w:r>
          </w:p>
          <w:p>
            <w:pPr>
              <w:tabs>
                <w:tab w:val="left" w:pos="8070"/>
                <w:tab w:val="right" w:pos="8306"/>
              </w:tabs>
              <w:autoSpaceDE w:val="0"/>
              <w:autoSpaceDN w:val="0"/>
              <w:adjustRightInd w:val="0"/>
              <w:snapToGrid w:val="0"/>
              <w:spacing w:before="156" w:beforeLines="50" w:line="360" w:lineRule="auto"/>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27"/>
      <w:bookmarkStart w:id="11" w:name="_Toc123701386"/>
      <w:bookmarkStart w:id="12" w:name="_Toc139991729"/>
      <w:bookmarkStart w:id="13" w:name="_Toc123112266"/>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30"/>
        <w:tblW w:w="9221"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6"/>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6"/>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6"/>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兴业银行天天万利宝稳利2号净值型理财产品K款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【稳利恒盈</w:t>
            </w:r>
            <w:r>
              <w:rPr>
                <w:rFonts w:hint="eastAsia" w:ascii="宋体" w:hAnsi="宋体"/>
                <w:bCs/>
                <w:sz w:val="18"/>
                <w:szCs w:val="18"/>
                <w:lang w:val="en-US" w:eastAsia="zh-CN"/>
              </w:rPr>
              <w:t>K</w:t>
            </w:r>
            <w:r>
              <w:rPr>
                <w:rFonts w:hint="eastAsia" w:ascii="宋体" w:hAnsi="宋体"/>
                <w:bCs/>
                <w:sz w:val="18"/>
                <w:szCs w:val="18"/>
              </w:rPr>
              <w:t xml:space="preserve"> 6个月】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【Z7002020000028】注：投资者可依据理财产品登记编码在中国理财网查询产品信息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w:t>
            </w:r>
            <w:r>
              <w:rPr>
                <w:rFonts w:ascii="宋体" w:hAnsi="宋体"/>
                <w:b/>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rPr>
              <w:t>【</w:t>
            </w:r>
            <w:r>
              <w:rPr>
                <w:rFonts w:hint="eastAsia" w:ascii="宋体" w:hAnsi="宋体"/>
                <w:bCs/>
                <w:color w:val="000000" w:themeColor="text1"/>
                <w:sz w:val="18"/>
                <w:szCs w:val="18"/>
              </w:rPr>
              <w:t>9K218028</w:t>
            </w:r>
            <w:r>
              <w:rPr>
                <w:rFonts w:ascii="宋体" w:hAnsi="宋体"/>
                <w:bCs/>
                <w:color w:val="000000" w:themeColor="text1"/>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
                <w:bCs/>
                <w:sz w:val="18"/>
                <w:szCs w:val="18"/>
              </w:rPr>
              <w:t>销售</w:t>
            </w:r>
            <w:r>
              <w:rPr>
                <w:rFonts w:ascii="宋体" w:hAnsi="宋体"/>
                <w:b/>
                <w:bCs/>
                <w:sz w:val="18"/>
                <w:szCs w:val="18"/>
              </w:rPr>
              <w:t>代码</w:t>
            </w:r>
          </w:p>
        </w:tc>
        <w:tc>
          <w:tcPr>
            <w:tcW w:w="6389" w:type="dxa"/>
            <w:gridSpan w:val="3"/>
            <w:shd w:val="solid" w:color="FFFFFF" w:fill="FFFFFF"/>
            <w:vAlign w:val="center"/>
          </w:tcPr>
          <w:p>
            <w:pPr>
              <w:spacing w:line="320" w:lineRule="exact"/>
              <w:jc w:val="left"/>
              <w:rPr>
                <w:rFonts w:ascii="宋体" w:hAnsi="宋体"/>
                <w:bCs/>
                <w:color w:val="000000" w:themeColor="text1"/>
                <w:sz w:val="18"/>
                <w:szCs w:val="18"/>
              </w:rPr>
            </w:pPr>
            <w:r>
              <w:rPr>
                <w:rFonts w:hint="eastAsia" w:ascii="宋体" w:hAnsi="宋体"/>
                <w:bCs/>
                <w:color w:val="000000" w:themeColor="text1"/>
                <w:sz w:val="18"/>
                <w:szCs w:val="18"/>
              </w:rPr>
              <w:t>【9K218028】</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6"/>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6"/>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3" w:type="default"/>
          <w:footerReference r:id="rId4" w:type="default"/>
          <w:pgSz w:w="11906" w:h="16838"/>
          <w:pgMar w:top="1440" w:right="1800" w:bottom="1440" w:left="1800" w:header="567" w:footer="992" w:gutter="0"/>
          <w:pgNumType w:start="0"/>
          <w:cols w:space="720" w:num="1"/>
          <w:titlePg/>
          <w:docGrid w:type="lines" w:linePitch="312" w:charSpace="0"/>
        </w:sectPr>
      </w:pP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7"/>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"_Toc95897036" </w:instrText>
          </w:r>
          <w:r>
            <w:fldChar w:fldCharType="separate"/>
          </w:r>
          <w:r>
            <w:rPr>
              <w:rStyle w:val="27"/>
              <w:rFonts w:hint="eastAsia"/>
            </w:rPr>
            <w:t>第一条</w:t>
          </w:r>
          <w:r>
            <w:rPr>
              <w:rStyle w:val="27"/>
            </w:rPr>
            <w:t xml:space="preserve">  </w:t>
          </w:r>
          <w:r>
            <w:rPr>
              <w:rStyle w:val="27"/>
              <w:rFonts w:hint="eastAsia"/>
            </w:rPr>
            <w:t>前言</w:t>
          </w:r>
          <w:r>
            <w:tab/>
          </w:r>
          <w:r>
            <w:fldChar w:fldCharType="begin"/>
          </w:r>
          <w:r>
            <w:instrText xml:space="preserve"> PAGEREF _Toc95897036 \h </w:instrText>
          </w:r>
          <w:r>
            <w:fldChar w:fldCharType="separate"/>
          </w:r>
          <w:r>
            <w:t>1</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"_Toc95897037" </w:instrText>
          </w:r>
          <w:r>
            <w:fldChar w:fldCharType="separate"/>
          </w:r>
          <w:r>
            <w:rPr>
              <w:rStyle w:val="27"/>
              <w:rFonts w:hint="eastAsia"/>
            </w:rPr>
            <w:t>第二条</w:t>
          </w:r>
          <w:r>
            <w:rPr>
              <w:rStyle w:val="27"/>
            </w:rPr>
            <w:t xml:space="preserve">  </w:t>
          </w:r>
          <w:r>
            <w:rPr>
              <w:rStyle w:val="27"/>
              <w:rFonts w:hint="eastAsia"/>
            </w:rPr>
            <w:t>双方权利义务</w:t>
          </w:r>
          <w:r>
            <w:tab/>
          </w:r>
          <w:r>
            <w:fldChar w:fldCharType="begin"/>
          </w:r>
          <w:r>
            <w:instrText xml:space="preserve"> PAGEREF _Toc95897037 \h </w:instrText>
          </w:r>
          <w:r>
            <w:fldChar w:fldCharType="separate"/>
          </w:r>
          <w:r>
            <w:t>2</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"_Toc95897038" </w:instrText>
          </w:r>
          <w:r>
            <w:fldChar w:fldCharType="separate"/>
          </w:r>
          <w:r>
            <w:rPr>
              <w:rStyle w:val="27"/>
              <w:rFonts w:hint="eastAsia"/>
            </w:rPr>
            <w:t>第三条</w:t>
          </w:r>
          <w:r>
            <w:rPr>
              <w:rStyle w:val="27"/>
            </w:rPr>
            <w:t xml:space="preserve">  </w:t>
          </w:r>
          <w:r>
            <w:rPr>
              <w:rStyle w:val="27"/>
              <w:rFonts w:hint="eastAsia"/>
            </w:rPr>
            <w:t>不可抗力</w:t>
          </w:r>
          <w:r>
            <w:tab/>
          </w:r>
          <w:r>
            <w:fldChar w:fldCharType="begin"/>
          </w:r>
          <w:r>
            <w:instrText xml:space="preserve"> PAGEREF _Toc95897038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"_Toc95897039" </w:instrText>
          </w:r>
          <w:r>
            <w:fldChar w:fldCharType="separate"/>
          </w:r>
          <w:r>
            <w:rPr>
              <w:rStyle w:val="27"/>
              <w:rFonts w:hint="eastAsia"/>
            </w:rPr>
            <w:t>第四条</w:t>
          </w:r>
          <w:r>
            <w:rPr>
              <w:rStyle w:val="27"/>
            </w:rPr>
            <w:t xml:space="preserve">  </w:t>
          </w:r>
          <w:r>
            <w:rPr>
              <w:rStyle w:val="27"/>
              <w:rFonts w:hint="eastAsia"/>
            </w:rPr>
            <w:t>违约责任</w:t>
          </w:r>
          <w:r>
            <w:tab/>
          </w:r>
          <w:r>
            <w:fldChar w:fldCharType="begin"/>
          </w:r>
          <w:r>
            <w:instrText xml:space="preserve"> PAGEREF _Toc95897039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"_Toc95897040" </w:instrText>
          </w:r>
          <w:r>
            <w:fldChar w:fldCharType="separate"/>
          </w:r>
          <w:r>
            <w:rPr>
              <w:rStyle w:val="27"/>
              <w:rFonts w:hint="eastAsia"/>
            </w:rPr>
            <w:t>第五条</w:t>
          </w:r>
          <w:r>
            <w:rPr>
              <w:rStyle w:val="27"/>
            </w:rPr>
            <w:t xml:space="preserve">  </w:t>
          </w:r>
          <w:r>
            <w:rPr>
              <w:rStyle w:val="27"/>
              <w:rFonts w:hint="eastAsia"/>
            </w:rPr>
            <w:t>法律适用和争议解决</w:t>
          </w:r>
          <w:r>
            <w:tab/>
          </w:r>
          <w:r>
            <w:fldChar w:fldCharType="begin"/>
          </w:r>
          <w:r>
            <w:instrText xml:space="preserve"> PAGEREF _Toc95897040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"_Toc95897041" </w:instrText>
          </w:r>
          <w:r>
            <w:fldChar w:fldCharType="separate"/>
          </w:r>
          <w:r>
            <w:rPr>
              <w:rStyle w:val="27"/>
              <w:rFonts w:hint="eastAsia"/>
            </w:rPr>
            <w:t>第六条</w:t>
          </w:r>
          <w:r>
            <w:rPr>
              <w:rStyle w:val="27"/>
            </w:rPr>
            <w:t xml:space="preserve">  </w:t>
          </w:r>
          <w:r>
            <w:rPr>
              <w:rStyle w:val="27"/>
              <w:rFonts w:hint="eastAsia"/>
            </w:rPr>
            <w:t>协议的签署和效力</w:t>
          </w:r>
          <w:r>
            <w:tab/>
          </w:r>
          <w:r>
            <w:fldChar w:fldCharType="begin"/>
          </w:r>
          <w:r>
            <w:instrText xml:space="preserve"> PAGEREF _Toc95897041 \h </w:instrText>
          </w:r>
          <w:r>
            <w:fldChar w:fldCharType="separate"/>
          </w:r>
          <w:r>
            <w:t>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"_Toc95897042" </w:instrText>
          </w:r>
          <w:r>
            <w:fldChar w:fldCharType="separate"/>
          </w:r>
          <w:r>
            <w:rPr>
              <w:rStyle w:val="27"/>
              <w:rFonts w:hint="eastAsia"/>
            </w:rPr>
            <w:t>第七条</w:t>
          </w:r>
          <w:r>
            <w:rPr>
              <w:rStyle w:val="27"/>
            </w:rPr>
            <w:t xml:space="preserve">  </w:t>
          </w:r>
          <w:r>
            <w:rPr>
              <w:rStyle w:val="27"/>
              <w:rFonts w:hint="eastAsia"/>
            </w:rPr>
            <w:t>消费者权益保护</w:t>
          </w:r>
          <w:r>
            <w:tab/>
          </w:r>
          <w:r>
            <w:fldChar w:fldCharType="begin"/>
          </w:r>
          <w:r>
            <w:instrText xml:space="preserve"> PAGEREF _Toc95897042 \h </w:instrText>
          </w:r>
          <w:r>
            <w:fldChar w:fldCharType="separate"/>
          </w:r>
          <w:r>
            <w:t>9</w:t>
          </w:r>
          <w:r>
            <w:fldChar w:fldCharType="end"/>
          </w:r>
          <w:r>
            <w:fldChar w:fldCharType="end"/>
          </w:r>
        </w:p>
        <w:p>
          <w:pPr>
            <w:spacing w:line="360" w:lineRule="auto"/>
          </w:pPr>
          <w:r>
            <w:rPr>
              <w:b/>
              <w:bCs/>
              <w:lang w:val="zh-CN"/>
            </w:rPr>
            <w:fldChar w:fldCharType="end"/>
          </w:r>
        </w:p>
      </w:sdtContent>
    </w:sdt>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sectPr>
          <w:pgSz w:w="11906" w:h="16838"/>
          <w:pgMar w:top="1440" w:right="1800" w:bottom="1440" w:left="1800" w:header="851" w:footer="992" w:gutter="0"/>
          <w:pgNumType w:start="0"/>
          <w:cols w:space="720" w:num="1"/>
          <w:docGrid w:type="lines" w:linePitch="312" w:charSpace="0"/>
        </w:sect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32639"/>
      <w:bookmarkStart w:id="15" w:name="_Toc29629"/>
      <w:bookmarkStart w:id="16" w:name="_Toc15517"/>
      <w:bookmarkStart w:id="17" w:name="_Toc8727"/>
      <w:bookmarkStart w:id="18" w:name="_Toc6306"/>
      <w:bookmarkStart w:id="19" w:name="_Toc23386"/>
      <w:bookmarkStart w:id="20" w:name="_Toc123112229"/>
      <w:bookmarkStart w:id="21" w:name="_Toc141703880"/>
      <w:bookmarkStart w:id="22" w:name="_Toc123112268"/>
      <w:bookmarkStart w:id="23" w:name="_Toc26897"/>
      <w:bookmarkStart w:id="24" w:name="_Toc4966"/>
      <w:bookmarkStart w:id="25" w:name="_Toc123701389"/>
      <w:bookmarkStart w:id="26" w:name="_Toc139991730"/>
      <w:bookmarkStart w:id="27" w:name="_Toc4867"/>
      <w:bookmarkStart w:id="28" w:name="_Toc30935"/>
      <w:bookmarkStart w:id="29" w:name="_Toc95897036"/>
      <w:bookmarkStart w:id="30" w:name="_Toc88482730"/>
      <w:bookmarkStart w:id="31" w:name="_Toc74065738"/>
      <w:bookmarkStart w:id="32"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3" w:name="_Toc2465"/>
      <w:bookmarkStart w:id="34" w:name="_Toc13020"/>
      <w:bookmarkStart w:id="35" w:name="_Toc24860"/>
      <w:bookmarkStart w:id="36" w:name="_Toc22864"/>
      <w:bookmarkStart w:id="37" w:name="_Toc19592"/>
      <w:bookmarkStart w:id="38" w:name="_Toc258829399"/>
      <w:bookmarkStart w:id="39" w:name="_Toc6617"/>
      <w:bookmarkStart w:id="40" w:name="_Toc21301"/>
      <w:bookmarkStart w:id="41" w:name="_Toc3224"/>
      <w:bookmarkStart w:id="42" w:name="_Toc819"/>
      <w:bookmarkStart w:id="43" w:name="_Toc15067"/>
      <w:r>
        <w:rPr>
          <w:rFonts w:hint="eastAsia" w:ascii="Times New Roman"/>
          <w:color w:val="auto"/>
          <w:sz w:val="30"/>
        </w:rPr>
        <w:t>前言</w:t>
      </w:r>
      <w:bookmarkEnd w:id="29"/>
      <w:bookmarkEnd w:id="30"/>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、订立本投资协议书的目的是保护投资人合法权益，明确投资协议书当事人的权利义务，规范理财产品运作。</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、订立本投资协议书的依据是《中华人民共和国民法典》等法律法规、《关于规范金融机构资产管理业务的指导意见》（银发</w:t>
      </w:r>
      <w:r>
        <w:rPr>
          <w:rFonts w:asciiTheme="majorEastAsia" w:hAnsiTheme="majorEastAsia" w:eastAsiaTheme="majorEastAsia"/>
          <w:bCs/>
          <w:color w:val="auto"/>
          <w:sz w:val="18"/>
          <w:szCs w:val="18"/>
        </w:rPr>
        <w:t>[2018]106</w:t>
      </w:r>
      <w:r>
        <w:rPr>
          <w:rFonts w:hint="eastAsia" w:asciiTheme="majorEastAsia" w:hAnsiTheme="majorEastAsia" w:eastAsiaTheme="majorEastAsia"/>
          <w:bCs/>
          <w:color w:val="auto"/>
          <w:sz w:val="18"/>
          <w:szCs w:val="18"/>
        </w:rPr>
        <w:t>号）、《商业银行理财业务监督管理办法》（银保监会令</w:t>
      </w:r>
      <w:r>
        <w:rPr>
          <w:rFonts w:asciiTheme="majorEastAsia" w:hAnsiTheme="majorEastAsia" w:eastAsiaTheme="majorEastAsia"/>
          <w:bCs/>
          <w:color w:val="auto"/>
          <w:sz w:val="18"/>
          <w:szCs w:val="18"/>
        </w:rPr>
        <w:t xml:space="preserve"> </w:t>
      </w:r>
      <w:r>
        <w:rPr>
          <w:rFonts w:hint="eastAsia" w:asciiTheme="majorEastAsia" w:hAnsiTheme="majorEastAsia" w:eastAsiaTheme="majorEastAsia"/>
          <w:bCs/>
          <w:color w:val="auto"/>
          <w:sz w:val="18"/>
          <w:szCs w:val="18"/>
        </w:rPr>
        <w:t>2018年第</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号）、</w:t>
      </w:r>
      <w:bookmarkStart w:id="44" w:name="_Toc59965743"/>
      <w:r>
        <w:rPr>
          <w:rFonts w:hint="eastAsia" w:asciiTheme="majorEastAsia" w:hAnsiTheme="majorEastAsia" w:eastAsiaTheme="majorEastAsia"/>
          <w:bCs/>
          <w:color w:val="auto"/>
          <w:sz w:val="18"/>
          <w:szCs w:val="18"/>
        </w:rPr>
        <w:t>《商业银行理财子公司管理办法》</w:t>
      </w:r>
      <w:bookmarkEnd w:id="44"/>
      <w:r>
        <w:rPr>
          <w:rFonts w:hint="eastAsia" w:asciiTheme="majorEastAsia" w:hAnsiTheme="majorEastAsia" w:eastAsiaTheme="majorEastAsia"/>
          <w:bCs/>
          <w:color w:val="auto"/>
          <w:sz w:val="18"/>
          <w:szCs w:val="18"/>
        </w:rPr>
        <w:t>（银保监会令2018年第7号）、《理财公司理财产品销售管理暂行办法》（银保监会令2021年第4号）等监管规定及其他有关规定。</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、订立本投资协议书的原则是平等自愿、诚实信用、充分保护投资人合法权益。</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 xml:space="preserve"> </w:t>
      </w:r>
    </w:p>
    <w:p>
      <w:pPr>
        <w:pStyle w:val="43"/>
        <w:spacing w:line="360" w:lineRule="auto"/>
        <w:rPr>
          <w:rFonts w:asciiTheme="majorEastAsia" w:hAnsiTheme="majorEastAsia" w:eastAsiaTheme="majorEastAsia"/>
          <w:bCs/>
          <w:color w:val="auto"/>
          <w:sz w:val="18"/>
          <w:szCs w:val="18"/>
        </w:rPr>
      </w:pPr>
    </w:p>
    <w:bookmarkEnd w:id="31"/>
    <w:p>
      <w:pPr>
        <w:widowControl/>
        <w:spacing w:line="360" w:lineRule="auto"/>
        <w:jc w:val="left"/>
      </w:pPr>
      <w:r>
        <w:br w:type="page"/>
      </w:r>
    </w:p>
    <w:p>
      <w:pPr>
        <w:pStyle w:val="2"/>
        <w:spacing w:before="0" w:after="0"/>
        <w:jc w:val="center"/>
        <w:rPr>
          <w:rFonts w:ascii="Times New Roman"/>
          <w:color w:val="auto"/>
          <w:sz w:val="30"/>
        </w:rPr>
      </w:pPr>
      <w:bookmarkStart w:id="45" w:name="_Toc95897037"/>
      <w:bookmarkStart w:id="46" w:name="_Toc88482731"/>
      <w:bookmarkStart w:id="47"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5"/>
      <w:bookmarkEnd w:id="46"/>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投资者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销售机构、产品托管人、监管机构、自律组织、理财登记备案机构、金融交易对手方、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rPr>
        <w:t>3.</w:t>
      </w:r>
      <w:r>
        <w:rPr>
          <w:rFonts w:ascii="宋体" w:hAnsi="宋体"/>
          <w:sz w:val="18"/>
          <w:szCs w:val="18"/>
        </w:rPr>
        <w:t>产品管理人应按照约定披露产品相关信息</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按照《产品说明书》约定向投资者进行理财产品份额的利益分配并将对应资金划入投资者约定账户后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2"/>
    <w:bookmarkEnd w:id="33"/>
    <w:bookmarkEnd w:id="34"/>
    <w:bookmarkEnd w:id="35"/>
    <w:bookmarkEnd w:id="36"/>
    <w:bookmarkEnd w:id="37"/>
    <w:bookmarkEnd w:id="38"/>
    <w:bookmarkEnd w:id="39"/>
    <w:bookmarkEnd w:id="40"/>
    <w:bookmarkEnd w:id="41"/>
    <w:bookmarkEnd w:id="42"/>
    <w:bookmarkEnd w:id="43"/>
    <w:bookmarkEnd w:id="47"/>
    <w:p>
      <w:pPr>
        <w:pStyle w:val="2"/>
        <w:spacing w:before="0" w:after="0"/>
        <w:jc w:val="center"/>
        <w:rPr>
          <w:rFonts w:ascii="Times New Roman"/>
          <w:sz w:val="30"/>
        </w:rPr>
      </w:pPr>
      <w:bookmarkStart w:id="48" w:name="_Toc88482732"/>
      <w:bookmarkStart w:id="49" w:name="_Toc95897038"/>
      <w:bookmarkStart w:id="50" w:name="_Toc545"/>
      <w:bookmarkStart w:id="51" w:name="_Toc74065740"/>
      <w:bookmarkStart w:id="52" w:name="_Toc20627"/>
      <w:bookmarkStart w:id="53" w:name="_Toc6683"/>
      <w:bookmarkStart w:id="54" w:name="_Toc24571"/>
      <w:bookmarkStart w:id="55" w:name="_Toc13288"/>
      <w:bookmarkStart w:id="56" w:name="_Toc18631"/>
      <w:bookmarkStart w:id="57" w:name="_Toc6149"/>
      <w:bookmarkStart w:id="58" w:name="_Toc20318"/>
      <w:bookmarkStart w:id="59" w:name="_Toc22708"/>
      <w:bookmarkStart w:id="60" w:name="_Toc733"/>
      <w:bookmarkStart w:id="61" w:name="_Toc233456272"/>
      <w:bookmarkStart w:id="62" w:name="_Toc258829400"/>
      <w:r>
        <w:rPr>
          <w:rFonts w:hint="eastAsia" w:ascii="Times New Roman"/>
          <w:color w:val="auto"/>
          <w:sz w:val="30"/>
        </w:rPr>
        <w:t>第三条</w:t>
      </w:r>
      <w:r>
        <w:rPr>
          <w:rFonts w:ascii="Times New Roman"/>
          <w:color w:val="auto"/>
          <w:sz w:val="30"/>
        </w:rPr>
        <w:t xml:space="preserve">  不可抗力</w:t>
      </w:r>
      <w:bookmarkEnd w:id="48"/>
      <w:bookmarkEnd w:id="49"/>
    </w:p>
    <w:bookmarkEnd w:id="50"/>
    <w:bookmarkEnd w:id="51"/>
    <w:bookmarkEnd w:id="52"/>
    <w:bookmarkEnd w:id="53"/>
    <w:bookmarkEnd w:id="54"/>
    <w:bookmarkEnd w:id="55"/>
    <w:bookmarkEnd w:id="56"/>
    <w:bookmarkEnd w:id="57"/>
    <w:bookmarkEnd w:id="58"/>
    <w:bookmarkEnd w:id="59"/>
    <w:bookmarkEnd w:id="60"/>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3" w:name="_Toc95897039"/>
      <w:bookmarkStart w:id="64" w:name="_Toc88482733"/>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3"/>
      <w:bookmarkEnd w:id="64"/>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5" w:name="_Toc95897040"/>
      <w:bookmarkStart w:id="66" w:name="_Toc88482734"/>
      <w:r>
        <w:rPr>
          <w:rFonts w:hint="eastAsia" w:ascii="Times New Roman"/>
          <w:color w:val="auto"/>
          <w:sz w:val="30"/>
        </w:rPr>
        <w:t>第五条</w:t>
      </w:r>
      <w:r>
        <w:rPr>
          <w:rFonts w:ascii="Times New Roman"/>
          <w:color w:val="auto"/>
          <w:sz w:val="30"/>
        </w:rPr>
        <w:t xml:space="preserve">  法律适用和争议解决</w:t>
      </w:r>
      <w:bookmarkEnd w:id="65"/>
      <w:bookmarkEnd w:id="66"/>
    </w:p>
    <w:p>
      <w:pPr>
        <w:adjustRightInd w:val="0"/>
        <w:spacing w:line="360" w:lineRule="auto"/>
        <w:ind w:firstLine="360" w:firstLineChars="200"/>
        <w:rPr>
          <w:color w:val="000000" w:themeColor="text1"/>
          <w:sz w:val="18"/>
          <w:szCs w:val="18"/>
        </w:rPr>
      </w:pPr>
      <w:r>
        <w:rPr>
          <w:rFonts w:hint="eastAsia"/>
          <w:color w:val="000000" w:themeColor="text1"/>
          <w:sz w:val="18"/>
          <w:szCs w:val="18"/>
        </w:rPr>
        <w:t>（一）</w:t>
      </w:r>
      <w:r>
        <w:rPr>
          <w:color w:val="000000" w:themeColor="text1"/>
          <w:sz w:val="18"/>
          <w:szCs w:val="18"/>
        </w:rPr>
        <w:t>法律适用</w:t>
      </w:r>
    </w:p>
    <w:p>
      <w:pPr>
        <w:adjustRightInd w:val="0"/>
        <w:spacing w:line="360" w:lineRule="auto"/>
        <w:ind w:firstLine="360" w:firstLineChars="200"/>
        <w:rPr>
          <w:color w:val="000000" w:themeColor="text1"/>
          <w:sz w:val="18"/>
          <w:szCs w:val="18"/>
        </w:rPr>
      </w:pPr>
      <w:r>
        <w:rPr>
          <w:rFonts w:hint="eastAsia"/>
          <w:color w:val="000000" w:themeColor="text1"/>
          <w:sz w:val="18"/>
          <w:szCs w:val="18"/>
        </w:rPr>
        <w:t>本协议的订立、生效、履行、解除、解释及争议的解决等均适用中华人民共和国法律（为本合同之目的，不包括香港特别行政区、澳门特别行政区和台湾地区的法律）。</w:t>
      </w:r>
    </w:p>
    <w:p>
      <w:pPr>
        <w:adjustRightInd w:val="0"/>
        <w:spacing w:line="360" w:lineRule="auto"/>
        <w:ind w:firstLine="360" w:firstLineChars="200"/>
        <w:rPr>
          <w:rFonts w:ascii="黑体" w:hAnsi="黑体" w:eastAsia="黑体"/>
          <w:sz w:val="18"/>
          <w:szCs w:val="18"/>
        </w:rPr>
      </w:pPr>
      <w:r>
        <w:rPr>
          <w:rFonts w:hint="eastAsia" w:ascii="黑体" w:hAnsi="黑体" w:eastAsia="黑体"/>
          <w:sz w:val="18"/>
          <w:szCs w:val="18"/>
        </w:rPr>
        <w:t>（二）★争议解决</w:t>
      </w:r>
    </w:p>
    <w:p>
      <w:pPr>
        <w:adjustRightInd w:val="0"/>
        <w:spacing w:line="360" w:lineRule="auto"/>
        <w:ind w:firstLine="360" w:firstLineChars="200"/>
        <w:rPr>
          <w:rFonts w:ascii="黑体" w:hAnsi="黑体" w:eastAsia="黑体"/>
          <w:color w:val="000000" w:themeColor="text1"/>
          <w:sz w:val="18"/>
          <w:szCs w:val="18"/>
        </w:rPr>
      </w:pPr>
      <w:r>
        <w:rPr>
          <w:rFonts w:hint="eastAsia"/>
          <w:color w:val="000000" w:themeColor="text1"/>
          <w:sz w:val="18"/>
          <w:szCs w:val="18"/>
        </w:rPr>
        <w:t>双方在本协议书的执行过程中发生的任何争议，应通过友好协商解决。</w:t>
      </w:r>
      <w:r>
        <w:rPr>
          <w:rFonts w:hint="eastAsia" w:ascii="黑体" w:hAnsi="黑体" w:eastAsia="黑体"/>
          <w:color w:val="000000" w:themeColor="text1"/>
          <w:sz w:val="18"/>
          <w:szCs w:val="18"/>
        </w:rPr>
        <w:t>如友好协商不成的，双方均同意以如下第【壹】种方式解决：</w:t>
      </w:r>
    </w:p>
    <w:p>
      <w:pPr>
        <w:adjustRightInd w:val="0"/>
        <w:spacing w:line="360" w:lineRule="auto"/>
        <w:ind w:firstLine="360" w:firstLineChars="200"/>
        <w:rPr>
          <w:rFonts w:ascii="黑体" w:hAnsi="黑体" w:eastAsia="黑体"/>
          <w:color w:val="000000" w:themeColor="text1"/>
          <w:sz w:val="18"/>
          <w:szCs w:val="18"/>
        </w:rPr>
      </w:pPr>
      <w:r>
        <w:rPr>
          <w:rFonts w:hint="eastAsia" w:ascii="黑体" w:hAnsi="黑体" w:eastAsia="黑体"/>
          <w:color w:val="000000" w:themeColor="text1"/>
          <w:sz w:val="18"/>
          <w:szCs w:val="18"/>
        </w:rPr>
        <w:t>（壹）向产品管理人住所地之人民法院提起诉讼。</w:t>
      </w:r>
    </w:p>
    <w:p>
      <w:pPr>
        <w:adjustRightInd w:val="0"/>
        <w:spacing w:line="360" w:lineRule="auto"/>
        <w:ind w:firstLine="360" w:firstLineChars="200"/>
        <w:rPr>
          <w:rFonts w:ascii="黑体" w:hAnsi="黑体" w:eastAsia="黑体"/>
          <w:color w:val="000000" w:themeColor="text1"/>
          <w:sz w:val="18"/>
          <w:szCs w:val="18"/>
        </w:rPr>
      </w:pPr>
      <w:r>
        <w:rPr>
          <w:rFonts w:hint="eastAsia" w:ascii="黑体" w:hAnsi="黑体" w:eastAsia="黑体"/>
          <w:color w:val="000000" w:themeColor="text1"/>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rPr>
      </w:pPr>
      <w:r>
        <w:rPr>
          <w:rFonts w:ascii="黑体" w:hAnsi="黑体" w:eastAsia="黑体"/>
          <w:color w:val="000000" w:themeColor="text1"/>
          <w:sz w:val="18"/>
          <w:szCs w:val="18"/>
        </w:rPr>
        <w:br w:type="page"/>
      </w:r>
    </w:p>
    <w:p>
      <w:pPr>
        <w:pStyle w:val="2"/>
        <w:spacing w:before="0" w:after="0"/>
        <w:jc w:val="center"/>
        <w:rPr>
          <w:rFonts w:ascii="Times New Roman"/>
          <w:b w:val="0"/>
          <w:sz w:val="30"/>
        </w:rPr>
      </w:pPr>
      <w:bookmarkStart w:id="67" w:name="_Toc88482735"/>
      <w:bookmarkStart w:id="68" w:name="_Toc95897041"/>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7"/>
      <w:bookmarkEnd w:id="68"/>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9" w:name="_Toc88482736"/>
      <w:bookmarkStart w:id="70" w:name="_Toc95897042"/>
      <w:bookmarkStart w:id="71" w:name="_Toc77953869"/>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9"/>
      <w:bookmarkEnd w:id="70"/>
      <w:bookmarkEnd w:id="71"/>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72"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7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61"/>
    <w:bookmarkEnd w:id="62"/>
    <w:tbl>
      <w:tblPr>
        <w:tblStyle w:val="31"/>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本产品不设置差异化子份额类别。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90" w:hRule="atLeast"/>
        </w:trPr>
        <w:tc>
          <w:tcPr>
            <w:tcW w:w="1403" w:type="dxa"/>
            <w:gridSpan w:val="2"/>
            <w:vMerge w:val="continue"/>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52" w:hRule="atLeast"/>
        </w:trPr>
        <w:tc>
          <w:tcPr>
            <w:tcW w:w="1403" w:type="dxa"/>
            <w:gridSpan w:val="2"/>
            <w:vMerge w:val="continue"/>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rPr>
                <w:rFonts w:ascii="宋体" w:hAnsi="宋体" w:cs="宋体"/>
                <w:b/>
                <w:sz w:val="18"/>
                <w:szCs w:val="18"/>
              </w:rPr>
            </w:pPr>
            <w:r>
              <w:rPr>
                <w:rFonts w:ascii="宋体" w:hAnsi="宋体"/>
                <w:b/>
                <w:bCs/>
                <w:sz w:val="18"/>
                <w:szCs w:val="18"/>
              </w:rPr>
              <w:t>份额：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14"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pgSz w:w="11906" w:h="16838"/>
      <w:pgMar w:top="1440" w:right="1800" w:bottom="1440" w:left="1800" w:header="567"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15"/>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9</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thickThinLargeGap" w:color="auto" w:sz="24" w:space="10"/>
      </w:pBdr>
      <w:tabs>
        <w:tab w:val="right" w:pos="8280"/>
      </w:tabs>
      <w:wordWrap w:val="0"/>
      <w:adjustRightInd w:val="0"/>
      <w:jc w:val="right"/>
      <w:rPr>
        <w:b/>
      </w:rPr>
    </w:pPr>
    <w:r>
      <w:rPr>
        <w:rFonts w:hint="eastAsia"/>
        <w:b/>
      </w:rPr>
      <w:t>投资协议书</w:t>
    </w:r>
  </w:p>
  <w:p>
    <w:pPr>
      <w:pStyle w:val="16"/>
      <w:pBdr>
        <w:bottom w:val="thickThinLargeGap" w:color="auto" w:sz="24" w:space="10"/>
      </w:pBdr>
      <w:tabs>
        <w:tab w:val="right" w:pos="8280"/>
      </w:tabs>
      <w:wordWrap w:val="0"/>
      <w:adjustRightInd w:val="0"/>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6A1"/>
    <w:rsid w:val="00001E2E"/>
    <w:rsid w:val="000047F2"/>
    <w:rsid w:val="000052BD"/>
    <w:rsid w:val="00006526"/>
    <w:rsid w:val="000073F3"/>
    <w:rsid w:val="0001172D"/>
    <w:rsid w:val="00012205"/>
    <w:rsid w:val="0001389C"/>
    <w:rsid w:val="000141A7"/>
    <w:rsid w:val="000209B7"/>
    <w:rsid w:val="00021451"/>
    <w:rsid w:val="000215C7"/>
    <w:rsid w:val="00021BF7"/>
    <w:rsid w:val="000233FB"/>
    <w:rsid w:val="00023F0A"/>
    <w:rsid w:val="0002724F"/>
    <w:rsid w:val="00030239"/>
    <w:rsid w:val="0003198D"/>
    <w:rsid w:val="00032F2C"/>
    <w:rsid w:val="000345D6"/>
    <w:rsid w:val="000365A1"/>
    <w:rsid w:val="0004166F"/>
    <w:rsid w:val="00042221"/>
    <w:rsid w:val="00042E95"/>
    <w:rsid w:val="00045C60"/>
    <w:rsid w:val="00045FF7"/>
    <w:rsid w:val="00055256"/>
    <w:rsid w:val="00055E1D"/>
    <w:rsid w:val="00060AA2"/>
    <w:rsid w:val="0006286C"/>
    <w:rsid w:val="00063E11"/>
    <w:rsid w:val="00065143"/>
    <w:rsid w:val="00067077"/>
    <w:rsid w:val="00067E29"/>
    <w:rsid w:val="0007676B"/>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C785B"/>
    <w:rsid w:val="000D7C5B"/>
    <w:rsid w:val="000E4739"/>
    <w:rsid w:val="000F16C0"/>
    <w:rsid w:val="000F18A0"/>
    <w:rsid w:val="000F4555"/>
    <w:rsid w:val="000F4EBB"/>
    <w:rsid w:val="000F7F68"/>
    <w:rsid w:val="0010450A"/>
    <w:rsid w:val="00105DB2"/>
    <w:rsid w:val="001075D6"/>
    <w:rsid w:val="00111396"/>
    <w:rsid w:val="00112F70"/>
    <w:rsid w:val="00113191"/>
    <w:rsid w:val="0011395B"/>
    <w:rsid w:val="00115A7D"/>
    <w:rsid w:val="00116696"/>
    <w:rsid w:val="00117923"/>
    <w:rsid w:val="00123583"/>
    <w:rsid w:val="001249B1"/>
    <w:rsid w:val="00124ADF"/>
    <w:rsid w:val="001256B2"/>
    <w:rsid w:val="00125A39"/>
    <w:rsid w:val="00136F50"/>
    <w:rsid w:val="00145951"/>
    <w:rsid w:val="00145FB3"/>
    <w:rsid w:val="00150F88"/>
    <w:rsid w:val="00151C5F"/>
    <w:rsid w:val="00153821"/>
    <w:rsid w:val="00153A6A"/>
    <w:rsid w:val="0015605F"/>
    <w:rsid w:val="00156B9B"/>
    <w:rsid w:val="00166F3C"/>
    <w:rsid w:val="001676C5"/>
    <w:rsid w:val="001719A6"/>
    <w:rsid w:val="00172A27"/>
    <w:rsid w:val="001739F3"/>
    <w:rsid w:val="00174864"/>
    <w:rsid w:val="00176250"/>
    <w:rsid w:val="001767D5"/>
    <w:rsid w:val="00180944"/>
    <w:rsid w:val="00181F8E"/>
    <w:rsid w:val="00183919"/>
    <w:rsid w:val="00184F16"/>
    <w:rsid w:val="001913D5"/>
    <w:rsid w:val="0019368D"/>
    <w:rsid w:val="001A0DEE"/>
    <w:rsid w:val="001A331C"/>
    <w:rsid w:val="001A3B4F"/>
    <w:rsid w:val="001B3D1B"/>
    <w:rsid w:val="001C2E83"/>
    <w:rsid w:val="001C5549"/>
    <w:rsid w:val="001C5FB8"/>
    <w:rsid w:val="001C627B"/>
    <w:rsid w:val="001C6A43"/>
    <w:rsid w:val="001D33CF"/>
    <w:rsid w:val="001D5339"/>
    <w:rsid w:val="001D5DA7"/>
    <w:rsid w:val="001D6D21"/>
    <w:rsid w:val="001E09D0"/>
    <w:rsid w:val="001E0B5B"/>
    <w:rsid w:val="001E22BC"/>
    <w:rsid w:val="001E4956"/>
    <w:rsid w:val="001E604C"/>
    <w:rsid w:val="001E7309"/>
    <w:rsid w:val="001F0442"/>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373D3"/>
    <w:rsid w:val="00240294"/>
    <w:rsid w:val="00241D65"/>
    <w:rsid w:val="00244658"/>
    <w:rsid w:val="00246158"/>
    <w:rsid w:val="002464CF"/>
    <w:rsid w:val="00246E81"/>
    <w:rsid w:val="002476E6"/>
    <w:rsid w:val="00252015"/>
    <w:rsid w:val="00252AD2"/>
    <w:rsid w:val="00253D3F"/>
    <w:rsid w:val="002544CB"/>
    <w:rsid w:val="00256159"/>
    <w:rsid w:val="00257D80"/>
    <w:rsid w:val="002632C7"/>
    <w:rsid w:val="00263D71"/>
    <w:rsid w:val="00267780"/>
    <w:rsid w:val="002719C4"/>
    <w:rsid w:val="00276547"/>
    <w:rsid w:val="002819AA"/>
    <w:rsid w:val="00284C82"/>
    <w:rsid w:val="00287678"/>
    <w:rsid w:val="00287D6F"/>
    <w:rsid w:val="00294417"/>
    <w:rsid w:val="0029567E"/>
    <w:rsid w:val="002A31A8"/>
    <w:rsid w:val="002A571E"/>
    <w:rsid w:val="002A599B"/>
    <w:rsid w:val="002A72B3"/>
    <w:rsid w:val="002B2076"/>
    <w:rsid w:val="002B2E59"/>
    <w:rsid w:val="002B30E7"/>
    <w:rsid w:val="002B3DF5"/>
    <w:rsid w:val="002B659B"/>
    <w:rsid w:val="002B661B"/>
    <w:rsid w:val="002B66DC"/>
    <w:rsid w:val="002C13C1"/>
    <w:rsid w:val="002C27E7"/>
    <w:rsid w:val="002C3012"/>
    <w:rsid w:val="002C7D8E"/>
    <w:rsid w:val="002D121A"/>
    <w:rsid w:val="002D407E"/>
    <w:rsid w:val="002E0E0E"/>
    <w:rsid w:val="002E2C93"/>
    <w:rsid w:val="002E388A"/>
    <w:rsid w:val="002E4681"/>
    <w:rsid w:val="002E6E2C"/>
    <w:rsid w:val="002F1BB8"/>
    <w:rsid w:val="002F1C19"/>
    <w:rsid w:val="002F228E"/>
    <w:rsid w:val="002F3164"/>
    <w:rsid w:val="002F354F"/>
    <w:rsid w:val="002F467D"/>
    <w:rsid w:val="002F5D80"/>
    <w:rsid w:val="002F6D00"/>
    <w:rsid w:val="002F7889"/>
    <w:rsid w:val="003018A8"/>
    <w:rsid w:val="003052A7"/>
    <w:rsid w:val="00306441"/>
    <w:rsid w:val="003161C7"/>
    <w:rsid w:val="00317875"/>
    <w:rsid w:val="003178C0"/>
    <w:rsid w:val="003227BA"/>
    <w:rsid w:val="003255D5"/>
    <w:rsid w:val="003307C6"/>
    <w:rsid w:val="00330ABB"/>
    <w:rsid w:val="003311F2"/>
    <w:rsid w:val="00331829"/>
    <w:rsid w:val="0033253B"/>
    <w:rsid w:val="00332928"/>
    <w:rsid w:val="003331E2"/>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6B22"/>
    <w:rsid w:val="003873DE"/>
    <w:rsid w:val="0039164E"/>
    <w:rsid w:val="00391C13"/>
    <w:rsid w:val="00392071"/>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1B14"/>
    <w:rsid w:val="004132EA"/>
    <w:rsid w:val="004134A1"/>
    <w:rsid w:val="00414562"/>
    <w:rsid w:val="0042301D"/>
    <w:rsid w:val="00423612"/>
    <w:rsid w:val="00424866"/>
    <w:rsid w:val="00426FD8"/>
    <w:rsid w:val="00431E1F"/>
    <w:rsid w:val="00433900"/>
    <w:rsid w:val="00435E5C"/>
    <w:rsid w:val="00436CF2"/>
    <w:rsid w:val="00437361"/>
    <w:rsid w:val="00444664"/>
    <w:rsid w:val="00444AD5"/>
    <w:rsid w:val="00445CFA"/>
    <w:rsid w:val="00446E41"/>
    <w:rsid w:val="00446FBB"/>
    <w:rsid w:val="0045304A"/>
    <w:rsid w:val="004530E2"/>
    <w:rsid w:val="0045487E"/>
    <w:rsid w:val="0045508F"/>
    <w:rsid w:val="00460B00"/>
    <w:rsid w:val="00467615"/>
    <w:rsid w:val="004727C4"/>
    <w:rsid w:val="00477E43"/>
    <w:rsid w:val="00481A9B"/>
    <w:rsid w:val="00483EB5"/>
    <w:rsid w:val="004875C3"/>
    <w:rsid w:val="004918BC"/>
    <w:rsid w:val="00493B96"/>
    <w:rsid w:val="004946EF"/>
    <w:rsid w:val="004973D1"/>
    <w:rsid w:val="004A23D9"/>
    <w:rsid w:val="004A3FA4"/>
    <w:rsid w:val="004A5131"/>
    <w:rsid w:val="004A7454"/>
    <w:rsid w:val="004B03B2"/>
    <w:rsid w:val="004B3210"/>
    <w:rsid w:val="004B3302"/>
    <w:rsid w:val="004B3AF7"/>
    <w:rsid w:val="004B6C04"/>
    <w:rsid w:val="004C1C32"/>
    <w:rsid w:val="004C23FF"/>
    <w:rsid w:val="004C2E33"/>
    <w:rsid w:val="004C39B2"/>
    <w:rsid w:val="004C3F33"/>
    <w:rsid w:val="004C5C67"/>
    <w:rsid w:val="004D117B"/>
    <w:rsid w:val="004E08AE"/>
    <w:rsid w:val="004E3E74"/>
    <w:rsid w:val="004E4588"/>
    <w:rsid w:val="004E61D4"/>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82A"/>
    <w:rsid w:val="0056024C"/>
    <w:rsid w:val="005602FE"/>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5F3525"/>
    <w:rsid w:val="006001EC"/>
    <w:rsid w:val="00605764"/>
    <w:rsid w:val="00605F23"/>
    <w:rsid w:val="00607C62"/>
    <w:rsid w:val="00613250"/>
    <w:rsid w:val="006206A4"/>
    <w:rsid w:val="0062210C"/>
    <w:rsid w:val="00623E9F"/>
    <w:rsid w:val="006250B0"/>
    <w:rsid w:val="00625409"/>
    <w:rsid w:val="00630E80"/>
    <w:rsid w:val="006335F7"/>
    <w:rsid w:val="00640E2B"/>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2B7"/>
    <w:rsid w:val="006B7502"/>
    <w:rsid w:val="006C1201"/>
    <w:rsid w:val="006C14BB"/>
    <w:rsid w:val="006C7443"/>
    <w:rsid w:val="006D1109"/>
    <w:rsid w:val="006D4A61"/>
    <w:rsid w:val="006D6CDD"/>
    <w:rsid w:val="006D7EB4"/>
    <w:rsid w:val="006E07CD"/>
    <w:rsid w:val="006E4978"/>
    <w:rsid w:val="006F08E6"/>
    <w:rsid w:val="006F0FA1"/>
    <w:rsid w:val="006F1407"/>
    <w:rsid w:val="006F159D"/>
    <w:rsid w:val="006F3061"/>
    <w:rsid w:val="006F35E0"/>
    <w:rsid w:val="006F4C91"/>
    <w:rsid w:val="006F6966"/>
    <w:rsid w:val="006F6C9E"/>
    <w:rsid w:val="007003CA"/>
    <w:rsid w:val="00705A9A"/>
    <w:rsid w:val="00705AB8"/>
    <w:rsid w:val="00716497"/>
    <w:rsid w:val="00720B3A"/>
    <w:rsid w:val="007216E0"/>
    <w:rsid w:val="007219F7"/>
    <w:rsid w:val="00726D7A"/>
    <w:rsid w:val="00731391"/>
    <w:rsid w:val="00731CC4"/>
    <w:rsid w:val="0073299F"/>
    <w:rsid w:val="00734BC4"/>
    <w:rsid w:val="007369E8"/>
    <w:rsid w:val="00737544"/>
    <w:rsid w:val="00737E91"/>
    <w:rsid w:val="00741156"/>
    <w:rsid w:val="0074401B"/>
    <w:rsid w:val="00744F5D"/>
    <w:rsid w:val="007512CC"/>
    <w:rsid w:val="007567D7"/>
    <w:rsid w:val="00757C87"/>
    <w:rsid w:val="0076256C"/>
    <w:rsid w:val="00764FE5"/>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E0F86"/>
    <w:rsid w:val="007E1220"/>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1572"/>
    <w:rsid w:val="00833DA0"/>
    <w:rsid w:val="00837439"/>
    <w:rsid w:val="0084117B"/>
    <w:rsid w:val="00842ECC"/>
    <w:rsid w:val="00844C52"/>
    <w:rsid w:val="00844FAC"/>
    <w:rsid w:val="00847D06"/>
    <w:rsid w:val="008526AD"/>
    <w:rsid w:val="00852A74"/>
    <w:rsid w:val="00853C9B"/>
    <w:rsid w:val="0085467A"/>
    <w:rsid w:val="00855E29"/>
    <w:rsid w:val="00856912"/>
    <w:rsid w:val="00862721"/>
    <w:rsid w:val="00863B57"/>
    <w:rsid w:val="00870710"/>
    <w:rsid w:val="00871266"/>
    <w:rsid w:val="00871450"/>
    <w:rsid w:val="008739A5"/>
    <w:rsid w:val="00895DC9"/>
    <w:rsid w:val="008A3830"/>
    <w:rsid w:val="008A5426"/>
    <w:rsid w:val="008A6706"/>
    <w:rsid w:val="008B0B17"/>
    <w:rsid w:val="008B1FC9"/>
    <w:rsid w:val="008B20D2"/>
    <w:rsid w:val="008B3D15"/>
    <w:rsid w:val="008B4562"/>
    <w:rsid w:val="008B5D1E"/>
    <w:rsid w:val="008B60CD"/>
    <w:rsid w:val="008B64A4"/>
    <w:rsid w:val="008C1F51"/>
    <w:rsid w:val="008C41BB"/>
    <w:rsid w:val="008C4E5E"/>
    <w:rsid w:val="008C77FD"/>
    <w:rsid w:val="008D0202"/>
    <w:rsid w:val="008D0B1A"/>
    <w:rsid w:val="008D1177"/>
    <w:rsid w:val="008D43FD"/>
    <w:rsid w:val="008E5137"/>
    <w:rsid w:val="008E5682"/>
    <w:rsid w:val="008E67DB"/>
    <w:rsid w:val="008E6FBA"/>
    <w:rsid w:val="008F0E09"/>
    <w:rsid w:val="008F14E7"/>
    <w:rsid w:val="008F24C8"/>
    <w:rsid w:val="008F2BE2"/>
    <w:rsid w:val="00905340"/>
    <w:rsid w:val="0090798A"/>
    <w:rsid w:val="00907AEC"/>
    <w:rsid w:val="00911B78"/>
    <w:rsid w:val="009122AA"/>
    <w:rsid w:val="00914791"/>
    <w:rsid w:val="0091725B"/>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1161"/>
    <w:rsid w:val="0097370D"/>
    <w:rsid w:val="009768D0"/>
    <w:rsid w:val="0097776B"/>
    <w:rsid w:val="00977B2B"/>
    <w:rsid w:val="00977C61"/>
    <w:rsid w:val="00983820"/>
    <w:rsid w:val="00983DF9"/>
    <w:rsid w:val="00987518"/>
    <w:rsid w:val="009917A6"/>
    <w:rsid w:val="00993714"/>
    <w:rsid w:val="009969BB"/>
    <w:rsid w:val="009A14A5"/>
    <w:rsid w:val="009A42BC"/>
    <w:rsid w:val="009B0C9E"/>
    <w:rsid w:val="009B1C9C"/>
    <w:rsid w:val="009B2C85"/>
    <w:rsid w:val="009B5BC2"/>
    <w:rsid w:val="009C2069"/>
    <w:rsid w:val="009C521A"/>
    <w:rsid w:val="009C6F8E"/>
    <w:rsid w:val="009D63B0"/>
    <w:rsid w:val="009D7AA0"/>
    <w:rsid w:val="009E371D"/>
    <w:rsid w:val="009E4C02"/>
    <w:rsid w:val="009E5E1C"/>
    <w:rsid w:val="009E6DAE"/>
    <w:rsid w:val="009F1537"/>
    <w:rsid w:val="009F29D8"/>
    <w:rsid w:val="009F4C90"/>
    <w:rsid w:val="009F759C"/>
    <w:rsid w:val="009F7CF8"/>
    <w:rsid w:val="00A11CB0"/>
    <w:rsid w:val="00A125BC"/>
    <w:rsid w:val="00A17171"/>
    <w:rsid w:val="00A205B4"/>
    <w:rsid w:val="00A20F62"/>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D98"/>
    <w:rsid w:val="00A9773F"/>
    <w:rsid w:val="00A97F9F"/>
    <w:rsid w:val="00AA0BFE"/>
    <w:rsid w:val="00AA2082"/>
    <w:rsid w:val="00AB009C"/>
    <w:rsid w:val="00AB633E"/>
    <w:rsid w:val="00AB7231"/>
    <w:rsid w:val="00AB7FE4"/>
    <w:rsid w:val="00AC18A8"/>
    <w:rsid w:val="00AC3CEC"/>
    <w:rsid w:val="00AC4A57"/>
    <w:rsid w:val="00AD4F90"/>
    <w:rsid w:val="00AD57C7"/>
    <w:rsid w:val="00AD74DA"/>
    <w:rsid w:val="00AD7F32"/>
    <w:rsid w:val="00AE3332"/>
    <w:rsid w:val="00AE4780"/>
    <w:rsid w:val="00AE4AC1"/>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431B"/>
    <w:rsid w:val="00B3762A"/>
    <w:rsid w:val="00B4101D"/>
    <w:rsid w:val="00B41509"/>
    <w:rsid w:val="00B43375"/>
    <w:rsid w:val="00B52FAD"/>
    <w:rsid w:val="00B56276"/>
    <w:rsid w:val="00B606E5"/>
    <w:rsid w:val="00B606E6"/>
    <w:rsid w:val="00B61A35"/>
    <w:rsid w:val="00B66F01"/>
    <w:rsid w:val="00B70428"/>
    <w:rsid w:val="00B70DB8"/>
    <w:rsid w:val="00B72632"/>
    <w:rsid w:val="00B73C10"/>
    <w:rsid w:val="00B74A78"/>
    <w:rsid w:val="00B74F12"/>
    <w:rsid w:val="00B75AC5"/>
    <w:rsid w:val="00B76971"/>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E98"/>
    <w:rsid w:val="00BC4611"/>
    <w:rsid w:val="00BC68AA"/>
    <w:rsid w:val="00BD020C"/>
    <w:rsid w:val="00BD0D17"/>
    <w:rsid w:val="00BD4663"/>
    <w:rsid w:val="00BD6425"/>
    <w:rsid w:val="00BE4092"/>
    <w:rsid w:val="00BF0849"/>
    <w:rsid w:val="00BF33D6"/>
    <w:rsid w:val="00BF3E98"/>
    <w:rsid w:val="00C00374"/>
    <w:rsid w:val="00C02553"/>
    <w:rsid w:val="00C02E9B"/>
    <w:rsid w:val="00C041E1"/>
    <w:rsid w:val="00C07640"/>
    <w:rsid w:val="00C07F32"/>
    <w:rsid w:val="00C10A0B"/>
    <w:rsid w:val="00C11510"/>
    <w:rsid w:val="00C12A4D"/>
    <w:rsid w:val="00C133AC"/>
    <w:rsid w:val="00C149B9"/>
    <w:rsid w:val="00C16ED4"/>
    <w:rsid w:val="00C17007"/>
    <w:rsid w:val="00C226AB"/>
    <w:rsid w:val="00C266C0"/>
    <w:rsid w:val="00C27CD2"/>
    <w:rsid w:val="00C320BC"/>
    <w:rsid w:val="00C32A5C"/>
    <w:rsid w:val="00C348DE"/>
    <w:rsid w:val="00C349B7"/>
    <w:rsid w:val="00C3641F"/>
    <w:rsid w:val="00C40580"/>
    <w:rsid w:val="00C4092B"/>
    <w:rsid w:val="00C4198D"/>
    <w:rsid w:val="00C41A12"/>
    <w:rsid w:val="00C41D76"/>
    <w:rsid w:val="00C46269"/>
    <w:rsid w:val="00C5061E"/>
    <w:rsid w:val="00C527BF"/>
    <w:rsid w:val="00C550E2"/>
    <w:rsid w:val="00C561B4"/>
    <w:rsid w:val="00C569F3"/>
    <w:rsid w:val="00C57F3A"/>
    <w:rsid w:val="00C6524D"/>
    <w:rsid w:val="00C6577D"/>
    <w:rsid w:val="00C66942"/>
    <w:rsid w:val="00C80014"/>
    <w:rsid w:val="00C90BFF"/>
    <w:rsid w:val="00C9379A"/>
    <w:rsid w:val="00C95DF3"/>
    <w:rsid w:val="00C97D8A"/>
    <w:rsid w:val="00C97F28"/>
    <w:rsid w:val="00CA42AB"/>
    <w:rsid w:val="00CA504C"/>
    <w:rsid w:val="00CA767B"/>
    <w:rsid w:val="00CB118D"/>
    <w:rsid w:val="00CB24A2"/>
    <w:rsid w:val="00CC153D"/>
    <w:rsid w:val="00CC5DA1"/>
    <w:rsid w:val="00CD1A38"/>
    <w:rsid w:val="00CD1ED6"/>
    <w:rsid w:val="00CD4530"/>
    <w:rsid w:val="00CE04EA"/>
    <w:rsid w:val="00CE21A3"/>
    <w:rsid w:val="00CE3D7D"/>
    <w:rsid w:val="00CE5271"/>
    <w:rsid w:val="00CF07E7"/>
    <w:rsid w:val="00CF20EC"/>
    <w:rsid w:val="00D044FA"/>
    <w:rsid w:val="00D06A40"/>
    <w:rsid w:val="00D07F3D"/>
    <w:rsid w:val="00D11889"/>
    <w:rsid w:val="00D143FA"/>
    <w:rsid w:val="00D14989"/>
    <w:rsid w:val="00D1696F"/>
    <w:rsid w:val="00D200E4"/>
    <w:rsid w:val="00D246C7"/>
    <w:rsid w:val="00D330E4"/>
    <w:rsid w:val="00D354C6"/>
    <w:rsid w:val="00D4074A"/>
    <w:rsid w:val="00D4395E"/>
    <w:rsid w:val="00D44376"/>
    <w:rsid w:val="00D4445B"/>
    <w:rsid w:val="00D501A2"/>
    <w:rsid w:val="00D50C49"/>
    <w:rsid w:val="00D51521"/>
    <w:rsid w:val="00D515DA"/>
    <w:rsid w:val="00D57FB6"/>
    <w:rsid w:val="00D62BAC"/>
    <w:rsid w:val="00D66F78"/>
    <w:rsid w:val="00D705DA"/>
    <w:rsid w:val="00D77ADC"/>
    <w:rsid w:val="00D77F0D"/>
    <w:rsid w:val="00D81FE7"/>
    <w:rsid w:val="00D82893"/>
    <w:rsid w:val="00D8308D"/>
    <w:rsid w:val="00D833EB"/>
    <w:rsid w:val="00D837CC"/>
    <w:rsid w:val="00D92526"/>
    <w:rsid w:val="00D9748A"/>
    <w:rsid w:val="00DA43E0"/>
    <w:rsid w:val="00DA5A27"/>
    <w:rsid w:val="00DA6E0E"/>
    <w:rsid w:val="00DA78A9"/>
    <w:rsid w:val="00DA7A2B"/>
    <w:rsid w:val="00DB201C"/>
    <w:rsid w:val="00DB2DB0"/>
    <w:rsid w:val="00DB3857"/>
    <w:rsid w:val="00DB44A2"/>
    <w:rsid w:val="00DC0F23"/>
    <w:rsid w:val="00DC18EE"/>
    <w:rsid w:val="00DC2771"/>
    <w:rsid w:val="00DC295F"/>
    <w:rsid w:val="00DC3C57"/>
    <w:rsid w:val="00DC40E4"/>
    <w:rsid w:val="00DC7C02"/>
    <w:rsid w:val="00DD2FE5"/>
    <w:rsid w:val="00DD6FE7"/>
    <w:rsid w:val="00DF3437"/>
    <w:rsid w:val="00DF3F05"/>
    <w:rsid w:val="00DF6B27"/>
    <w:rsid w:val="00DF749F"/>
    <w:rsid w:val="00DF7FC5"/>
    <w:rsid w:val="00E03447"/>
    <w:rsid w:val="00E03ECE"/>
    <w:rsid w:val="00E0477B"/>
    <w:rsid w:val="00E072D2"/>
    <w:rsid w:val="00E12287"/>
    <w:rsid w:val="00E1770C"/>
    <w:rsid w:val="00E22677"/>
    <w:rsid w:val="00E23CB4"/>
    <w:rsid w:val="00E23CE7"/>
    <w:rsid w:val="00E3045C"/>
    <w:rsid w:val="00E30CD1"/>
    <w:rsid w:val="00E323CD"/>
    <w:rsid w:val="00E34CBA"/>
    <w:rsid w:val="00E35DA5"/>
    <w:rsid w:val="00E36F2B"/>
    <w:rsid w:val="00E37E1A"/>
    <w:rsid w:val="00E4276E"/>
    <w:rsid w:val="00E44D44"/>
    <w:rsid w:val="00E44FFE"/>
    <w:rsid w:val="00E50662"/>
    <w:rsid w:val="00E51C4F"/>
    <w:rsid w:val="00E57E75"/>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5C7"/>
    <w:rsid w:val="00ED2BA5"/>
    <w:rsid w:val="00ED3882"/>
    <w:rsid w:val="00ED3E6B"/>
    <w:rsid w:val="00ED5759"/>
    <w:rsid w:val="00EE183A"/>
    <w:rsid w:val="00EE263C"/>
    <w:rsid w:val="00EE3D96"/>
    <w:rsid w:val="00EE7357"/>
    <w:rsid w:val="00EF191E"/>
    <w:rsid w:val="00EF4162"/>
    <w:rsid w:val="00EF6103"/>
    <w:rsid w:val="00EF78C4"/>
    <w:rsid w:val="00F00C67"/>
    <w:rsid w:val="00F0469D"/>
    <w:rsid w:val="00F046EC"/>
    <w:rsid w:val="00F0558F"/>
    <w:rsid w:val="00F05739"/>
    <w:rsid w:val="00F0768A"/>
    <w:rsid w:val="00F07962"/>
    <w:rsid w:val="00F104F1"/>
    <w:rsid w:val="00F12096"/>
    <w:rsid w:val="00F12A59"/>
    <w:rsid w:val="00F12E33"/>
    <w:rsid w:val="00F1386E"/>
    <w:rsid w:val="00F14579"/>
    <w:rsid w:val="00F16B95"/>
    <w:rsid w:val="00F16D1C"/>
    <w:rsid w:val="00F2211E"/>
    <w:rsid w:val="00F23DF7"/>
    <w:rsid w:val="00F243AF"/>
    <w:rsid w:val="00F33834"/>
    <w:rsid w:val="00F34661"/>
    <w:rsid w:val="00F3550C"/>
    <w:rsid w:val="00F4075D"/>
    <w:rsid w:val="00F41743"/>
    <w:rsid w:val="00F43CC2"/>
    <w:rsid w:val="00F45279"/>
    <w:rsid w:val="00F45D4D"/>
    <w:rsid w:val="00F477AD"/>
    <w:rsid w:val="00F4787A"/>
    <w:rsid w:val="00F54677"/>
    <w:rsid w:val="00F55612"/>
    <w:rsid w:val="00F56998"/>
    <w:rsid w:val="00F611C6"/>
    <w:rsid w:val="00F640CB"/>
    <w:rsid w:val="00F652FF"/>
    <w:rsid w:val="00F6638A"/>
    <w:rsid w:val="00F6673D"/>
    <w:rsid w:val="00F6765C"/>
    <w:rsid w:val="00F7607C"/>
    <w:rsid w:val="00F845DD"/>
    <w:rsid w:val="00F84ACA"/>
    <w:rsid w:val="00F865A9"/>
    <w:rsid w:val="00F8733E"/>
    <w:rsid w:val="00F913B7"/>
    <w:rsid w:val="00F91EA4"/>
    <w:rsid w:val="00F92464"/>
    <w:rsid w:val="00FA07AA"/>
    <w:rsid w:val="00FA10AA"/>
    <w:rsid w:val="00FA2F7C"/>
    <w:rsid w:val="00FA3BF1"/>
    <w:rsid w:val="00FB0D3D"/>
    <w:rsid w:val="00FB166A"/>
    <w:rsid w:val="00FB7721"/>
    <w:rsid w:val="00FC5827"/>
    <w:rsid w:val="00FC64D6"/>
    <w:rsid w:val="00FC6768"/>
    <w:rsid w:val="00FD08DF"/>
    <w:rsid w:val="00FD4E32"/>
    <w:rsid w:val="00FD771E"/>
    <w:rsid w:val="00FD7F16"/>
    <w:rsid w:val="00FE1886"/>
    <w:rsid w:val="00FE2B6B"/>
    <w:rsid w:val="00FE441D"/>
    <w:rsid w:val="00FF0956"/>
    <w:rsid w:val="00FF46EE"/>
    <w:rsid w:val="068C1939"/>
    <w:rsid w:val="0DE20B45"/>
    <w:rsid w:val="0EC469F2"/>
    <w:rsid w:val="149E474A"/>
    <w:rsid w:val="22096B58"/>
    <w:rsid w:val="314F5290"/>
    <w:rsid w:val="35C863A1"/>
    <w:rsid w:val="373B4A20"/>
    <w:rsid w:val="3CA25B45"/>
    <w:rsid w:val="416B790C"/>
    <w:rsid w:val="45F574B3"/>
    <w:rsid w:val="4D352B81"/>
    <w:rsid w:val="4F9B33E8"/>
    <w:rsid w:val="648448DA"/>
    <w:rsid w:val="6AAF1C3F"/>
    <w:rsid w:val="6DD716B3"/>
    <w:rsid w:val="6E583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uiPriority w:val="1"/>
  </w:style>
  <w:style w:type="table" w:default="1" w:styleId="30">
    <w:name w:val="Normal Table"/>
    <w:semiHidden/>
    <w:unhideWhenUsed/>
    <w:uiPriority w:val="99"/>
    <w:tblPr>
      <w:tblLayout w:type="fixed"/>
      <w:tblCellMar>
        <w:top w:w="0" w:type="dxa"/>
        <w:left w:w="108" w:type="dxa"/>
        <w:bottom w:w="0" w:type="dxa"/>
        <w:right w:w="108" w:type="dxa"/>
      </w:tblCellMar>
    </w:tblPr>
  </w:style>
  <w:style w:type="paragraph" w:styleId="6">
    <w:name w:val="annotation subject"/>
    <w:basedOn w:val="7"/>
    <w:next w:val="7"/>
    <w:qFormat/>
    <w:uiPriority w:val="0"/>
    <w:rPr>
      <w:b/>
    </w:rPr>
  </w:style>
  <w:style w:type="paragraph" w:styleId="7">
    <w:name w:val="annotation text"/>
    <w:basedOn w:val="1"/>
    <w:link w:val="59"/>
    <w:qFormat/>
    <w:uiPriority w:val="99"/>
    <w:pPr>
      <w:jc w:val="left"/>
    </w:pPr>
  </w:style>
  <w:style w:type="paragraph" w:styleId="8">
    <w:name w:val="Normal Indent"/>
    <w:basedOn w:val="1"/>
    <w:qFormat/>
    <w:uiPriority w:val="0"/>
    <w:pPr>
      <w:ind w:firstLine="420" w:firstLineChars="200"/>
    </w:pPr>
  </w:style>
  <w:style w:type="paragraph" w:styleId="9">
    <w:name w:val="Document Map"/>
    <w:basedOn w:val="1"/>
    <w:qFormat/>
    <w:uiPriority w:val="0"/>
    <w:pPr>
      <w:shd w:val="clear" w:color="auto" w:fill="000080"/>
    </w:pPr>
  </w:style>
  <w:style w:type="paragraph" w:styleId="10">
    <w:name w:val="Body Text"/>
    <w:basedOn w:val="1"/>
    <w:link w:val="35"/>
    <w:qFormat/>
    <w:uiPriority w:val="0"/>
    <w:pPr>
      <w:autoSpaceDE w:val="0"/>
      <w:autoSpaceDN w:val="0"/>
      <w:adjustRightInd w:val="0"/>
      <w:spacing w:line="360" w:lineRule="auto"/>
      <w:jc w:val="left"/>
    </w:pPr>
    <w:rPr>
      <w:rFonts w:ascii="宋体"/>
      <w:kern w:val="0"/>
    </w:rPr>
  </w:style>
  <w:style w:type="paragraph" w:styleId="11">
    <w:name w:val="toc 3"/>
    <w:basedOn w:val="1"/>
    <w:next w:val="1"/>
    <w:qFormat/>
    <w:uiPriority w:val="39"/>
    <w:pPr>
      <w:ind w:left="840" w:leftChars="400"/>
    </w:pPr>
  </w:style>
  <w:style w:type="paragraph" w:styleId="12">
    <w:name w:val="Plain Text"/>
    <w:basedOn w:val="1"/>
    <w:qFormat/>
    <w:uiPriority w:val="0"/>
    <w:pPr>
      <w:adjustRightInd w:val="0"/>
      <w:spacing w:line="312" w:lineRule="atLeast"/>
      <w:textAlignment w:val="baseline"/>
    </w:pPr>
    <w:rPr>
      <w:rFonts w:ascii="宋体" w:hAnsi="Courier New"/>
      <w:kern w:val="0"/>
    </w:rPr>
  </w:style>
  <w:style w:type="paragraph" w:styleId="13">
    <w:name w:val="Body Text Indent 2"/>
    <w:basedOn w:val="1"/>
    <w:qFormat/>
    <w:uiPriority w:val="0"/>
    <w:pPr>
      <w:spacing w:line="360" w:lineRule="auto"/>
      <w:ind w:firstLine="425"/>
    </w:pPr>
    <w:rPr>
      <w:rFonts w:ascii="仿宋_GB2312" w:eastAsia="仿宋_GB2312"/>
      <w:sz w:val="28"/>
    </w:rPr>
  </w:style>
  <w:style w:type="paragraph" w:styleId="14">
    <w:name w:val="Balloon Text"/>
    <w:basedOn w:val="1"/>
    <w:qFormat/>
    <w:uiPriority w:val="0"/>
    <w:rPr>
      <w:sz w:val="18"/>
    </w:rPr>
  </w:style>
  <w:style w:type="paragraph" w:styleId="15">
    <w:name w:val="footer"/>
    <w:basedOn w:val="1"/>
    <w:link w:val="66"/>
    <w:qFormat/>
    <w:uiPriority w:val="99"/>
    <w:pPr>
      <w:tabs>
        <w:tab w:val="center" w:pos="4153"/>
        <w:tab w:val="right" w:pos="8306"/>
      </w:tabs>
      <w:snapToGrid w:val="0"/>
      <w:jc w:val="left"/>
    </w:pPr>
    <w:rPr>
      <w:sz w:val="18"/>
    </w:rPr>
  </w:style>
  <w:style w:type="paragraph" w:styleId="16">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pPr>
      <w:tabs>
        <w:tab w:val="right" w:leader="dot" w:pos="8296"/>
      </w:tabs>
      <w:spacing w:line="360" w:lineRule="auto"/>
    </w:pPr>
  </w:style>
  <w:style w:type="paragraph" w:styleId="18">
    <w:name w:val="footnote text"/>
    <w:basedOn w:val="1"/>
    <w:qFormat/>
    <w:uiPriority w:val="0"/>
    <w:pPr>
      <w:snapToGrid w:val="0"/>
      <w:jc w:val="left"/>
    </w:pPr>
    <w:rPr>
      <w:sz w:val="18"/>
    </w:rPr>
  </w:style>
  <w:style w:type="paragraph" w:styleId="19">
    <w:name w:val="Body Text Indent 3"/>
    <w:basedOn w:val="1"/>
    <w:qFormat/>
    <w:uiPriority w:val="0"/>
    <w:pPr>
      <w:autoSpaceDE w:val="0"/>
      <w:autoSpaceDN w:val="0"/>
      <w:adjustRightInd w:val="0"/>
      <w:spacing w:line="360" w:lineRule="auto"/>
      <w:ind w:left="420" w:firstLine="435"/>
    </w:pPr>
    <w:rPr>
      <w:color w:val="0000FF"/>
    </w:rPr>
  </w:style>
  <w:style w:type="paragraph" w:styleId="20">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1">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2">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3">
    <w:name w:val="Title"/>
    <w:basedOn w:val="1"/>
    <w:next w:val="1"/>
    <w:link w:val="34"/>
    <w:qFormat/>
    <w:uiPriority w:val="0"/>
    <w:pPr>
      <w:spacing w:before="240" w:after="60"/>
      <w:jc w:val="center"/>
      <w:outlineLvl w:val="0"/>
    </w:pPr>
    <w:rPr>
      <w:rFonts w:ascii="Cambria" w:hAnsi="Cambria"/>
      <w:b/>
      <w:sz w:val="32"/>
    </w:rPr>
  </w:style>
  <w:style w:type="character" w:styleId="25">
    <w:name w:val="Strong"/>
    <w:qFormat/>
    <w:uiPriority w:val="22"/>
    <w:rPr>
      <w:b/>
      <w:bCs/>
    </w:rPr>
  </w:style>
  <w:style w:type="character" w:styleId="26">
    <w:name w:val="page number"/>
    <w:basedOn w:val="24"/>
    <w:qFormat/>
    <w:uiPriority w:val="0"/>
  </w:style>
  <w:style w:type="character" w:styleId="27">
    <w:name w:val="Hyperlink"/>
    <w:qFormat/>
    <w:uiPriority w:val="99"/>
    <w:rPr>
      <w:color w:val="0000FF"/>
      <w:u w:val="single"/>
    </w:rPr>
  </w:style>
  <w:style w:type="character" w:styleId="28">
    <w:name w:val="annotation reference"/>
    <w:qFormat/>
    <w:uiPriority w:val="99"/>
    <w:rPr>
      <w:sz w:val="21"/>
    </w:rPr>
  </w:style>
  <w:style w:type="character" w:styleId="29">
    <w:name w:val="footnote reference"/>
    <w:qFormat/>
    <w:uiPriority w:val="0"/>
    <w:rPr>
      <w:vertAlign w:val="superscript"/>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unnamed11"/>
    <w:qFormat/>
    <w:uiPriority w:val="0"/>
    <w:rPr>
      <w:rFonts w:hint="eastAsia" w:ascii="宋体" w:hAnsi="宋体" w:eastAsia="宋体"/>
      <w:sz w:val="18"/>
    </w:rPr>
  </w:style>
  <w:style w:type="character" w:customStyle="1" w:styleId="33">
    <w:name w:val="read"/>
    <w:basedOn w:val="24"/>
    <w:qFormat/>
    <w:uiPriority w:val="0"/>
  </w:style>
  <w:style w:type="character" w:customStyle="1" w:styleId="34">
    <w:name w:val="标题 Char"/>
    <w:link w:val="23"/>
    <w:qFormat/>
    <w:uiPriority w:val="0"/>
    <w:rPr>
      <w:rFonts w:ascii="Cambria" w:hAnsi="Cambria"/>
      <w:b/>
      <w:kern w:val="2"/>
      <w:sz w:val="32"/>
    </w:rPr>
  </w:style>
  <w:style w:type="character" w:customStyle="1" w:styleId="35">
    <w:name w:val="正文文本 Char"/>
    <w:link w:val="10"/>
    <w:qFormat/>
    <w:uiPriority w:val="0"/>
    <w:rPr>
      <w:rFonts w:ascii="宋体"/>
      <w:kern w:val="0"/>
    </w:rPr>
  </w:style>
  <w:style w:type="character" w:customStyle="1" w:styleId="36">
    <w:name w:val="页眉 Char"/>
    <w:link w:val="16"/>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10"/>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4"/>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4"/>
    <w:link w:val="7"/>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4"/>
    <w:link w:val="4"/>
    <w:qFormat/>
    <w:uiPriority w:val="0"/>
    <w:rPr>
      <w:b/>
      <w:kern w:val="2"/>
      <w:sz w:val="32"/>
    </w:rPr>
  </w:style>
  <w:style w:type="character" w:customStyle="1" w:styleId="65">
    <w:name w:val="HTML 预设格式 Char"/>
    <w:basedOn w:val="24"/>
    <w:link w:val="21"/>
    <w:qFormat/>
    <w:uiPriority w:val="99"/>
    <w:rPr>
      <w:rFonts w:ascii="宋体" w:hAnsi="宋体" w:cs="宋体"/>
      <w:sz w:val="24"/>
      <w:szCs w:val="24"/>
    </w:rPr>
  </w:style>
  <w:style w:type="character" w:customStyle="1" w:styleId="66">
    <w:name w:val="页脚 Char"/>
    <w:basedOn w:val="24"/>
    <w:link w:val="15"/>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5" w:themeColor="accent1" w:themeShade="BF"/>
      <w:sz w:val="32"/>
      <w:szCs w:val="32"/>
    </w:rPr>
  </w:style>
  <w:style w:type="paragraph" w:customStyle="1" w:styleId="68">
    <w:name w:val="修订2"/>
    <w:hidden/>
    <w:semiHidden/>
    <w:qFormat/>
    <w:uiPriority w:val="99"/>
    <w:rPr>
      <w:rFonts w:ascii="Times New Roman" w:hAnsi="Times New Roman" w:eastAsia="宋体" w:cs="Times New Roman"/>
      <w:kern w:val="2"/>
      <w:sz w:val="21"/>
      <w:lang w:val="en-US" w:eastAsia="zh-CN" w:bidi="ar-SA"/>
    </w:rPr>
  </w:style>
  <w:style w:type="paragraph" w:customStyle="1" w:styleId="69">
    <w:name w:val="修订3"/>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A1DD71-0872-4528-B791-3FC40F793C6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1511</Words>
  <Characters>8616</Characters>
  <Lines>71</Lines>
  <Paragraphs>20</Paragraphs>
  <TotalTime>0</TotalTime>
  <ScaleCrop>false</ScaleCrop>
  <LinksUpToDate>false</LinksUpToDate>
  <CharactersWithSpaces>10107</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2021-03-29T01:33:00Z</dcterms:created>
  <dc:creator>Mandy.Z</dc:creator>
  <cp:lastModifiedBy>罗钦</cp:lastModifiedBy>
  <cp:lastPrinted>2017-10-31T06:33:00Z</cp:lastPrinted>
  <dcterms:modified xsi:type="dcterms:W3CDTF">2022-06-10T05:51:40Z</dcterms:modified>
  <dc:title>___证券投资基金招募说明书1</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C166FDD168F74BAFB715BD6389AD620E</vt:lpwstr>
  </property>
</Properties>
</file>