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5"/>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5"/>
          <w:rFonts w:ascii="宋体" w:hAnsi="宋体"/>
          <w:sz w:val="32"/>
          <w:szCs w:val="32"/>
        </w:rPr>
      </w:pPr>
    </w:p>
    <w:p>
      <w:pPr>
        <w:adjustRightInd w:val="0"/>
        <w:spacing w:line="360" w:lineRule="auto"/>
        <w:jc w:val="center"/>
        <w:rPr>
          <w:rStyle w:val="25"/>
          <w:rFonts w:ascii="宋体" w:hAnsi="宋体"/>
          <w:sz w:val="32"/>
          <w:szCs w:val="32"/>
        </w:rPr>
      </w:pPr>
    </w:p>
    <w:p>
      <w:pPr>
        <w:adjustRightInd w:val="0"/>
        <w:spacing w:line="360" w:lineRule="auto"/>
        <w:jc w:val="center"/>
        <w:rPr>
          <w:rStyle w:val="25"/>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5"/>
          <w:rFonts w:ascii="宋体" w:hAnsi="宋体"/>
          <w:sz w:val="32"/>
          <w:szCs w:val="32"/>
        </w:rPr>
      </w:pPr>
    </w:p>
    <w:p>
      <w:pPr>
        <w:adjustRightInd w:val="0"/>
        <w:spacing w:line="360" w:lineRule="auto"/>
        <w:jc w:val="center"/>
        <w:rPr>
          <w:rStyle w:val="25"/>
          <w:rFonts w:ascii="黑体" w:hAnsi="黑体" w:eastAsia="黑体"/>
          <w:sz w:val="44"/>
          <w:szCs w:val="44"/>
        </w:rPr>
      </w:pPr>
      <w:r>
        <w:rPr>
          <w:rFonts w:hint="eastAsia" w:ascii="黑体" w:hAnsi="黑体" w:eastAsia="黑体"/>
          <w:b/>
          <w:sz w:val="44"/>
          <w:szCs w:val="44"/>
        </w:rPr>
        <w:t>兴银理财天天万利宝稳利净值型理财产品</w:t>
      </w:r>
      <w:r>
        <w:rPr>
          <w:rStyle w:val="25"/>
          <w:rFonts w:hint="eastAsia" w:ascii="黑体" w:hAnsi="黑体" w:eastAsia="黑体"/>
          <w:sz w:val="44"/>
          <w:szCs w:val="44"/>
        </w:rPr>
        <w:t>产品说明书</w:t>
      </w:r>
    </w:p>
    <w:p>
      <w:pPr>
        <w:adjustRightInd w:val="0"/>
        <w:spacing w:line="360" w:lineRule="auto"/>
        <w:jc w:val="center"/>
        <w:rPr>
          <w:rStyle w:val="25"/>
          <w:rFonts w:ascii="宋体" w:hAnsi="宋体"/>
          <w:sz w:val="32"/>
          <w:szCs w:val="32"/>
        </w:rPr>
      </w:pPr>
    </w:p>
    <w:p>
      <w:pPr>
        <w:adjustRightInd w:val="0"/>
        <w:spacing w:line="360" w:lineRule="auto"/>
        <w:rPr>
          <w:rStyle w:val="25"/>
          <w:rFonts w:ascii="黑体" w:hAnsi="黑体" w:eastAsia="黑体"/>
          <w:bCs w:val="0"/>
          <w:sz w:val="28"/>
          <w:szCs w:val="28"/>
        </w:rPr>
      </w:pPr>
    </w:p>
    <w:p>
      <w:pPr>
        <w:adjustRightInd w:val="0"/>
        <w:spacing w:line="360" w:lineRule="auto"/>
        <w:jc w:val="center"/>
        <w:rPr>
          <w:rStyle w:val="25"/>
          <w:rFonts w:ascii="黑体" w:hAnsi="黑体" w:eastAsia="黑体"/>
          <w:bCs w:val="0"/>
          <w:sz w:val="28"/>
          <w:szCs w:val="28"/>
        </w:rPr>
      </w:pPr>
    </w:p>
    <w:p>
      <w:pPr>
        <w:adjustRightInd w:val="0"/>
        <w:spacing w:line="360" w:lineRule="auto"/>
        <w:jc w:val="center"/>
        <w:rPr>
          <w:rStyle w:val="25"/>
          <w:rFonts w:ascii="黑体" w:hAnsi="黑体" w:eastAsia="黑体"/>
          <w:bCs w:val="0"/>
          <w:sz w:val="28"/>
          <w:szCs w:val="28"/>
        </w:rPr>
      </w:pPr>
    </w:p>
    <w:p>
      <w:pPr>
        <w:adjustRightInd w:val="0"/>
        <w:spacing w:line="360" w:lineRule="auto"/>
        <w:jc w:val="center"/>
        <w:rPr>
          <w:rStyle w:val="25"/>
          <w:rFonts w:ascii="宋体" w:hAnsi="宋体" w:cs="Times New Roman"/>
          <w:sz w:val="32"/>
          <w:szCs w:val="32"/>
        </w:rPr>
      </w:pPr>
      <w:r>
        <w:rPr>
          <w:rStyle w:val="25"/>
          <w:rFonts w:hint="eastAsia" w:ascii="宋体" w:hAnsi="宋体" w:cs="Times New Roman"/>
          <w:sz w:val="32"/>
          <w:szCs w:val="32"/>
        </w:rPr>
        <w:t>理财产品管理人：兴银理财有限责任公司</w:t>
      </w:r>
    </w:p>
    <w:p>
      <w:pPr>
        <w:adjustRightInd w:val="0"/>
        <w:spacing w:line="360" w:lineRule="auto"/>
        <w:jc w:val="center"/>
        <w:rPr>
          <w:rStyle w:val="25"/>
          <w:rFonts w:ascii="宋体" w:hAnsi="宋体"/>
          <w:sz w:val="32"/>
          <w:szCs w:val="32"/>
        </w:rPr>
      </w:pPr>
    </w:p>
    <w:p>
      <w:pPr>
        <w:adjustRightInd w:val="0"/>
        <w:spacing w:line="360" w:lineRule="auto"/>
        <w:jc w:val="center"/>
        <w:rPr>
          <w:rStyle w:val="25"/>
          <w:rFonts w:ascii="宋体" w:hAnsi="宋体"/>
          <w:sz w:val="32"/>
          <w:szCs w:val="32"/>
        </w:rPr>
      </w:pPr>
    </w:p>
    <w:p>
      <w:pPr>
        <w:adjustRightInd w:val="0"/>
        <w:spacing w:line="360" w:lineRule="auto"/>
        <w:jc w:val="center"/>
        <w:rPr>
          <w:rStyle w:val="25"/>
          <w:rFonts w:ascii="宋体" w:hAnsi="宋体" w:cs="Times New Roman"/>
          <w:sz w:val="32"/>
          <w:szCs w:val="32"/>
        </w:rPr>
      </w:pPr>
      <w:r>
        <w:rPr>
          <w:rStyle w:val="25"/>
          <w:rFonts w:hint="eastAsia" w:ascii="宋体" w:hAnsi="宋体" w:cs="Times New Roman"/>
          <w:sz w:val="32"/>
          <w:szCs w:val="32"/>
        </w:rPr>
        <w:t>日期</w:t>
      </w:r>
      <w:r>
        <w:rPr>
          <w:rStyle w:val="25"/>
          <w:rFonts w:ascii="宋体" w:hAnsi="宋体" w:cs="Times New Roman"/>
          <w:sz w:val="32"/>
          <w:szCs w:val="32"/>
        </w:rPr>
        <w:t>：</w:t>
      </w:r>
      <w:r>
        <w:rPr>
          <w:rStyle w:val="25"/>
          <w:rFonts w:hint="eastAsia" w:ascii="宋体" w:hAnsi="宋体" w:cs="Times New Roman"/>
          <w:sz w:val="32"/>
          <w:szCs w:val="32"/>
        </w:rPr>
        <w:t>【2022】年【</w:t>
      </w:r>
      <w:r>
        <w:rPr>
          <w:rStyle w:val="25"/>
          <w:rFonts w:hint="eastAsia" w:ascii="宋体" w:hAnsi="宋体" w:cs="Times New Roman"/>
          <w:sz w:val="32"/>
          <w:szCs w:val="32"/>
          <w:lang w:val="en-US" w:eastAsia="zh-CN"/>
        </w:rPr>
        <w:t>6</w:t>
      </w:r>
      <w:r>
        <w:rPr>
          <w:rStyle w:val="25"/>
          <w:rFonts w:hint="eastAsia" w:ascii="宋体" w:hAnsi="宋体" w:cs="Times New Roman"/>
          <w:sz w:val="32"/>
          <w:szCs w:val="32"/>
        </w:rPr>
        <w:t>】月</w:t>
      </w:r>
    </w:p>
    <w:p>
      <w:pPr>
        <w:adjustRightInd w:val="0"/>
        <w:spacing w:line="360" w:lineRule="auto"/>
        <w:jc w:val="center"/>
        <w:rPr>
          <w:rStyle w:val="25"/>
          <w:rFonts w:ascii="宋体" w:hAnsi="宋体"/>
          <w:sz w:val="32"/>
          <w:szCs w:val="32"/>
        </w:rPr>
      </w:pPr>
    </w:p>
    <w:p>
      <w:pPr>
        <w:pStyle w:val="34"/>
        <w:spacing w:line="360" w:lineRule="auto"/>
        <w:rPr>
          <w:rFonts w:hAnsi="宋体"/>
          <w:sz w:val="28"/>
          <w:szCs w:val="28"/>
        </w:rPr>
        <w:sectPr>
          <w:footerReference r:id="rId5" w:type="first"/>
          <w:headerReference r:id="rId3" w:type="default"/>
          <w:footerReference r:id="rId4" w:type="default"/>
          <w:pgSz w:w="11906" w:h="16838"/>
          <w:pgMar w:top="1276" w:right="1800" w:bottom="1418" w:left="1800" w:header="567" w:footer="850" w:gutter="0"/>
          <w:cols w:space="425" w:num="1"/>
          <w:titlePg/>
          <w:docGrid w:type="lines" w:linePitch="312" w:charSpace="0"/>
        </w:sectPr>
      </w:pP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7"/>
            <w:tabs>
              <w:tab w:val="right" w:leader="dot" w:pos="8306"/>
            </w:tabs>
          </w:pPr>
          <w:r>
            <w:fldChar w:fldCharType="begin"/>
          </w:r>
          <w:r>
            <w:instrText xml:space="preserve"> TOC \o "1-3" \h \z \u </w:instrText>
          </w:r>
          <w:r>
            <w:fldChar w:fldCharType="separate"/>
          </w:r>
          <w:r>
            <w:fldChar w:fldCharType="begin"/>
          </w:r>
          <w:r>
            <w:instrText xml:space="preserve"> HYPERLINK \l "_Toc9482" </w:instrText>
          </w:r>
          <w:r>
            <w:fldChar w:fldCharType="separate"/>
          </w:r>
          <w:r>
            <w:rPr>
              <w:rFonts w:ascii="Times New Roman"/>
            </w:rPr>
            <w:t>第</w:t>
          </w:r>
          <w:r>
            <w:rPr>
              <w:rFonts w:hint="eastAsia" w:ascii="Times New Roman"/>
            </w:rPr>
            <w:t xml:space="preserve">一条 </w:t>
          </w:r>
          <w:r>
            <w:rPr>
              <w:rFonts w:ascii="Times New Roman"/>
            </w:rPr>
            <w:t xml:space="preserve"> 释义</w:t>
          </w:r>
          <w:r>
            <w:tab/>
          </w:r>
          <w:r>
            <w:fldChar w:fldCharType="begin"/>
          </w:r>
          <w:r>
            <w:instrText xml:space="preserve"> PAGEREF _Toc9482 \h </w:instrText>
          </w:r>
          <w:r>
            <w:fldChar w:fldCharType="separate"/>
          </w:r>
          <w:r>
            <w:t>1</w:t>
          </w:r>
          <w:r>
            <w:fldChar w:fldCharType="end"/>
          </w:r>
          <w:r>
            <w:fldChar w:fldCharType="end"/>
          </w:r>
        </w:p>
        <w:p>
          <w:pPr>
            <w:pStyle w:val="17"/>
            <w:tabs>
              <w:tab w:val="right" w:leader="dot" w:pos="8306"/>
            </w:tabs>
          </w:pPr>
          <w:r>
            <w:fldChar w:fldCharType="begin"/>
          </w:r>
          <w:r>
            <w:instrText xml:space="preserve"> HYPERLINK \l "_Toc23998" </w:instrText>
          </w:r>
          <w:r>
            <w:fldChar w:fldCharType="separate"/>
          </w:r>
          <w:r>
            <w:rPr>
              <w:rFonts w:hint="eastAsia" w:hAnsi="宋体"/>
              <w:szCs w:val="28"/>
            </w:rPr>
            <w:t>第二条  理财产品基本情况</w:t>
          </w:r>
          <w:r>
            <w:tab/>
          </w:r>
          <w:r>
            <w:fldChar w:fldCharType="begin"/>
          </w:r>
          <w:r>
            <w:instrText xml:space="preserve"> PAGEREF _Toc23998 \h </w:instrText>
          </w:r>
          <w:r>
            <w:fldChar w:fldCharType="separate"/>
          </w:r>
          <w:r>
            <w:t>6</w:t>
          </w:r>
          <w:r>
            <w:fldChar w:fldCharType="end"/>
          </w:r>
          <w:r>
            <w:fldChar w:fldCharType="end"/>
          </w:r>
        </w:p>
        <w:p>
          <w:pPr>
            <w:pStyle w:val="17"/>
            <w:tabs>
              <w:tab w:val="right" w:leader="dot" w:pos="8306"/>
            </w:tabs>
          </w:pPr>
          <w:r>
            <w:fldChar w:fldCharType="begin"/>
          </w:r>
          <w:r>
            <w:instrText xml:space="preserve"> HYPERLINK \l "_Toc15862" </w:instrText>
          </w:r>
          <w:r>
            <w:fldChar w:fldCharType="separate"/>
          </w:r>
          <w:r>
            <w:rPr>
              <w:rFonts w:ascii="Times New Roman"/>
            </w:rPr>
            <w:t>第</w:t>
          </w:r>
          <w:r>
            <w:rPr>
              <w:rFonts w:hint="eastAsia" w:ascii="Times New Roman"/>
            </w:rPr>
            <w:t>三条</w:t>
          </w:r>
          <w:r>
            <w:rPr>
              <w:rFonts w:ascii="Times New Roman"/>
            </w:rPr>
            <w:t xml:space="preserve">  </w:t>
          </w:r>
          <w:r>
            <w:rPr>
              <w:rFonts w:hint="eastAsia" w:ascii="Times New Roman"/>
            </w:rPr>
            <w:t>理财产品的认购</w:t>
          </w:r>
          <w:r>
            <w:tab/>
          </w:r>
          <w:r>
            <w:fldChar w:fldCharType="begin"/>
          </w:r>
          <w:r>
            <w:instrText xml:space="preserve"> PAGEREF _Toc15862 \h </w:instrText>
          </w:r>
          <w:r>
            <w:fldChar w:fldCharType="separate"/>
          </w:r>
          <w:r>
            <w:t>13</w:t>
          </w:r>
          <w:r>
            <w:fldChar w:fldCharType="end"/>
          </w:r>
          <w:r>
            <w:fldChar w:fldCharType="end"/>
          </w:r>
        </w:p>
        <w:p>
          <w:pPr>
            <w:pStyle w:val="17"/>
            <w:tabs>
              <w:tab w:val="right" w:leader="dot" w:pos="8306"/>
            </w:tabs>
          </w:pPr>
          <w:r>
            <w:fldChar w:fldCharType="begin"/>
          </w:r>
          <w:r>
            <w:instrText xml:space="preserve"> HYPERLINK \l "_Toc28040" </w:instrText>
          </w:r>
          <w:r>
            <w:fldChar w:fldCharType="separate"/>
          </w:r>
          <w:r>
            <w:rPr>
              <w:rFonts w:hint="eastAsia" w:ascii="Times New Roman"/>
            </w:rPr>
            <w:t xml:space="preserve">第四条 </w:t>
          </w:r>
          <w:r>
            <w:rPr>
              <w:rFonts w:ascii="Times New Roman"/>
            </w:rPr>
            <w:t xml:space="preserve"> </w:t>
          </w:r>
          <w:r>
            <w:rPr>
              <w:rFonts w:hint="eastAsia" w:ascii="Times New Roman"/>
            </w:rPr>
            <w:t>理财产品的申购与赎回</w:t>
          </w:r>
          <w:r>
            <w:tab/>
          </w:r>
          <w:r>
            <w:fldChar w:fldCharType="begin"/>
          </w:r>
          <w:r>
            <w:instrText xml:space="preserve"> PAGEREF _Toc28040 \h </w:instrText>
          </w:r>
          <w:r>
            <w:fldChar w:fldCharType="separate"/>
          </w:r>
          <w:r>
            <w:t>15</w:t>
          </w:r>
          <w:r>
            <w:fldChar w:fldCharType="end"/>
          </w:r>
          <w:r>
            <w:fldChar w:fldCharType="end"/>
          </w:r>
        </w:p>
        <w:p>
          <w:pPr>
            <w:pStyle w:val="17"/>
            <w:tabs>
              <w:tab w:val="right" w:leader="dot" w:pos="8306"/>
            </w:tabs>
          </w:pPr>
          <w:r>
            <w:fldChar w:fldCharType="begin"/>
          </w:r>
          <w:r>
            <w:instrText xml:space="preserve"> HYPERLINK \l "_Toc24722" </w:instrText>
          </w:r>
          <w:r>
            <w:fldChar w:fldCharType="separate"/>
          </w:r>
          <w:r>
            <w:rPr>
              <w:rFonts w:ascii="Times New Roman"/>
            </w:rPr>
            <w:t>第</w:t>
          </w:r>
          <w:r>
            <w:rPr>
              <w:rFonts w:hint="eastAsia" w:ascii="Times New Roman"/>
            </w:rPr>
            <w:t>五条</w:t>
          </w:r>
          <w:r>
            <w:rPr>
              <w:rFonts w:ascii="Times New Roman"/>
            </w:rPr>
            <w:t xml:space="preserve">  </w:t>
          </w:r>
          <w:r>
            <w:rPr>
              <w:rFonts w:hint="eastAsia" w:ascii="Times New Roman"/>
            </w:rPr>
            <w:t>理财产品的投资</w:t>
          </w:r>
          <w:r>
            <w:tab/>
          </w:r>
          <w:r>
            <w:fldChar w:fldCharType="begin"/>
          </w:r>
          <w:r>
            <w:instrText xml:space="preserve"> PAGEREF _Toc24722 \h </w:instrText>
          </w:r>
          <w:r>
            <w:fldChar w:fldCharType="separate"/>
          </w:r>
          <w:r>
            <w:t>19</w:t>
          </w:r>
          <w:r>
            <w:fldChar w:fldCharType="end"/>
          </w:r>
          <w:r>
            <w:fldChar w:fldCharType="end"/>
          </w:r>
        </w:p>
        <w:p>
          <w:pPr>
            <w:pStyle w:val="17"/>
            <w:tabs>
              <w:tab w:val="right" w:leader="dot" w:pos="8306"/>
            </w:tabs>
          </w:pPr>
          <w:r>
            <w:fldChar w:fldCharType="begin"/>
          </w:r>
          <w:r>
            <w:instrText xml:space="preserve"> HYPERLINK \l "_Toc27357" </w:instrText>
          </w:r>
          <w:r>
            <w:fldChar w:fldCharType="separate"/>
          </w:r>
          <w:r>
            <w:rPr>
              <w:rFonts w:ascii="Times New Roman"/>
            </w:rPr>
            <w:t>第</w:t>
          </w:r>
          <w:r>
            <w:rPr>
              <w:rFonts w:hint="eastAsia" w:ascii="Times New Roman"/>
            </w:rPr>
            <w:t>六条</w:t>
          </w:r>
          <w:r>
            <w:rPr>
              <w:rFonts w:ascii="Times New Roman"/>
            </w:rPr>
            <w:t xml:space="preserve">  </w:t>
          </w:r>
          <w:r>
            <w:rPr>
              <w:rFonts w:hint="eastAsia" w:ascii="Times New Roman"/>
            </w:rPr>
            <w:t>理财产品的资产</w:t>
          </w:r>
          <w:r>
            <w:tab/>
          </w:r>
          <w:r>
            <w:fldChar w:fldCharType="begin"/>
          </w:r>
          <w:r>
            <w:instrText xml:space="preserve"> PAGEREF _Toc27357 \h </w:instrText>
          </w:r>
          <w:r>
            <w:fldChar w:fldCharType="separate"/>
          </w:r>
          <w:r>
            <w:t>23</w:t>
          </w:r>
          <w:r>
            <w:fldChar w:fldCharType="end"/>
          </w:r>
          <w:r>
            <w:fldChar w:fldCharType="end"/>
          </w:r>
        </w:p>
        <w:p>
          <w:pPr>
            <w:pStyle w:val="17"/>
            <w:tabs>
              <w:tab w:val="right" w:leader="dot" w:pos="8306"/>
            </w:tabs>
          </w:pPr>
          <w:r>
            <w:fldChar w:fldCharType="begin"/>
          </w:r>
          <w:r>
            <w:instrText xml:space="preserve"> HYPERLINK \l "_Toc10162" </w:instrText>
          </w:r>
          <w:r>
            <w:fldChar w:fldCharType="separate"/>
          </w:r>
          <w:r>
            <w:rPr>
              <w:rFonts w:hint="eastAsia" w:ascii="Times New Roman"/>
              <w:szCs w:val="28"/>
            </w:rPr>
            <w:t>第七条</w:t>
          </w:r>
          <w:r>
            <w:rPr>
              <w:rFonts w:ascii="Times New Roman"/>
              <w:szCs w:val="28"/>
            </w:rPr>
            <w:t xml:space="preserve">  </w:t>
          </w:r>
          <w:r>
            <w:rPr>
              <w:rFonts w:hint="eastAsia" w:ascii="Times New Roman"/>
              <w:szCs w:val="28"/>
            </w:rPr>
            <w:t>理财产品项下资产的估值</w:t>
          </w:r>
          <w:r>
            <w:tab/>
          </w:r>
          <w:r>
            <w:fldChar w:fldCharType="begin"/>
          </w:r>
          <w:r>
            <w:instrText xml:space="preserve"> PAGEREF _Toc10162 \h </w:instrText>
          </w:r>
          <w:r>
            <w:fldChar w:fldCharType="separate"/>
          </w:r>
          <w:r>
            <w:t>24</w:t>
          </w:r>
          <w:r>
            <w:fldChar w:fldCharType="end"/>
          </w:r>
          <w:r>
            <w:fldChar w:fldCharType="end"/>
          </w:r>
        </w:p>
        <w:p>
          <w:pPr>
            <w:pStyle w:val="17"/>
            <w:tabs>
              <w:tab w:val="right" w:leader="dot" w:pos="8306"/>
            </w:tabs>
          </w:pPr>
          <w:r>
            <w:fldChar w:fldCharType="begin"/>
          </w:r>
          <w:r>
            <w:instrText xml:space="preserve"> HYPERLINK \l "_Toc3138" </w:instrText>
          </w:r>
          <w:r>
            <w:fldChar w:fldCharType="separate"/>
          </w:r>
          <w:r>
            <w:rPr>
              <w:rFonts w:ascii="Times New Roman"/>
            </w:rPr>
            <w:t>第</w:t>
          </w:r>
          <w:r>
            <w:rPr>
              <w:rFonts w:hint="eastAsia" w:ascii="Times New Roman"/>
            </w:rPr>
            <w:t>八条</w:t>
          </w:r>
          <w:r>
            <w:rPr>
              <w:rFonts w:ascii="Times New Roman"/>
            </w:rPr>
            <w:t xml:space="preserve">  </w:t>
          </w:r>
          <w:r>
            <w:rPr>
              <w:rFonts w:hint="eastAsia" w:ascii="Times New Roman"/>
            </w:rPr>
            <w:t>理财产品的利益分配</w:t>
          </w:r>
          <w:r>
            <w:tab/>
          </w:r>
          <w:r>
            <w:fldChar w:fldCharType="begin"/>
          </w:r>
          <w:r>
            <w:instrText xml:space="preserve"> PAGEREF _Toc3138 \h </w:instrText>
          </w:r>
          <w:r>
            <w:fldChar w:fldCharType="separate"/>
          </w:r>
          <w:r>
            <w:t>28</w:t>
          </w:r>
          <w:r>
            <w:fldChar w:fldCharType="end"/>
          </w:r>
          <w:r>
            <w:fldChar w:fldCharType="end"/>
          </w:r>
        </w:p>
        <w:p>
          <w:pPr>
            <w:pStyle w:val="17"/>
            <w:tabs>
              <w:tab w:val="right" w:leader="dot" w:pos="8306"/>
            </w:tabs>
          </w:pPr>
          <w:r>
            <w:fldChar w:fldCharType="begin"/>
          </w:r>
          <w:r>
            <w:instrText xml:space="preserve"> HYPERLINK \l "_Toc17110" </w:instrText>
          </w:r>
          <w:r>
            <w:fldChar w:fldCharType="separate"/>
          </w:r>
          <w:r>
            <w:rPr>
              <w:rFonts w:ascii="Times New Roman"/>
            </w:rPr>
            <w:t>第</w:t>
          </w:r>
          <w:r>
            <w:rPr>
              <w:rFonts w:hint="eastAsia" w:ascii="Times New Roman"/>
            </w:rPr>
            <w:t>九条</w:t>
          </w:r>
          <w:r>
            <w:rPr>
              <w:rFonts w:ascii="Times New Roman"/>
            </w:rPr>
            <w:t xml:space="preserve">  </w:t>
          </w:r>
          <w:r>
            <w:rPr>
              <w:rFonts w:hint="eastAsia" w:ascii="Times New Roman"/>
            </w:rPr>
            <w:t>理财产品的费用与税收</w:t>
          </w:r>
          <w:r>
            <w:tab/>
          </w:r>
          <w:r>
            <w:fldChar w:fldCharType="begin"/>
          </w:r>
          <w:r>
            <w:instrText xml:space="preserve"> PAGEREF _Toc17110 \h </w:instrText>
          </w:r>
          <w:r>
            <w:fldChar w:fldCharType="separate"/>
          </w:r>
          <w:r>
            <w:t>29</w:t>
          </w:r>
          <w:r>
            <w:fldChar w:fldCharType="end"/>
          </w:r>
          <w:r>
            <w:fldChar w:fldCharType="end"/>
          </w:r>
        </w:p>
        <w:p>
          <w:pPr>
            <w:pStyle w:val="17"/>
            <w:tabs>
              <w:tab w:val="right" w:leader="dot" w:pos="8306"/>
            </w:tabs>
          </w:pPr>
          <w:r>
            <w:fldChar w:fldCharType="begin"/>
          </w:r>
          <w:r>
            <w:instrText xml:space="preserve"> HYPERLINK \l "_Toc4606" </w:instrText>
          </w:r>
          <w:r>
            <w:fldChar w:fldCharType="separate"/>
          </w:r>
          <w:r>
            <w:rPr>
              <w:rFonts w:hint="eastAsia"/>
            </w:rPr>
            <w:t>第十条</w:t>
          </w:r>
          <w:r>
            <w:t xml:space="preserve">  </w:t>
          </w:r>
          <w:r>
            <w:rPr>
              <w:rFonts w:hint="eastAsia"/>
            </w:rPr>
            <w:t>理财产品的终止与清算</w:t>
          </w:r>
          <w:r>
            <w:tab/>
          </w:r>
          <w:r>
            <w:fldChar w:fldCharType="begin"/>
          </w:r>
          <w:r>
            <w:instrText xml:space="preserve"> PAGEREF _Toc4606 \h </w:instrText>
          </w:r>
          <w:r>
            <w:fldChar w:fldCharType="separate"/>
          </w:r>
          <w:r>
            <w:t>32</w:t>
          </w:r>
          <w:r>
            <w:fldChar w:fldCharType="end"/>
          </w:r>
          <w:r>
            <w:fldChar w:fldCharType="end"/>
          </w:r>
        </w:p>
        <w:p>
          <w:pPr>
            <w:pStyle w:val="17"/>
            <w:tabs>
              <w:tab w:val="right" w:leader="dot" w:pos="8306"/>
            </w:tabs>
          </w:pPr>
          <w:r>
            <w:fldChar w:fldCharType="begin"/>
          </w:r>
          <w:r>
            <w:instrText xml:space="preserve"> HYPERLINK \l "_Toc11469" </w:instrText>
          </w:r>
          <w:r>
            <w:fldChar w:fldCharType="separate"/>
          </w:r>
          <w:r>
            <w:rPr>
              <w:rFonts w:hint="eastAsia" w:ascii="Times New Roman"/>
              <w:szCs w:val="28"/>
            </w:rPr>
            <w:t>第十一条</w:t>
          </w:r>
          <w:r>
            <w:rPr>
              <w:rFonts w:ascii="Times New Roman"/>
              <w:szCs w:val="28"/>
            </w:rPr>
            <w:t xml:space="preserve">  </w:t>
          </w:r>
          <w:r>
            <w:rPr>
              <w:rFonts w:hint="eastAsia" w:ascii="Times New Roman"/>
              <w:szCs w:val="28"/>
            </w:rPr>
            <w:t>理财产品的信息披露</w:t>
          </w:r>
          <w:r>
            <w:tab/>
          </w:r>
          <w:r>
            <w:fldChar w:fldCharType="begin"/>
          </w:r>
          <w:r>
            <w:instrText xml:space="preserve"> PAGEREF _Toc11469 \h </w:instrText>
          </w:r>
          <w:r>
            <w:fldChar w:fldCharType="separate"/>
          </w:r>
          <w:r>
            <w:t>34</w:t>
          </w:r>
          <w:r>
            <w:fldChar w:fldCharType="end"/>
          </w:r>
          <w:r>
            <w:fldChar w:fldCharType="end"/>
          </w:r>
        </w:p>
        <w:p>
          <w:pPr>
            <w:pStyle w:val="17"/>
            <w:tabs>
              <w:tab w:val="right" w:leader="dot" w:pos="8306"/>
            </w:tabs>
          </w:pPr>
          <w:r>
            <w:fldChar w:fldCharType="begin"/>
          </w:r>
          <w:r>
            <w:instrText xml:space="preserve"> HYPERLINK \l "_Toc24766" </w:instrText>
          </w:r>
          <w:r>
            <w:fldChar w:fldCharType="separate"/>
          </w:r>
          <w:r>
            <w:rPr>
              <w:rFonts w:hint="eastAsia" w:ascii="Times New Roman"/>
            </w:rPr>
            <w:t>第十二条</w:t>
          </w:r>
          <w:r>
            <w:rPr>
              <w:rFonts w:ascii="Times New Roman"/>
            </w:rPr>
            <w:t xml:space="preserve">  </w:t>
          </w:r>
          <w:r>
            <w:rPr>
              <w:rFonts w:hint="eastAsia" w:ascii="Times New Roman"/>
            </w:rPr>
            <w:t>理财产品</w:t>
          </w:r>
          <w:r>
            <w:rPr>
              <w:rFonts w:ascii="Times New Roman"/>
            </w:rPr>
            <w:t>的风险揭示</w:t>
          </w:r>
          <w:r>
            <w:tab/>
          </w:r>
          <w:r>
            <w:fldChar w:fldCharType="begin"/>
          </w:r>
          <w:r>
            <w:instrText xml:space="preserve"> PAGEREF _Toc24766 \h </w:instrText>
          </w:r>
          <w:r>
            <w:fldChar w:fldCharType="separate"/>
          </w:r>
          <w:r>
            <w:t>37</w:t>
          </w:r>
          <w:r>
            <w:fldChar w:fldCharType="end"/>
          </w:r>
          <w:r>
            <w:fldChar w:fldCharType="end"/>
          </w:r>
        </w:p>
        <w:p>
          <w:pPr>
            <w:spacing w:line="360" w:lineRule="auto"/>
          </w:pPr>
          <w:r>
            <w:fldChar w:fldCharType="end"/>
          </w:r>
        </w:p>
      </w:sdtContent>
    </w:sdt>
    <w:p>
      <w:pPr>
        <w:widowControl/>
        <w:spacing w:line="360" w:lineRule="auto"/>
        <w:jc w:val="left"/>
        <w:rPr>
          <w:rFonts w:ascii="Times New Roman"/>
          <w:sz w:val="30"/>
        </w:rPr>
      </w:pPr>
    </w:p>
    <w:p>
      <w:pPr>
        <w:widowControl/>
        <w:spacing w:line="360" w:lineRule="auto"/>
        <w:jc w:val="left"/>
        <w:rPr>
          <w:rFonts w:ascii="Times New Roman"/>
          <w:sz w:val="30"/>
        </w:rPr>
        <w:sectPr>
          <w:footerReference r:id="rId6" w:type="default"/>
          <w:pgSz w:w="11906" w:h="16838"/>
          <w:pgMar w:top="1276" w:right="1800" w:bottom="1418" w:left="1800" w:header="567" w:footer="850" w:gutter="0"/>
          <w:cols w:space="425" w:num="1"/>
          <w:docGrid w:type="lines" w:linePitch="312" w:charSpace="0"/>
        </w:sectPr>
      </w:pPr>
    </w:p>
    <w:p>
      <w:pPr>
        <w:pStyle w:val="2"/>
        <w:spacing w:before="0" w:after="0" w:line="360" w:lineRule="auto"/>
        <w:jc w:val="center"/>
        <w:rPr>
          <w:rFonts w:ascii="Times New Roman"/>
          <w:sz w:val="30"/>
        </w:rPr>
      </w:pPr>
      <w:bookmarkStart w:id="1" w:name="_Toc92377130"/>
      <w:bookmarkStart w:id="2" w:name="_Toc9482"/>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bookmarkEnd w:id="2"/>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（一）在本产品投资协议书中，除非上下文另有明确约定，下列用词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2）提供单只或多只理财产品投资建议；3）为投资者办理理财产品认购、申购和赎回；4）银保监会认定的其他业务活动。各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：指产品管理人向投资者提供的，用于描述产品特征，约定权利义务的文件。具体指《兴银理财天天万利宝稳利净值型理财产品销售文件》，包括《投资协议书》、《产品说明书》、《（代理）销售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《投资协议书》：指管理人统一编制的《兴银理财天天万利宝稳利净值型理财产品投资协议书》，以及对该文件的有效修改或补充。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）《产品说明书》：指管理人统一编制的《兴银理财天天万利宝稳利净值型理财产品产品说明书》，以及对该文件的有效修改或补充。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（4）《（代理）销售协议书》：指管理人统一编制的《【兴银理财天天万利宝稳利净值型理财产品（代理）销售协议书》或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的《兴银理财天天万利宝稳利净值型理财产品（代理）销售协议书》（文件名称以代理销售机构实际编制为准），以及对该文件的有效修改或补充。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）《风险揭示书》：指管理人统一编制的《兴银理财天天万利宝稳利净值型理财产品风险揭示书》或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的《兴银理财天天万利宝稳利净值型理财产品风险揭示书》（文件名称以代理销售机构实际编制为准），以及对该文件的有效修改或补充。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）《投资者权益须知》：指管理人统一编制的《兴银理财天天万利宝稳利净值型理财产品投资者权益须知》或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《兴银理财天天万利宝稳利净值型理财产品投资者权益须知》（文件名称以代理销售机构实际编制为准），以及对该文件的有效修改或补充。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，为在理财产品销售管理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，为每类份额类别</w:t>
      </w:r>
      <w:r>
        <w:rPr>
          <w:rFonts w:asciiTheme="majorEastAsia" w:hAnsiTheme="majorEastAsia" w:eastAsiaTheme="majorEastAsia"/>
          <w:bCs/>
          <w:color w:val="auto"/>
          <w:sz w:val="18"/>
          <w:szCs w:val="18"/>
        </w:rPr>
        <w:t>设置</w:t>
      </w:r>
      <w:r>
        <w:rPr>
          <w:rFonts w:hint="eastAsia" w:asciiTheme="majorEastAsia" w:hAnsiTheme="majorEastAsia" w:eastAsiaTheme="majorEastAsia"/>
          <w:bCs/>
          <w:color w:val="auto"/>
          <w:sz w:val="18"/>
          <w:szCs w:val="18"/>
        </w:rPr>
        <w:t>的唯一性内部识别码。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）适合投资者：指适合购买本产品的投资者类型。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10</w:t>
      </w:r>
      <w:r>
        <w:rPr>
          <w:rFonts w:hint="eastAsia" w:asciiTheme="majorEastAsia" w:hAnsiTheme="majorEastAsia" w:eastAsiaTheme="majorEastAsia"/>
          <w:bCs/>
          <w:color w:val="auto"/>
          <w:sz w:val="18"/>
          <w:szCs w:val="18"/>
        </w:rPr>
        <w:t>）理财产品估值：指计算评估理财产品资产和理财产品负债的价值，以确定理财产品份额净值的过程。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11</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指管理人基于过往投资经验及对产品存续期投资市场波动的预判而对本产品所设定的投资目标。</w:t>
      </w:r>
      <w:r>
        <w:rPr>
          <w:rFonts w:hint="eastAsia" w:ascii="黑体" w:hAnsi="黑体" w:eastAsia="黑体"/>
          <w:bCs/>
          <w:color w:val="auto"/>
          <w:sz w:val="18"/>
          <w:szCs w:val="18"/>
        </w:rPr>
        <w:t>业绩比较基准不代表理财产品未来表现，不等于理财产品实际收益，不作为产品收益的业绩保证，投资须谨慎。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12</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指管理人收取超额业绩报酬的参照相关</w:t>
      </w:r>
      <w:r>
        <w:rPr>
          <w:rFonts w:asciiTheme="majorEastAsia" w:hAnsiTheme="majorEastAsia" w:eastAsiaTheme="majorEastAsia"/>
          <w:bCs/>
          <w:color w:val="auto"/>
          <w:sz w:val="18"/>
          <w:szCs w:val="18"/>
        </w:rPr>
        <w:t>数值标准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业绩报酬计提基准不代表理财产品未来表现，不等于理财产品实际收益，不作为产品收益的业绩保证，投资须谨慎。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13</w:t>
      </w:r>
      <w:r>
        <w:rPr>
          <w:rFonts w:hint="eastAsia" w:asciiTheme="majorEastAsia" w:hAnsiTheme="majorEastAsia" w:eastAsiaTheme="majorEastAsia"/>
          <w:bCs/>
          <w:color w:val="auto"/>
          <w:sz w:val="18"/>
          <w:szCs w:val="18"/>
        </w:rPr>
        <w:t>）</w:t>
      </w:r>
      <w:r>
        <w:rPr>
          <w:rFonts w:hint="eastAsia" w:ascii="黑体" w:hAnsi="黑体" w:eastAsia="黑体" w:cs="仿宋_GB2312"/>
          <w:bCs/>
          <w:color w:val="auto"/>
          <w:sz w:val="18"/>
          <w:szCs w:val="18"/>
        </w:rPr>
        <w:t>★</w:t>
      </w:r>
      <w:r>
        <w:rPr>
          <w:rFonts w:hint="eastAsia" w:asciiTheme="majorEastAsia" w:hAnsiTheme="majorEastAsia" w:eastAsiaTheme="majorEastAsia"/>
          <w:bCs/>
          <w:color w:val="auto"/>
          <w:sz w:val="18"/>
          <w:szCs w:val="18"/>
        </w:rPr>
        <w:t>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14）利益分配：指产品管理人向投资者进行理财产品利益分配。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15）期间分配：指在理财产品终止日（不含当日）前的理财产品利益分配。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16）终止分配：指在理财产品终止日当日及之后的理财产品利益分配。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w:t>
      </w:r>
      <w:r>
        <w:rPr>
          <w:rFonts w:hint="eastAsia" w:asciiTheme="majorEastAsia" w:hAnsiTheme="majorEastAsia" w:eastAsiaTheme="majorEastAsia"/>
          <w:bCs/>
          <w:color w:val="auto"/>
          <w:sz w:val="18"/>
          <w:szCs w:val="18"/>
        </w:rPr>
        <w:t>）认购：指投资者根据本协议约定在认购期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募集期内申请购买本产品理财产品份额的行为。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指理财产品成立后，投资者申请赎回理财产品份额的行为，即投资者申请将理财产品份额兑换为现金。</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20</w:t>
      </w:r>
      <w:r>
        <w:rPr>
          <w:rFonts w:hint="eastAsia" w:asciiTheme="minorEastAsia" w:hAnsiTheme="minorEastAsia" w:eastAsiaTheme="minorEastAsia"/>
          <w:color w:val="auto"/>
          <w:sz w:val="18"/>
          <w:szCs w:val="18"/>
        </w:rPr>
        <w:t>）</w:t>
      </w:r>
      <w:r>
        <w:rPr>
          <w:rFonts w:hint="eastAsia" w:ascii="黑体" w:hAnsi="黑体" w:eastAsia="黑体" w:cs="仿宋_GB2312"/>
          <w:bCs/>
          <w:color w:val="auto"/>
          <w:sz w:val="18"/>
          <w:szCs w:val="18"/>
        </w:rPr>
        <w:t>★</w:t>
      </w:r>
      <w:r>
        <w:rPr>
          <w:rFonts w:hint="eastAsia" w:asciiTheme="minorEastAsia" w:hAnsiTheme="minorEastAsia" w:eastAsiaTheme="minorEastAsia"/>
          <w:color w:val="auto"/>
          <w:sz w:val="18"/>
          <w:szCs w:val="18"/>
        </w:rPr>
        <w:t>预约申购</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指投资者在一段特定期间内通过预约的方式提交申购申请，该申请在申购日内自动转化为正式的申购申请。</w:t>
      </w:r>
      <w:r>
        <w:rPr>
          <w:rFonts w:asciiTheme="minorEastAsia" w:hAnsiTheme="minorEastAsia" w:eastAsiaTheme="minorEastAsia"/>
          <w:bCs/>
          <w:color w:val="auto"/>
          <w:sz w:val="18"/>
          <w:szCs w:val="18"/>
        </w:rPr>
        <w:t>提交预约申购</w:t>
      </w:r>
      <w:r>
        <w:rPr>
          <w:rFonts w:hint="eastAsia" w:asciiTheme="minorEastAsia" w:hAnsiTheme="minorEastAsia" w:eastAsiaTheme="minorEastAsia"/>
          <w:bCs/>
          <w:color w:val="auto"/>
          <w:sz w:val="18"/>
          <w:szCs w:val="18"/>
        </w:rPr>
        <w:t>申请</w:t>
      </w:r>
      <w:r>
        <w:rPr>
          <w:rFonts w:asciiTheme="minorEastAsia" w:hAnsiTheme="minorEastAsia" w:eastAsiaTheme="minorEastAsia"/>
          <w:bCs/>
          <w:color w:val="auto"/>
          <w:sz w:val="18"/>
          <w:szCs w:val="18"/>
        </w:rPr>
        <w:t>并不代表申购成功，产品管理人将在申购确认日确认投资者是否申购成功</w:t>
      </w:r>
      <w:r>
        <w:rPr>
          <w:rFonts w:hint="eastAsia" w:asciiTheme="minorEastAsia" w:hAnsiTheme="minorEastAsia" w:eastAsiaTheme="minorEastAsia"/>
          <w:bCs/>
          <w:color w:val="auto"/>
          <w:sz w:val="18"/>
          <w:szCs w:val="18"/>
        </w:rPr>
        <w:t>。</w:t>
      </w:r>
    </w:p>
    <w:p>
      <w:pPr>
        <w:spacing w:line="360" w:lineRule="auto"/>
        <w:ind w:right="-107" w:rightChars="-51"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21</w:t>
      </w:r>
      <w:r>
        <w:rPr>
          <w:rFonts w:hint="eastAsia" w:asciiTheme="minorEastAsia" w:hAnsiTheme="minorEastAsia" w:eastAsiaTheme="minorEastAsia"/>
          <w:sz w:val="18"/>
          <w:szCs w:val="18"/>
        </w:rPr>
        <w:t>）</w:t>
      </w:r>
      <w:r>
        <w:rPr>
          <w:rFonts w:hint="eastAsia" w:ascii="黑体" w:hAnsi="黑体" w:eastAsia="黑体" w:cs="仿宋_GB2312"/>
          <w:bCs/>
          <w:sz w:val="18"/>
          <w:szCs w:val="18"/>
        </w:rPr>
        <w:t>★</w:t>
      </w:r>
      <w:r>
        <w:rPr>
          <w:rFonts w:hint="eastAsia" w:asciiTheme="minorEastAsia" w:hAnsiTheme="minorEastAsia" w:eastAsiaTheme="minorEastAsia"/>
          <w:sz w:val="18"/>
          <w:szCs w:val="18"/>
        </w:rPr>
        <w:t>预约赎回</w:t>
      </w:r>
      <w:r>
        <w:rPr>
          <w:rFonts w:asciiTheme="minorEastAsia" w:hAnsiTheme="minorEastAsia" w:eastAsiaTheme="minorEastAsia"/>
          <w:sz w:val="18"/>
          <w:szCs w:val="18"/>
        </w:rPr>
        <w:t>:</w:t>
      </w:r>
      <w:r>
        <w:rPr>
          <w:rFonts w:hint="eastAsia" w:asciiTheme="minorEastAsia" w:hAnsiTheme="minorEastAsia" w:eastAsiaTheme="minorEastAsia"/>
          <w:sz w:val="18"/>
          <w:szCs w:val="18"/>
        </w:rPr>
        <w:t>指投资者在一段特定期间内通过预约的方式提交赎回申请，该申请在赎回日内自动转化为正式的赎回申请。</w:t>
      </w:r>
      <w:r>
        <w:rPr>
          <w:rFonts w:asciiTheme="majorEastAsia" w:hAnsiTheme="majorEastAsia" w:eastAsiaTheme="majorEastAsia"/>
          <w:bCs/>
          <w:sz w:val="18"/>
          <w:szCs w:val="18"/>
        </w:rPr>
        <w:t>提交预约赎回</w:t>
      </w:r>
      <w:r>
        <w:rPr>
          <w:rFonts w:hint="eastAsia" w:asciiTheme="majorEastAsia" w:hAnsiTheme="majorEastAsia" w:eastAsiaTheme="majorEastAsia"/>
          <w:bCs/>
          <w:sz w:val="18"/>
          <w:szCs w:val="18"/>
        </w:rPr>
        <w:t>申请</w:t>
      </w:r>
      <w:r>
        <w:rPr>
          <w:rFonts w:asciiTheme="majorEastAsia" w:hAnsiTheme="majorEastAsia" w:eastAsiaTheme="majorEastAsia"/>
          <w:bCs/>
          <w:sz w:val="18"/>
          <w:szCs w:val="18"/>
        </w:rPr>
        <w:t>并不代表赎回成功，产品管理人将在赎回确认日确认投资者是否赎回成功</w:t>
      </w:r>
      <w:r>
        <w:rPr>
          <w:rFonts w:hint="eastAsia" w:asciiTheme="majorEastAsia" w:hAnsiTheme="majorEastAsia" w:eastAsiaTheme="majorEastAsia"/>
          <w:bCs/>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22</w:t>
      </w:r>
      <w:r>
        <w:rPr>
          <w:rFonts w:hint="eastAsia" w:asciiTheme="majorEastAsia" w:hAnsiTheme="majorEastAsia" w:eastAsiaTheme="majorEastAsia"/>
          <w:bCs/>
          <w:color w:val="auto"/>
          <w:sz w:val="18"/>
          <w:szCs w:val="18"/>
        </w:rPr>
        <w:t>）巨额赎回：在本理财产品预约赎回期中，本产品的累计产品份额净预约赎回申请（预约赎回申请总份额扣除预约申购总份额后的余额</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下同）之和达到赎回日上一日产品总份额的约定的百分比，为巨额赎回。</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23）摆动定价机制：是指当开放式公募理财产品（现金管理类理财产品除外）遭遇大额申购或赎回时，通过调整理财产品份额净值的方式，将理财产品调整投资组合的市场冲击成本分配给实际申购、赎回的投资者，从而减少对存量理财产品份额持有人利益的不利影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24）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25）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）★最短持有期:指自产品成立日/申购确认日起，投资者持有的产品份额被锁定持有的最短期间。在最短持有期内，投资者不能赎回该产品份额，最短持有期满后，投资者可以赎回该产品份额。</w:t>
      </w:r>
    </w:p>
    <w:p>
      <w:pPr>
        <w:pStyle w:val="34"/>
        <w:spacing w:line="360" w:lineRule="auto"/>
        <w:ind w:firstLine="360" w:firstLineChars="200"/>
        <w:rPr>
          <w:rFonts w:cs="仿宋_GB2312"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12</w:t>
      </w:r>
      <w:r>
        <w:rPr>
          <w:rFonts w:hint="eastAsia" w:asciiTheme="majorEastAsia" w:hAnsiTheme="majorEastAsia" w:eastAsiaTheme="majorEastAsia"/>
          <w:bCs/>
          <w:color w:val="auto"/>
          <w:sz w:val="18"/>
          <w:szCs w:val="18"/>
        </w:rPr>
        <w:t>）★投资周期：投资周期指</w:t>
      </w:r>
      <w:r>
        <w:rPr>
          <w:rFonts w:hint="eastAsia" w:asciiTheme="minorEastAsia" w:hAnsiTheme="minorEastAsia" w:eastAsiaTheme="minorEastAsia"/>
          <w:bCs/>
          <w:color w:val="auto"/>
          <w:sz w:val="18"/>
          <w:szCs w:val="18"/>
        </w:rPr>
        <w:t>投资者</w:t>
      </w:r>
      <w:r>
        <w:rPr>
          <w:rFonts w:asciiTheme="minorEastAsia" w:hAnsiTheme="minorEastAsia" w:eastAsiaTheme="minorEastAsia"/>
          <w:bCs/>
          <w:color w:val="auto"/>
          <w:sz w:val="18"/>
          <w:szCs w:val="18"/>
        </w:rPr>
        <w:t>持有理财产品份额</w:t>
      </w:r>
      <w:r>
        <w:rPr>
          <w:rFonts w:hint="eastAsia" w:asciiTheme="minorEastAsia" w:hAnsiTheme="minorEastAsia" w:eastAsiaTheme="minorEastAsia"/>
          <w:bCs/>
          <w:color w:val="auto"/>
          <w:sz w:val="18"/>
          <w:szCs w:val="18"/>
        </w:rPr>
        <w:t>所对应的理财资金由产品管理人进行投资运作的一段完整期间，</w:t>
      </w:r>
      <w:r>
        <w:rPr>
          <w:rFonts w:hint="eastAsia" w:asciiTheme="majorEastAsia" w:hAnsiTheme="majorEastAsia" w:eastAsiaTheme="majorEastAsia"/>
          <w:bCs/>
          <w:color w:val="auto"/>
          <w:sz w:val="18"/>
          <w:szCs w:val="18"/>
        </w:rPr>
        <w:t>每一个投资周期</w:t>
      </w:r>
      <w:r>
        <w:rPr>
          <w:rFonts w:hint="eastAsia" w:cs="仿宋_GB2312" w:asciiTheme="majorEastAsia" w:hAnsiTheme="majorEastAsia" w:eastAsiaTheme="majorEastAsia"/>
          <w:color w:val="auto"/>
          <w:sz w:val="18"/>
          <w:szCs w:val="18"/>
        </w:rPr>
        <w:t>为该</w:t>
      </w:r>
      <w:r>
        <w:rPr>
          <w:rFonts w:hint="eastAsia" w:asciiTheme="majorEastAsia" w:hAnsiTheme="majorEastAsia" w:eastAsiaTheme="majorEastAsia"/>
          <w:bCs/>
          <w:color w:val="auto"/>
          <w:sz w:val="18"/>
          <w:szCs w:val="18"/>
        </w:rPr>
        <w:t>投资周期起始日</w:t>
      </w:r>
      <w:r>
        <w:rPr>
          <w:rFonts w:hint="eastAsia" w:cs="仿宋_GB2312" w:asciiTheme="majorEastAsia" w:hAnsiTheme="majorEastAsia" w:eastAsiaTheme="majorEastAsia"/>
          <w:color w:val="auto"/>
          <w:sz w:val="18"/>
          <w:szCs w:val="18"/>
        </w:rPr>
        <w:t>至该</w:t>
      </w:r>
      <w:r>
        <w:rPr>
          <w:rFonts w:hint="eastAsia" w:asciiTheme="majorEastAsia" w:hAnsiTheme="majorEastAsia" w:eastAsiaTheme="majorEastAsia"/>
          <w:bCs/>
          <w:color w:val="auto"/>
          <w:sz w:val="18"/>
          <w:szCs w:val="18"/>
        </w:rPr>
        <w:t>投资周期</w:t>
      </w:r>
      <w:r>
        <w:rPr>
          <w:rFonts w:hint="eastAsia" w:cs="仿宋_GB2312" w:asciiTheme="majorEastAsia" w:hAnsiTheme="majorEastAsia" w:eastAsiaTheme="majorEastAsia"/>
          <w:color w:val="auto"/>
          <w:sz w:val="18"/>
          <w:szCs w:val="18"/>
        </w:rPr>
        <w:t>终止日的理财期间。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投资周期起始日：指每一个投资周期开始的日期。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投资周期终止日：指每一个投资周期结束的日期。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4</w:t>
      </w:r>
      <w:r>
        <w:rPr>
          <w:rFonts w:hint="eastAsia" w:asciiTheme="majorEastAsia" w:hAnsiTheme="majorEastAsia" w:eastAsiaTheme="majorEastAsia"/>
          <w:bCs/>
          <w:color w:val="auto"/>
          <w:sz w:val="18"/>
          <w:szCs w:val="18"/>
        </w:rPr>
        <w:t>）预约申购期：指投资者可以提交预约申购申请</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 xml:space="preserve">一段特定时间。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15）</w:t>
      </w:r>
      <w:r>
        <w:rPr>
          <w:rFonts w:hint="eastAsia" w:asciiTheme="majorEastAsia" w:hAnsiTheme="majorEastAsia" w:eastAsiaTheme="majorEastAsia"/>
          <w:bCs/>
          <w:color w:val="auto"/>
          <w:sz w:val="18"/>
          <w:szCs w:val="18"/>
        </w:rPr>
        <w:t>预约</w:t>
      </w:r>
      <w:r>
        <w:rPr>
          <w:rFonts w:asciiTheme="majorEastAsia" w:hAnsiTheme="majorEastAsia" w:eastAsiaTheme="majorEastAsia"/>
          <w:bCs/>
          <w:color w:val="auto"/>
          <w:sz w:val="18"/>
          <w:szCs w:val="18"/>
        </w:rPr>
        <w:t>赎回期</w:t>
      </w:r>
      <w:r>
        <w:rPr>
          <w:rFonts w:hint="eastAsia" w:asciiTheme="majorEastAsia" w:hAnsiTheme="majorEastAsia" w:eastAsiaTheme="majorEastAsia"/>
          <w:bCs/>
          <w:color w:val="auto"/>
          <w:sz w:val="18"/>
          <w:szCs w:val="18"/>
        </w:rPr>
        <w:t>：指投资者可以提交预约赎回申请的一段特定时间。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16</w:t>
      </w:r>
      <w:r>
        <w:rPr>
          <w:rFonts w:hint="eastAsia" w:asciiTheme="majorEastAsia" w:hAnsiTheme="majorEastAsia" w:eastAsiaTheme="majorEastAsia"/>
          <w:bCs/>
          <w:color w:val="auto"/>
          <w:sz w:val="18"/>
          <w:szCs w:val="18"/>
        </w:rPr>
        <w:t>）清算期：指自本理财产品终止日至投资者理财利益到账日之间的期间。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（2）</w:t>
      </w:r>
      <w:r>
        <w:rPr>
          <w:rFonts w:hint="eastAsia" w:ascii="黑体" w:hAnsi="黑体" w:eastAsia="黑体" w:cs="仿宋_GB2312"/>
          <w:bCs/>
          <w:sz w:val="18"/>
          <w:szCs w:val="18"/>
        </w:rPr>
        <w:t>★</w:t>
      </w:r>
      <w:r>
        <w:rPr>
          <w:rFonts w:ascii="宋体" w:hAnsi="宋体"/>
          <w:kern w:val="0"/>
          <w:sz w:val="18"/>
          <w:szCs w:val="18"/>
        </w:rPr>
        <w:t>申购费：</w:t>
      </w:r>
      <w:r>
        <w:rPr>
          <w:rFonts w:hint="eastAsia" w:ascii="宋体" w:hAnsi="宋体"/>
          <w:kern w:val="0"/>
          <w:sz w:val="18"/>
          <w:szCs w:val="18"/>
        </w:rPr>
        <w:t>指</w:t>
      </w:r>
      <w:r>
        <w:rPr>
          <w:rFonts w:ascii="宋体" w:hAnsi="宋体"/>
          <w:kern w:val="0"/>
          <w:sz w:val="18"/>
          <w:szCs w:val="18"/>
        </w:rPr>
        <w:t>投资者申购产品时</w:t>
      </w:r>
      <w:r>
        <w:rPr>
          <w:rFonts w:hint="eastAsia" w:ascii="宋体" w:hAnsi="宋体"/>
          <w:kern w:val="0"/>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赎回费：指投资者赎回产品时需缴纳的费用。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（6）</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（7）</w:t>
      </w:r>
      <w:r>
        <w:rPr>
          <w:rFonts w:hint="eastAsia" w:ascii="黑体" w:hAnsi="黑体" w:eastAsia="黑体" w:cs="仿宋_GB2312"/>
          <w:bCs/>
          <w:color w:val="auto"/>
          <w:sz w:val="18"/>
          <w:szCs w:val="18"/>
        </w:rPr>
        <w:t>★</w:t>
      </w:r>
      <w:r>
        <w:rPr>
          <w:rFonts w:hint="eastAsia" w:hAnsi="宋体"/>
          <w:sz w:val="18"/>
          <w:szCs w:val="18"/>
        </w:rPr>
        <w:t>超额业绩报酬：指产品管理人依照理财产品销售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p>
    <w:p>
      <w:pPr>
        <w:widowControl/>
        <w:spacing w:line="360" w:lineRule="auto"/>
        <w:jc w:val="left"/>
        <w:rPr>
          <w:rFonts w:ascii="宋体" w:hAnsi="宋体"/>
          <w:color w:val="000000"/>
          <w:kern w:val="0"/>
          <w:sz w:val="28"/>
          <w:szCs w:val="28"/>
        </w:rPr>
      </w:pPr>
      <w:r>
        <w:rPr>
          <w:rFonts w:hAnsi="宋体"/>
          <w:sz w:val="28"/>
          <w:szCs w:val="28"/>
        </w:rPr>
        <w:br w:type="page"/>
      </w:r>
    </w:p>
    <w:p>
      <w:pPr>
        <w:pStyle w:val="2"/>
        <w:spacing w:before="0" w:after="0" w:line="360" w:lineRule="auto"/>
        <w:jc w:val="center"/>
        <w:rPr>
          <w:rFonts w:hAnsi="宋体"/>
          <w:sz w:val="28"/>
          <w:szCs w:val="28"/>
        </w:rPr>
      </w:pPr>
      <w:bookmarkStart w:id="3" w:name="_Toc79154665"/>
      <w:bookmarkStart w:id="4" w:name="_Toc92377131"/>
      <w:bookmarkStart w:id="5" w:name="_Toc23998"/>
      <w:r>
        <w:rPr>
          <w:rFonts w:hint="eastAsia" w:hAnsi="宋体"/>
          <w:sz w:val="28"/>
          <w:szCs w:val="28"/>
        </w:rPr>
        <w:t>第二条  理财产品基本情况</w:t>
      </w:r>
      <w:bookmarkEnd w:id="3"/>
      <w:bookmarkEnd w:id="4"/>
      <w:bookmarkEnd w:id="5"/>
      <w:r>
        <w:rPr>
          <w:rFonts w:hint="eastAsia" w:hAnsi="宋体"/>
          <w:sz w:val="28"/>
          <w:szCs w:val="28"/>
        </w:rPr>
        <w:t xml:space="preserve"> </w:t>
      </w:r>
    </w:p>
    <w:tbl>
      <w:tblPr>
        <w:tblStyle w:val="30"/>
        <w:tblW w:w="964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45"/>
        <w:gridCol w:w="77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0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704" w:type="dxa"/>
            <w:shd w:val="solid" w:color="FFFFFF" w:fill="FFFFFF"/>
            <w:vAlign w:val="top"/>
          </w:tcPr>
          <w:p>
            <w:pPr>
              <w:spacing w:line="360" w:lineRule="auto"/>
              <w:jc w:val="left"/>
              <w:rPr>
                <w:rFonts w:ascii="宋体" w:hAnsi="宋体"/>
                <w:bCs/>
                <w:sz w:val="18"/>
                <w:szCs w:val="18"/>
              </w:rPr>
            </w:pPr>
            <w:r>
              <w:rPr>
                <w:rFonts w:hint="eastAsia" w:ascii="宋体" w:hAnsi="宋体"/>
                <w:bCs/>
                <w:sz w:val="18"/>
                <w:szCs w:val="18"/>
              </w:rPr>
              <w:t>兴业银行天天万利宝稳利2号净值型理财产品K款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383"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704" w:type="dxa"/>
            <w:shd w:val="solid" w:color="FFFFFF" w:fill="FFFFFF"/>
            <w:vAlign w:val="center"/>
          </w:tcPr>
          <w:p>
            <w:pPr>
              <w:spacing w:line="360" w:lineRule="auto"/>
              <w:jc w:val="left"/>
              <w:rPr>
                <w:rFonts w:ascii="宋体" w:hAnsi="宋体"/>
                <w:kern w:val="0"/>
                <w:sz w:val="22"/>
              </w:rPr>
            </w:pPr>
            <w:r>
              <w:rPr>
                <w:rFonts w:hint="eastAsia" w:ascii="宋体" w:hAnsi="宋体"/>
                <w:bCs/>
                <w:sz w:val="18"/>
                <w:szCs w:val="18"/>
              </w:rPr>
              <w:t>【稳利恒盈</w:t>
            </w:r>
            <w:r>
              <w:rPr>
                <w:rFonts w:hint="eastAsia" w:ascii="宋体" w:hAnsi="宋体"/>
                <w:bCs/>
                <w:sz w:val="18"/>
                <w:szCs w:val="18"/>
                <w:lang w:val="en-US" w:eastAsia="zh-CN"/>
              </w:rPr>
              <w:t>K</w:t>
            </w:r>
            <w:r>
              <w:rPr>
                <w:rFonts w:hint="eastAsia" w:ascii="宋体" w:hAnsi="宋体"/>
                <w:bCs/>
                <w:sz w:val="18"/>
                <w:szCs w:val="18"/>
              </w:rPr>
              <w:t xml:space="preserve"> 6个月】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704" w:type="dxa"/>
            <w:shd w:val="solid" w:color="FFFFFF" w:fill="FFFFFF"/>
            <w:vAlign w:val="top"/>
          </w:tcPr>
          <w:p>
            <w:pPr>
              <w:spacing w:line="360" w:lineRule="auto"/>
              <w:jc w:val="left"/>
              <w:rPr>
                <w:rFonts w:ascii="宋体" w:hAnsi="宋体"/>
                <w:b/>
                <w:sz w:val="18"/>
                <w:szCs w:val="18"/>
              </w:rPr>
            </w:pPr>
            <w:r>
              <w:rPr>
                <w:rFonts w:hint="eastAsia" w:ascii="宋体" w:hAnsi="宋体"/>
                <w:bCs/>
                <w:sz w:val="18"/>
                <w:szCs w:val="18"/>
              </w:rPr>
              <w:t>【Z7002020000028】注：投资者可依据理财产品登记编码在中国理财网查询产品信息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704" w:type="dxa"/>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rPr>
              <w:t>【</w:t>
            </w:r>
            <w:r>
              <w:rPr>
                <w:rFonts w:hint="eastAsia" w:ascii="宋体" w:hAnsi="宋体"/>
                <w:bCs/>
                <w:color w:val="000000" w:themeColor="text1"/>
                <w:sz w:val="18"/>
                <w:szCs w:val="18"/>
              </w:rPr>
              <w:t>9K218028</w:t>
            </w:r>
            <w:r>
              <w:rPr>
                <w:rFonts w:ascii="宋体" w:hAnsi="宋体"/>
                <w:bCs/>
                <w:color w:val="000000" w:themeColor="text1"/>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704" w:type="dxa"/>
            <w:shd w:val="solid" w:color="FFFFFF" w:fill="FFFFFF"/>
            <w:vAlign w:val="center"/>
          </w:tcPr>
          <w:p>
            <w:pPr>
              <w:spacing w:line="320" w:lineRule="exact"/>
              <w:jc w:val="left"/>
              <w:rPr>
                <w:rFonts w:hAnsi="宋体"/>
                <w:sz w:val="18"/>
                <w:szCs w:val="18"/>
              </w:rPr>
            </w:pPr>
            <w:r>
              <w:rPr>
                <w:rFonts w:hint="eastAsia" w:ascii="宋体" w:hAnsi="宋体"/>
                <w:bCs/>
                <w:color w:val="000000" w:themeColor="text1"/>
                <w:sz w:val="18"/>
                <w:szCs w:val="18"/>
              </w:rPr>
              <w:t>【9K218028】</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70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本产品不设置差异化子份额类别。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704" w:type="dxa"/>
            <w:shd w:val="solid" w:color="FFFFFF" w:fill="FFFFFF"/>
            <w:vAlign w:val="center"/>
          </w:tcPr>
          <w:p>
            <w:pPr>
              <w:adjustRightInd w:val="0"/>
              <w:snapToGrid w:val="0"/>
              <w:spacing w:line="276"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、开放式、【固定收益类】、非保本浮动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70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开放式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704" w:type="dxa"/>
            <w:shd w:val="solid" w:color="FFFFFF" w:fill="FFFFFF"/>
            <w:vAlign w:val="center"/>
          </w:tcPr>
          <w:p>
            <w:pPr>
              <w:adjustRightInd w:val="0"/>
              <w:snapToGrid w:val="0"/>
              <w:spacing w:line="276" w:lineRule="auto"/>
              <w:rPr>
                <w:rFonts w:asciiTheme="majorEastAsia" w:hAnsiTheme="majorEastAsia" w:eastAsiaTheme="majorEastAsia"/>
                <w:b/>
                <w:color w:val="000000" w:themeColor="text1"/>
                <w:sz w:val="18"/>
                <w:szCs w:val="18"/>
              </w:rPr>
            </w:pPr>
            <w:r>
              <w:rPr>
                <w:rFonts w:hint="eastAsia" w:asciiTheme="majorEastAsia" w:hAnsiTheme="majorEastAsia" w:eastAsiaTheme="majorEastAsia"/>
                <w:b/>
                <w:color w:val="000000" w:themeColor="text1"/>
                <w:sz w:val="18"/>
                <w:szCs w:val="18"/>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70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70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Cs/>
                <w:sz w:val="18"/>
                <w:szCs w:val="18"/>
              </w:rPr>
            </w:pPr>
            <w:r>
              <w:rPr>
                <w:rFonts w:hint="eastAsia" w:ascii="黑体" w:hAnsi="黑体" w:eastAsia="黑体"/>
                <w:sz w:val="18"/>
                <w:szCs w:val="18"/>
              </w:rPr>
              <w:t>注</w:t>
            </w:r>
            <w:r>
              <w:rPr>
                <w:rFonts w:ascii="黑体" w:hAnsi="黑体" w:eastAsia="黑体"/>
                <w:sz w:val="18"/>
                <w:szCs w:val="18"/>
              </w:rPr>
              <w:t>：</w:t>
            </w:r>
            <w:r>
              <w:rPr>
                <w:rFonts w:hint="eastAsia" w:ascii="黑体" w:hAnsi="黑体" w:eastAsia="黑体"/>
                <w:sz w:val="18"/>
                <w:szCs w:val="18"/>
              </w:rPr>
              <w:t>若本</w:t>
            </w:r>
            <w:r>
              <w:rPr>
                <w:rFonts w:ascii="黑体" w:hAnsi="黑体" w:eastAsia="黑体"/>
                <w:sz w:val="18"/>
                <w:szCs w:val="18"/>
              </w:rPr>
              <w:t>产品通过代理销售机构销售的，</w:t>
            </w:r>
            <w:r>
              <w:rPr>
                <w:rFonts w:hint="eastAsia" w:ascii="黑体" w:hAnsi="黑体" w:eastAsia="黑体"/>
                <w:sz w:val="18"/>
                <w:szCs w:val="18"/>
              </w:rPr>
              <w:t>理财产品</w:t>
            </w:r>
            <w:r>
              <w:rPr>
                <w:rFonts w:ascii="黑体" w:hAnsi="黑体" w:eastAsia="黑体"/>
                <w:sz w:val="18"/>
                <w:szCs w:val="18"/>
              </w:rPr>
              <w:t>评级</w:t>
            </w:r>
            <w:r>
              <w:rPr>
                <w:rFonts w:hint="eastAsia" w:ascii="黑体" w:hAnsi="黑体" w:eastAsia="黑体"/>
                <w:sz w:val="18"/>
                <w:szCs w:val="18"/>
              </w:rPr>
              <w:t>以</w:t>
            </w:r>
            <w:r>
              <w:rPr>
                <w:rFonts w:ascii="黑体" w:hAnsi="黑体" w:eastAsia="黑体"/>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704" w:type="dxa"/>
            <w:shd w:val="solid" w:color="FFFFFF" w:fill="FFFFFF"/>
            <w:vAlign w:val="bottom"/>
          </w:tcPr>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本产品</w:t>
            </w:r>
            <w:r>
              <w:rPr>
                <w:rFonts w:asciiTheme="majorEastAsia" w:hAnsiTheme="majorEastAsia" w:eastAsiaTheme="majorEastAsia"/>
                <w:bCs/>
                <w:color w:val="000000" w:themeColor="text1"/>
                <w:sz w:val="18"/>
                <w:szCs w:val="18"/>
              </w:rPr>
              <w:t>适合以下类型投资者：</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rPr>
              <w:t>□机构投资者：□一般</w:t>
            </w:r>
            <w:r>
              <w:rPr>
                <w:rFonts w:asciiTheme="majorEastAsia" w:hAnsiTheme="majorEastAsia" w:eastAsiaTheme="majorEastAsia"/>
                <w:bCs/>
                <w:color w:val="000000" w:themeColor="text1"/>
                <w:sz w:val="18"/>
                <w:szCs w:val="18"/>
              </w:rPr>
              <w:t>机构</w:t>
            </w:r>
            <w:r>
              <w:rPr>
                <w:rFonts w:hint="eastAsia" w:asciiTheme="majorEastAsia" w:hAnsiTheme="majorEastAsia" w:eastAsiaTheme="majorEastAsia"/>
                <w:bCs/>
                <w:color w:val="000000" w:themeColor="text1"/>
                <w:sz w:val="18"/>
                <w:szCs w:val="18"/>
              </w:rPr>
              <w:t xml:space="preserve">客户 </w:t>
            </w:r>
            <w:r>
              <w:rPr>
                <w:rFonts w:asciiTheme="majorEastAsia" w:hAnsiTheme="majorEastAsia" w:eastAsiaTheme="majorEastAsia"/>
                <w:bCs/>
                <w:color w:val="000000" w:themeColor="text1"/>
                <w:sz w:val="18"/>
                <w:szCs w:val="18"/>
              </w:rPr>
              <w:t xml:space="preserve">  </w:t>
            </w:r>
            <w:r>
              <w:rPr>
                <w:rFonts w:hint="eastAsia" w:asciiTheme="majorEastAsia" w:hAnsiTheme="majorEastAsia" w:eastAsiaTheme="majorEastAsia"/>
                <w:bCs/>
                <w:color w:val="000000" w:themeColor="text1"/>
                <w:sz w:val="18"/>
                <w:szCs w:val="18"/>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Cs/>
                <w:color w:val="000000" w:themeColor="text1"/>
                <w:sz w:val="18"/>
                <w:szCs w:val="18"/>
              </w:rPr>
            </w:pPr>
            <w:r>
              <w:rPr>
                <w:rFonts w:hint="eastAsia" w:ascii="黑体" w:hAnsi="黑体" w:eastAsia="黑体"/>
                <w:bCs/>
                <w:sz w:val="18"/>
                <w:szCs w:val="18"/>
              </w:rPr>
              <w:t>特别提示：当销售机构销售产品风险评级为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规模为【30】亿元，最小成立规模为【/】亿元。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cs="仿宋_GB2312" w:asciiTheme="majorEastAsia" w:hAnsiTheme="majorEastAsia" w:eastAsiaTheme="majorEastAsia"/>
                <w:kern w:val="0"/>
                <w:sz w:val="18"/>
                <w:szCs w:val="18"/>
              </w:rPr>
              <w:t>无固定期限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：【2018】年【12】月【18】日11:00至【2018】年【12】月【24】日15:45</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.认购期</w:t>
            </w:r>
            <w:r>
              <w:rPr>
                <w:rFonts w:asciiTheme="minorEastAsia" w:hAnsiTheme="minorEastAsia"/>
                <w:bCs/>
                <w:sz w:val="18"/>
                <w:szCs w:val="18"/>
              </w:rPr>
              <w:t>/</w:t>
            </w:r>
            <w:r>
              <w:rPr>
                <w:rFonts w:hint="eastAsia" w:ascii="宋体" w:hAnsi="宋体"/>
                <w:bCs/>
                <w:sz w:val="18"/>
                <w:szCs w:val="18"/>
              </w:rPr>
              <w:t>募集期内资金按照活期存款利息计息，认购期/募集期内的利息不计入认购资金</w:t>
            </w:r>
            <w:r>
              <w:rPr>
                <w:rFonts w:hint="eastAsia" w:ascii="宋体" w:hAnsi="宋体"/>
                <w:sz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【2018</w:t>
            </w:r>
            <w:r>
              <w:rPr>
                <w:rFonts w:cs="Times New Roman" w:asciiTheme="minorEastAsia" w:hAnsiTheme="minorEastAsia"/>
                <w:sz w:val="18"/>
                <w:szCs w:val="18"/>
              </w:rPr>
              <w:t>】年【</w:t>
            </w:r>
            <w:r>
              <w:rPr>
                <w:rFonts w:hint="eastAsia" w:cs="Times New Roman" w:asciiTheme="minorEastAsia" w:hAnsiTheme="minorEastAsia"/>
                <w:sz w:val="18"/>
                <w:szCs w:val="18"/>
              </w:rPr>
              <w:t>1</w:t>
            </w:r>
            <w:r>
              <w:rPr>
                <w:rFonts w:cs="Times New Roman" w:asciiTheme="minorEastAsia" w:hAnsiTheme="minorEastAsia"/>
                <w:sz w:val="18"/>
                <w:szCs w:val="18"/>
              </w:rPr>
              <w:t>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25</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投资</w:t>
            </w:r>
            <w:r>
              <w:rPr>
                <w:rFonts w:asciiTheme="majorEastAsia" w:hAnsiTheme="majorEastAsia" w:eastAsiaTheme="majorEastAsia"/>
                <w:b/>
                <w:sz w:val="18"/>
                <w:szCs w:val="18"/>
              </w:rPr>
              <w:t>周期</w:t>
            </w:r>
          </w:p>
        </w:tc>
        <w:tc>
          <w:tcPr>
            <w:tcW w:w="7704" w:type="dxa"/>
            <w:shd w:val="solid" w:color="FFFFFF" w:fill="FFFFFF"/>
            <w:vAlign w:val="center"/>
          </w:tcPr>
          <w:p>
            <w:pPr>
              <w:spacing w:line="360" w:lineRule="auto"/>
              <w:rPr>
                <w:rFonts w:asciiTheme="majorEastAsia" w:hAnsiTheme="majorEastAsia" w:eastAsiaTheme="majorEastAsia"/>
                <w:bCs/>
                <w:color w:val="000000" w:themeColor="text1"/>
                <w:sz w:val="18"/>
                <w:szCs w:val="18"/>
              </w:rPr>
            </w:pPr>
            <w:r>
              <w:rPr>
                <w:rFonts w:asciiTheme="minorEastAsia" w:hAnsiTheme="minorEastAsia" w:eastAsiaTheme="minorEastAsia"/>
                <w:bCs/>
                <w:color w:val="000000" w:themeColor="text1"/>
                <w:sz w:val="18"/>
                <w:szCs w:val="18"/>
              </w:rPr>
              <w:t>1</w:t>
            </w:r>
            <w:r>
              <w:rPr>
                <w:rFonts w:asciiTheme="majorEastAsia" w:hAnsiTheme="majorEastAsia" w:eastAsiaTheme="majorEastAsia"/>
                <w:bCs/>
                <w:color w:val="000000" w:themeColor="text1"/>
                <w:sz w:val="18"/>
                <w:szCs w:val="18"/>
              </w:rPr>
              <w:t>.投资周期的设置</w:t>
            </w:r>
          </w:p>
          <w:p>
            <w:pPr>
              <w:spacing w:line="360" w:lineRule="auto"/>
              <w:rPr>
                <w:rFonts w:asciiTheme="minorEastAsia" w:hAnsiTheme="minorEastAsia" w:eastAsiaTheme="minorEastAsia"/>
                <w:bCs/>
                <w:color w:val="000000" w:themeColor="text1"/>
                <w:sz w:val="18"/>
                <w:szCs w:val="18"/>
              </w:rPr>
            </w:pPr>
            <w:r>
              <w:rPr>
                <w:rFonts w:hint="eastAsia" w:asciiTheme="majorEastAsia" w:hAnsiTheme="majorEastAsia" w:eastAsiaTheme="majorEastAsia"/>
                <w:bCs/>
                <w:color w:val="000000" w:themeColor="text1"/>
                <w:sz w:val="18"/>
                <w:szCs w:val="18"/>
              </w:rPr>
              <w:t>（</w:t>
            </w:r>
            <w:r>
              <w:rPr>
                <w:rFonts w:asciiTheme="majorEastAsia" w:hAnsiTheme="majorEastAsia" w:eastAsiaTheme="majorEastAsia"/>
                <w:bCs/>
                <w:color w:val="000000" w:themeColor="text1"/>
                <w:sz w:val="18"/>
                <w:szCs w:val="18"/>
              </w:rPr>
              <w:t>1）</w:t>
            </w:r>
            <w:r>
              <w:rPr>
                <w:rFonts w:hint="eastAsia" w:asciiTheme="majorEastAsia" w:hAnsiTheme="majorEastAsia" w:eastAsiaTheme="majorEastAsia"/>
                <w:bCs/>
                <w:color w:val="000000" w:themeColor="text1"/>
                <w:sz w:val="18"/>
                <w:szCs w:val="18"/>
              </w:rPr>
              <w:t>投资周期指</w:t>
            </w:r>
            <w:r>
              <w:rPr>
                <w:rFonts w:hint="eastAsia" w:asciiTheme="minorEastAsia" w:hAnsiTheme="minorEastAsia" w:eastAsiaTheme="minorEastAsia"/>
                <w:bCs/>
                <w:color w:val="000000" w:themeColor="text1"/>
                <w:sz w:val="18"/>
                <w:szCs w:val="18"/>
              </w:rPr>
              <w:t>投资者</w:t>
            </w:r>
            <w:r>
              <w:rPr>
                <w:rFonts w:asciiTheme="minorEastAsia" w:hAnsiTheme="minorEastAsia" w:eastAsiaTheme="minorEastAsia"/>
                <w:bCs/>
                <w:color w:val="000000" w:themeColor="text1"/>
                <w:sz w:val="18"/>
                <w:szCs w:val="18"/>
              </w:rPr>
              <w:t>持有理财产品份额</w:t>
            </w:r>
            <w:r>
              <w:rPr>
                <w:rFonts w:hint="eastAsia" w:asciiTheme="minorEastAsia" w:hAnsiTheme="minorEastAsia" w:eastAsiaTheme="minorEastAsia"/>
                <w:bCs/>
                <w:color w:val="000000" w:themeColor="text1"/>
                <w:sz w:val="18"/>
                <w:szCs w:val="18"/>
              </w:rPr>
              <w:t>所对应的理财资金由产品管理人进行投资运作的一段完整期间。</w:t>
            </w:r>
          </w:p>
          <w:p>
            <w:pPr>
              <w:spacing w:line="360" w:lineRule="auto"/>
              <w:rPr>
                <w:rFonts w:cs="仿宋_GB2312" w:asciiTheme="majorEastAsia" w:hAnsiTheme="majorEastAsia" w:eastAsiaTheme="majorEastAsia"/>
                <w:color w:val="000000" w:themeColor="text1"/>
                <w:kern w:val="0"/>
                <w:sz w:val="18"/>
                <w:szCs w:val="18"/>
              </w:rPr>
            </w:pPr>
            <w:r>
              <w:rPr>
                <w:rFonts w:hint="eastAsia" w:asciiTheme="majorEastAsia" w:hAnsiTheme="majorEastAsia" w:eastAsiaTheme="majorEastAsia"/>
                <w:bCs/>
                <w:color w:val="000000" w:themeColor="text1"/>
                <w:sz w:val="18"/>
                <w:szCs w:val="18"/>
              </w:rPr>
              <w:t>（2）每一个投资周期：包含</w:t>
            </w:r>
            <w:r>
              <w:rPr>
                <w:rFonts w:hint="eastAsia" w:cs="仿宋_GB2312" w:asciiTheme="majorEastAsia" w:hAnsiTheme="majorEastAsia" w:eastAsiaTheme="majorEastAsia"/>
                <w:color w:val="000000" w:themeColor="text1"/>
                <w:kern w:val="0"/>
                <w:sz w:val="18"/>
                <w:szCs w:val="18"/>
              </w:rPr>
              <w:t>该</w:t>
            </w:r>
            <w:r>
              <w:rPr>
                <w:rFonts w:hint="eastAsia" w:asciiTheme="majorEastAsia" w:hAnsiTheme="majorEastAsia" w:eastAsiaTheme="majorEastAsia"/>
                <w:bCs/>
                <w:color w:val="000000" w:themeColor="text1"/>
                <w:sz w:val="18"/>
                <w:szCs w:val="18"/>
              </w:rPr>
              <w:t>投资者对应产品份额的认购确认日</w:t>
            </w:r>
            <w:r>
              <w:rPr>
                <w:rFonts w:asciiTheme="majorEastAsia" w:hAnsiTheme="majorEastAsia" w:eastAsiaTheme="majorEastAsia"/>
                <w:bCs/>
                <w:color w:val="000000" w:themeColor="text1"/>
                <w:sz w:val="18"/>
                <w:szCs w:val="18"/>
              </w:rPr>
              <w:t>/申购确认日</w:t>
            </w:r>
            <w:r>
              <w:rPr>
                <w:rFonts w:hint="eastAsia" w:cs="仿宋_GB2312" w:asciiTheme="majorEastAsia" w:hAnsiTheme="majorEastAsia" w:eastAsiaTheme="majorEastAsia"/>
                <w:color w:val="000000" w:themeColor="text1"/>
                <w:kern w:val="0"/>
                <w:sz w:val="18"/>
                <w:szCs w:val="18"/>
              </w:rPr>
              <w:t>至该投资者对应产品份额的赎回确认日的期间。</w:t>
            </w:r>
          </w:p>
          <w:p>
            <w:pPr>
              <w:spacing w:line="360" w:lineRule="auto"/>
              <w:rPr>
                <w:rFonts w:asciiTheme="majorEastAsia" w:hAnsiTheme="majorEastAsia" w:eastAsiaTheme="majorEastAsia"/>
                <w:bCs/>
                <w:color w:val="000000" w:themeColor="text1"/>
                <w:sz w:val="18"/>
                <w:szCs w:val="18"/>
              </w:rPr>
            </w:pPr>
            <w:r>
              <w:rPr>
                <w:rFonts w:hint="eastAsia" w:asciiTheme="minorEastAsia" w:hAnsiTheme="minorEastAsia" w:eastAsiaTheme="minorEastAsia"/>
                <w:bCs/>
                <w:color w:val="000000" w:themeColor="text1"/>
                <w:sz w:val="18"/>
                <w:szCs w:val="18"/>
              </w:rPr>
              <w:t>（3</w:t>
            </w:r>
            <w:r>
              <w:rPr>
                <w:rFonts w:asciiTheme="minorEastAsia" w:hAnsiTheme="minorEastAsia" w:eastAsiaTheme="minorEastAsia"/>
                <w:bCs/>
                <w:color w:val="000000" w:themeColor="text1"/>
                <w:sz w:val="18"/>
                <w:szCs w:val="18"/>
              </w:rPr>
              <w:t>）</w:t>
            </w:r>
            <w:r>
              <w:rPr>
                <w:rFonts w:hint="eastAsia" w:asciiTheme="majorEastAsia" w:hAnsiTheme="majorEastAsia" w:eastAsiaTheme="majorEastAsia"/>
                <w:bCs/>
                <w:color w:val="000000" w:themeColor="text1"/>
                <w:sz w:val="18"/>
                <w:szCs w:val="18"/>
              </w:rPr>
              <w:t>正常情况下，本产品的一个投资周期为【6个月】</w:t>
            </w:r>
            <w:r>
              <w:rPr>
                <w:rFonts w:asciiTheme="majorEastAsia" w:hAnsiTheme="majorEastAsia" w:eastAsiaTheme="majorEastAsia"/>
                <w:bCs/>
                <w:color w:val="000000" w:themeColor="text1"/>
                <w:sz w:val="18"/>
                <w:szCs w:val="18"/>
              </w:rPr>
              <w:t>，</w:t>
            </w:r>
            <w:r>
              <w:rPr>
                <w:rFonts w:hint="eastAsia" w:asciiTheme="majorEastAsia" w:hAnsiTheme="majorEastAsia" w:eastAsiaTheme="majorEastAsia"/>
                <w:bCs/>
                <w:color w:val="000000" w:themeColor="text1"/>
                <w:sz w:val="18"/>
                <w:szCs w:val="18"/>
              </w:rPr>
              <w:t>投资周期存在长于或短于【6个月】的可能，投资者具体投资周期以本产品说明书“申购</w:t>
            </w:r>
            <w:r>
              <w:rPr>
                <w:rFonts w:asciiTheme="majorEastAsia" w:hAnsiTheme="majorEastAsia" w:eastAsiaTheme="majorEastAsia"/>
                <w:bCs/>
                <w:color w:val="000000" w:themeColor="text1"/>
                <w:sz w:val="18"/>
                <w:szCs w:val="18"/>
              </w:rPr>
              <w:t>/赎回安排</w:t>
            </w:r>
            <w:r>
              <w:rPr>
                <w:rFonts w:hint="eastAsia" w:asciiTheme="majorEastAsia" w:hAnsiTheme="majorEastAsia" w:eastAsiaTheme="majorEastAsia"/>
                <w:bCs/>
                <w:color w:val="000000" w:themeColor="text1"/>
                <w:sz w:val="18"/>
                <w:szCs w:val="18"/>
              </w:rPr>
              <w:t>”所载明的天数为准。投资周期终止日如遇非工作日则产品管理人做相应调整。</w:t>
            </w:r>
          </w:p>
          <w:p>
            <w:pPr>
              <w:spacing w:line="360" w:lineRule="auto"/>
              <w:rPr>
                <w:rFonts w:asciiTheme="majorEastAsia" w:hAnsiTheme="majorEastAsia" w:eastAsiaTheme="majorEastAsia"/>
                <w:bCs/>
                <w:color w:val="000000" w:themeColor="text1"/>
                <w:sz w:val="18"/>
                <w:szCs w:val="18"/>
              </w:rPr>
            </w:pPr>
            <w:r>
              <w:rPr>
                <w:rFonts w:asciiTheme="majorEastAsia" w:hAnsiTheme="majorEastAsia" w:eastAsiaTheme="majorEastAsia"/>
                <w:bCs/>
                <w:color w:val="000000" w:themeColor="text1"/>
                <w:sz w:val="18"/>
                <w:szCs w:val="18"/>
              </w:rPr>
              <w:t>2.投资周期的参与</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w:t>
            </w:r>
            <w:r>
              <w:rPr>
                <w:rFonts w:asciiTheme="majorEastAsia" w:hAnsiTheme="majorEastAsia" w:eastAsiaTheme="majorEastAsia"/>
                <w:bCs/>
                <w:color w:val="000000" w:themeColor="text1"/>
                <w:sz w:val="18"/>
                <w:szCs w:val="18"/>
              </w:rPr>
              <w:t>1）本产品成立前，投资者可通过认购方式参与本产品的第一个投资周期。</w:t>
            </w:r>
          </w:p>
          <w:p>
            <w:pPr>
              <w:spacing w:line="360" w:lineRule="auto"/>
              <w:rPr>
                <w:rFonts w:asciiTheme="minorEastAsia" w:hAnsiTheme="minorEastAsia" w:eastAsiaTheme="minorEastAsia"/>
                <w:bCs/>
                <w:color w:val="000000" w:themeColor="text1"/>
                <w:sz w:val="18"/>
                <w:szCs w:val="18"/>
              </w:rPr>
            </w:pPr>
            <w:r>
              <w:rPr>
                <w:rFonts w:hint="eastAsia" w:cs="仿宋_GB2312" w:asciiTheme="majorEastAsia" w:hAnsiTheme="majorEastAsia" w:eastAsiaTheme="majorEastAsia"/>
                <w:color w:val="000000" w:themeColor="text1"/>
                <w:kern w:val="0"/>
                <w:sz w:val="18"/>
                <w:szCs w:val="18"/>
              </w:rPr>
              <w:t>（</w:t>
            </w:r>
            <w:r>
              <w:rPr>
                <w:rFonts w:cs="仿宋_GB2312" w:asciiTheme="majorEastAsia" w:hAnsiTheme="majorEastAsia" w:eastAsiaTheme="majorEastAsia"/>
                <w:color w:val="000000" w:themeColor="text1"/>
                <w:kern w:val="0"/>
                <w:sz w:val="18"/>
                <w:szCs w:val="18"/>
              </w:rPr>
              <w:t>2）本产品成立后，投资者可通过预约申购方式参与本产品的不同投资周期。</w:t>
            </w:r>
            <w:r>
              <w:rPr>
                <w:rFonts w:hint="eastAsia" w:cs="仿宋_GB2312" w:asciiTheme="majorEastAsia" w:hAnsiTheme="majorEastAsia" w:eastAsiaTheme="majorEastAsia"/>
                <w:color w:val="000000" w:themeColor="text1"/>
                <w:kern w:val="0"/>
                <w:sz w:val="18"/>
                <w:szCs w:val="18"/>
              </w:rPr>
              <w:t>本产品</w:t>
            </w:r>
            <w:r>
              <w:rPr>
                <w:rFonts w:cs="仿宋_GB2312" w:asciiTheme="majorEastAsia" w:hAnsiTheme="majorEastAsia" w:eastAsiaTheme="majorEastAsia"/>
                <w:color w:val="000000" w:themeColor="text1"/>
                <w:kern w:val="0"/>
                <w:sz w:val="18"/>
                <w:szCs w:val="18"/>
              </w:rPr>
              <w:t>成立后管理人可根据募集情况设置预约申购期</w:t>
            </w:r>
            <w:r>
              <w:rPr>
                <w:rFonts w:hint="eastAsia" w:cs="仿宋_GB2312" w:asciiTheme="majorEastAsia" w:hAnsiTheme="majorEastAsia" w:eastAsiaTheme="majorEastAsia"/>
                <w:color w:val="000000" w:themeColor="text1"/>
                <w:kern w:val="0"/>
                <w:sz w:val="18"/>
                <w:szCs w:val="18"/>
              </w:rPr>
              <w:t>。</w:t>
            </w:r>
            <w:r>
              <w:rPr>
                <w:rFonts w:cs="仿宋_GB2312" w:asciiTheme="majorEastAsia" w:hAnsiTheme="majorEastAsia" w:eastAsiaTheme="majorEastAsia"/>
                <w:color w:val="000000" w:themeColor="text1"/>
                <w:kern w:val="0"/>
                <w:sz w:val="18"/>
                <w:szCs w:val="18"/>
              </w:rPr>
              <w:t>在理财产品运作一个完整的投资周期</w:t>
            </w:r>
            <w:r>
              <w:rPr>
                <w:rFonts w:hint="eastAsia" w:cs="仿宋_GB2312" w:asciiTheme="majorEastAsia" w:hAnsiTheme="majorEastAsia" w:eastAsiaTheme="majorEastAsia"/>
                <w:color w:val="000000" w:themeColor="text1"/>
                <w:kern w:val="0"/>
                <w:sz w:val="18"/>
                <w:szCs w:val="18"/>
              </w:rPr>
              <w:t>结束前后，</w:t>
            </w:r>
            <w:r>
              <w:rPr>
                <w:rFonts w:cs="仿宋_GB2312" w:asciiTheme="majorEastAsia" w:hAnsiTheme="majorEastAsia" w:eastAsiaTheme="majorEastAsia"/>
                <w:color w:val="000000" w:themeColor="text1"/>
                <w:kern w:val="0"/>
                <w:sz w:val="18"/>
                <w:szCs w:val="18"/>
              </w:rPr>
              <w:t>管理人可设置预约申购期</w:t>
            </w:r>
            <w:r>
              <w:rPr>
                <w:rFonts w:hint="eastAsia" w:cs="仿宋_GB2312" w:asciiTheme="majorEastAsia" w:hAnsiTheme="majorEastAsia" w:eastAsiaTheme="majorEastAsia"/>
                <w:color w:val="000000" w:themeColor="text1"/>
                <w:kern w:val="0"/>
                <w:sz w:val="18"/>
                <w:szCs w:val="18"/>
              </w:rPr>
              <w:t>。</w:t>
            </w:r>
            <w:r>
              <w:rPr>
                <w:rFonts w:hint="eastAsia" w:ascii="宋体" w:hAnsi="宋体" w:cs="仿宋_GB2312"/>
                <w:kern w:val="0"/>
                <w:sz w:val="18"/>
                <w:szCs w:val="18"/>
              </w:rPr>
              <w:t>投资者可在预约申购期内提交预约申购申请</w:t>
            </w:r>
            <w:r>
              <w:rPr>
                <w:rFonts w:hint="eastAsia" w:asciiTheme="minorEastAsia" w:hAnsiTheme="minorEastAsia" w:eastAsiaTheme="minorEastAsia"/>
                <w:bCs/>
                <w:sz w:val="18"/>
                <w:szCs w:val="18"/>
              </w:rPr>
              <w:t>。</w:t>
            </w:r>
          </w:p>
          <w:p>
            <w:pPr>
              <w:spacing w:line="360" w:lineRule="auto"/>
              <w:rPr>
                <w:rFonts w:asciiTheme="minorEastAsia" w:hAnsiTheme="minorEastAsia" w:eastAsiaTheme="minorEastAsia"/>
                <w:bCs/>
                <w:color w:val="000000" w:themeColor="text1"/>
                <w:sz w:val="18"/>
                <w:szCs w:val="18"/>
              </w:rPr>
            </w:pPr>
            <w:r>
              <w:rPr>
                <w:rFonts w:hint="eastAsia" w:asciiTheme="minorEastAsia" w:hAnsiTheme="minorEastAsia" w:eastAsiaTheme="minorEastAsia"/>
                <w:bCs/>
                <w:color w:val="000000" w:themeColor="text1"/>
                <w:sz w:val="18"/>
                <w:szCs w:val="18"/>
              </w:rPr>
              <w:t>3.投资周期的退出</w:t>
            </w:r>
          </w:p>
          <w:p>
            <w:pPr>
              <w:spacing w:line="360" w:lineRule="auto"/>
              <w:rPr>
                <w:rFonts w:asciiTheme="minorEastAsia" w:hAnsiTheme="minorEastAsia" w:eastAsiaTheme="minorEastAsia"/>
                <w:bCs/>
                <w:color w:val="000000" w:themeColor="text1"/>
                <w:sz w:val="18"/>
                <w:szCs w:val="18"/>
              </w:rPr>
            </w:pPr>
            <w:r>
              <w:rPr>
                <w:rFonts w:hint="eastAsia" w:asciiTheme="minorEastAsia" w:hAnsiTheme="minorEastAsia" w:eastAsiaTheme="minorEastAsia"/>
                <w:bCs/>
                <w:color w:val="000000" w:themeColor="text1"/>
                <w:sz w:val="18"/>
                <w:szCs w:val="18"/>
              </w:rPr>
              <w:t>（1）本产品成立后，投资者可通过预约赎回方式退出本产品的投资周期。在</w:t>
            </w:r>
            <w:r>
              <w:rPr>
                <w:rFonts w:asciiTheme="minorEastAsia" w:hAnsiTheme="minorEastAsia" w:eastAsiaTheme="minorEastAsia"/>
                <w:bCs/>
                <w:color w:val="000000" w:themeColor="text1"/>
                <w:sz w:val="18"/>
                <w:szCs w:val="18"/>
              </w:rPr>
              <w:t>投资者持有的理财产品份额</w:t>
            </w:r>
            <w:r>
              <w:rPr>
                <w:rFonts w:hint="eastAsia" w:asciiTheme="minorEastAsia" w:hAnsiTheme="minorEastAsia" w:eastAsiaTheme="minorEastAsia"/>
                <w:bCs/>
                <w:color w:val="000000" w:themeColor="text1"/>
                <w:sz w:val="18"/>
                <w:szCs w:val="18"/>
              </w:rPr>
              <w:t>在运作一个完整的投资周期结束前，投资者可在预约赎回期内</w:t>
            </w:r>
            <w:r>
              <w:rPr>
                <w:rFonts w:asciiTheme="minorEastAsia" w:hAnsiTheme="minorEastAsia" w:eastAsiaTheme="minorEastAsia"/>
                <w:bCs/>
                <w:color w:val="000000" w:themeColor="text1"/>
                <w:sz w:val="18"/>
                <w:szCs w:val="18"/>
              </w:rPr>
              <w:t>提出预约</w:t>
            </w:r>
            <w:r>
              <w:rPr>
                <w:rFonts w:hint="eastAsia" w:asciiTheme="minorEastAsia" w:hAnsiTheme="minorEastAsia" w:eastAsiaTheme="minorEastAsia"/>
                <w:bCs/>
                <w:color w:val="000000" w:themeColor="text1"/>
                <w:sz w:val="18"/>
                <w:szCs w:val="18"/>
              </w:rPr>
              <w:t>赎回申请，如未赎回将进入下一个投资周期继续运作。</w:t>
            </w:r>
          </w:p>
          <w:p>
            <w:pPr>
              <w:spacing w:line="360" w:lineRule="auto"/>
              <w:rPr>
                <w:rFonts w:asciiTheme="minorEastAsia" w:hAnsiTheme="minorEastAsia" w:eastAsiaTheme="minorEastAsia"/>
                <w:bCs/>
                <w:color w:val="000000" w:themeColor="text1"/>
                <w:sz w:val="18"/>
                <w:szCs w:val="18"/>
              </w:rPr>
            </w:pPr>
            <w:r>
              <w:rPr>
                <w:rFonts w:hint="eastAsia" w:asciiTheme="minorEastAsia" w:hAnsiTheme="minorEastAsia" w:eastAsiaTheme="minorEastAsia"/>
                <w:bCs/>
                <w:color w:val="000000" w:themeColor="text1"/>
                <w:sz w:val="18"/>
                <w:szCs w:val="18"/>
              </w:rPr>
              <w:t>（2）在</w:t>
            </w:r>
            <w:r>
              <w:rPr>
                <w:rFonts w:asciiTheme="minorEastAsia" w:hAnsiTheme="minorEastAsia" w:eastAsiaTheme="minorEastAsia"/>
                <w:bCs/>
                <w:color w:val="000000" w:themeColor="text1"/>
                <w:sz w:val="18"/>
                <w:szCs w:val="18"/>
              </w:rPr>
              <w:t>投资者持有的理财产品份额</w:t>
            </w:r>
            <w:r>
              <w:rPr>
                <w:rFonts w:hint="eastAsia" w:asciiTheme="minorEastAsia" w:hAnsiTheme="minorEastAsia" w:eastAsiaTheme="minorEastAsia"/>
                <w:bCs/>
                <w:color w:val="000000" w:themeColor="text1"/>
                <w:sz w:val="18"/>
                <w:szCs w:val="18"/>
              </w:rPr>
              <w:t>在运作一个完整的投资周期后，投资者</w:t>
            </w:r>
            <w:r>
              <w:rPr>
                <w:rFonts w:asciiTheme="minorEastAsia" w:hAnsiTheme="minorEastAsia" w:eastAsiaTheme="minorEastAsia"/>
                <w:bCs/>
                <w:color w:val="000000" w:themeColor="text1"/>
                <w:sz w:val="18"/>
                <w:szCs w:val="18"/>
              </w:rPr>
              <w:t>也可以继续</w:t>
            </w:r>
            <w:r>
              <w:rPr>
                <w:rFonts w:hint="eastAsia" w:asciiTheme="minorEastAsia" w:hAnsiTheme="minorEastAsia" w:eastAsiaTheme="minorEastAsia"/>
                <w:bCs/>
                <w:color w:val="000000" w:themeColor="text1"/>
                <w:sz w:val="18"/>
                <w:szCs w:val="18"/>
              </w:rPr>
              <w:t>持有理财产品份额进入</w:t>
            </w:r>
            <w:r>
              <w:rPr>
                <w:rFonts w:asciiTheme="minorEastAsia" w:hAnsiTheme="minorEastAsia" w:eastAsiaTheme="minorEastAsia"/>
                <w:bCs/>
                <w:color w:val="000000" w:themeColor="text1"/>
                <w:sz w:val="18"/>
                <w:szCs w:val="18"/>
              </w:rPr>
              <w:t>下一个投资周期</w:t>
            </w:r>
            <w:r>
              <w:rPr>
                <w:rFonts w:hint="eastAsia" w:asciiTheme="minorEastAsia" w:hAnsiTheme="minorEastAsia" w:eastAsiaTheme="minorEastAsia"/>
                <w:bCs/>
                <w:color w:val="000000" w:themeColor="text1"/>
                <w:sz w:val="18"/>
                <w:szCs w:val="18"/>
              </w:rPr>
              <w:t>。</w:t>
            </w:r>
          </w:p>
          <w:p>
            <w:pPr>
              <w:spacing w:line="360" w:lineRule="auto"/>
              <w:rPr>
                <w:rFonts w:asciiTheme="minorEastAsia" w:hAnsiTheme="minorEastAsia" w:eastAsiaTheme="minorEastAsia"/>
                <w:bCs/>
                <w:color w:val="000000" w:themeColor="text1"/>
                <w:sz w:val="18"/>
                <w:szCs w:val="18"/>
              </w:rPr>
            </w:pPr>
            <w:r>
              <w:rPr>
                <w:rFonts w:hint="eastAsia" w:asciiTheme="minorEastAsia" w:hAnsiTheme="minorEastAsia" w:eastAsiaTheme="minorEastAsia"/>
                <w:bCs/>
                <w:color w:val="000000" w:themeColor="text1"/>
                <w:sz w:val="18"/>
                <w:szCs w:val="18"/>
              </w:rPr>
              <w:t>（3）</w:t>
            </w:r>
            <w:r>
              <w:rPr>
                <w:rFonts w:hint="eastAsia" w:asciiTheme="majorEastAsia" w:hAnsiTheme="majorEastAsia" w:eastAsiaTheme="majorEastAsia"/>
                <w:bCs/>
                <w:sz w:val="18"/>
                <w:szCs w:val="18"/>
              </w:rPr>
              <w:t>如果投资者在本产品提前终止时仍有未赎回的份额，则产品管理人将于提前终止日将未赎回的产品</w:t>
            </w:r>
            <w:r>
              <w:rPr>
                <w:rFonts w:asciiTheme="majorEastAsia" w:hAnsiTheme="majorEastAsia" w:eastAsiaTheme="majorEastAsia"/>
                <w:bCs/>
                <w:sz w:val="18"/>
                <w:szCs w:val="18"/>
              </w:rPr>
              <w:t>份额</w:t>
            </w:r>
            <w:r>
              <w:rPr>
                <w:rFonts w:hint="eastAsia" w:asciiTheme="majorEastAsia" w:hAnsiTheme="majorEastAsia" w:eastAsiaTheme="majorEastAsia"/>
                <w:bCs/>
                <w:sz w:val="18"/>
                <w:szCs w:val="18"/>
              </w:rPr>
              <w:t>自动进行清算，于提前终止日分配理财资金，本产品终止。</w:t>
            </w:r>
          </w:p>
          <w:p>
            <w:pPr>
              <w:spacing w:line="360" w:lineRule="auto"/>
              <w:rPr>
                <w:rFonts w:ascii="黑体" w:hAnsi="黑体" w:eastAsia="黑体"/>
                <w:color w:val="000000" w:themeColor="text1"/>
                <w:sz w:val="18"/>
                <w:szCs w:val="18"/>
              </w:rPr>
            </w:pPr>
            <w:r>
              <w:rPr>
                <w:rFonts w:hint="eastAsia" w:ascii="黑体" w:hAnsi="黑体" w:eastAsia="黑体"/>
                <w:color w:val="000000" w:themeColor="text1"/>
                <w:sz w:val="18"/>
                <w:szCs w:val="18"/>
              </w:rPr>
              <w:t>4</w:t>
            </w:r>
            <w:r>
              <w:rPr>
                <w:rFonts w:ascii="黑体" w:hAnsi="黑体" w:eastAsia="黑体"/>
                <w:color w:val="000000" w:themeColor="text1"/>
                <w:sz w:val="18"/>
                <w:szCs w:val="18"/>
              </w:rPr>
              <w:t>.</w:t>
            </w:r>
            <w:r>
              <w:rPr>
                <w:rFonts w:hint="eastAsia" w:ascii="黑体" w:hAnsi="黑体" w:eastAsia="黑体"/>
                <w:color w:val="000000" w:themeColor="text1"/>
                <w:sz w:val="18"/>
                <w:szCs w:val="18"/>
              </w:rPr>
              <w:t>投资周期的调整</w:t>
            </w:r>
          </w:p>
          <w:p>
            <w:pPr>
              <w:spacing w:line="360" w:lineRule="auto"/>
              <w:rPr>
                <w:rFonts w:cs="Times New Roman" w:asciiTheme="minorEastAsia" w:hAnsiTheme="minorEastAsia"/>
                <w:sz w:val="18"/>
                <w:szCs w:val="18"/>
              </w:rPr>
            </w:pPr>
            <w:r>
              <w:rPr>
                <w:rFonts w:hint="eastAsia" w:ascii="黑体" w:hAnsi="黑体" w:eastAsia="黑体"/>
                <w:color w:val="000000" w:themeColor="text1"/>
                <w:sz w:val="18"/>
                <w:szCs w:val="18"/>
              </w:rPr>
              <w:t>产品管理人有权调整投资周期，调整后的投资周期以产品管理人发布的公告中所载明的日期为准。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宋体" w:hAnsi="宋体"/>
                <w:b/>
                <w:bCs/>
                <w:kern w:val="0"/>
                <w:sz w:val="18"/>
                <w:szCs w:val="18"/>
              </w:rPr>
              <w:t>申购/赎回安排</w:t>
            </w:r>
          </w:p>
        </w:tc>
        <w:tc>
          <w:tcPr>
            <w:tcW w:w="7704" w:type="dxa"/>
            <w:shd w:val="solid" w:color="FFFFFF" w:fill="FFFFFF"/>
          </w:tcPr>
          <w:p>
            <w:pPr>
              <w:spacing w:line="360" w:lineRule="auto"/>
              <w:rPr>
                <w:rFonts w:cs="Times New Roman" w:asciiTheme="minorEastAsia" w:hAnsiTheme="minorEastAsia"/>
                <w:sz w:val="18"/>
                <w:szCs w:val="18"/>
              </w:rPr>
            </w:pPr>
            <w:r>
              <w:rPr>
                <w:rFonts w:hint="eastAsia" w:cs="仿宋_GB2312" w:asciiTheme="majorEastAsia" w:hAnsiTheme="majorEastAsia" w:eastAsiaTheme="majorEastAsia"/>
                <w:color w:val="000000" w:themeColor="text1"/>
                <w:kern w:val="0"/>
                <w:sz w:val="18"/>
                <w:szCs w:val="18"/>
              </w:rPr>
              <w:t>1.</w:t>
            </w:r>
            <w:r>
              <w:rPr>
                <w:rFonts w:hint="eastAsia" w:cs="Times New Roman" w:asciiTheme="minorEastAsia" w:hAnsiTheme="minorEastAsia"/>
                <w:sz w:val="18"/>
                <w:szCs w:val="18"/>
              </w:rPr>
              <w:t>本产品成立后，开放多个预约申购/赎回期。</w:t>
            </w:r>
          </w:p>
          <w:p>
            <w:pPr>
              <w:spacing w:line="360" w:lineRule="auto"/>
              <w:rPr>
                <w:rFonts w:asciiTheme="majorEastAsia" w:hAnsiTheme="majorEastAsia" w:eastAsiaTheme="majorEastAsia"/>
                <w:bCs/>
                <w:color w:val="000000" w:themeColor="text1"/>
                <w:sz w:val="18"/>
                <w:szCs w:val="18"/>
              </w:rPr>
            </w:pPr>
            <w:r>
              <w:rPr>
                <w:rFonts w:hint="eastAsia" w:cs="Times New Roman" w:asciiTheme="minorEastAsia" w:hAnsiTheme="minorEastAsia"/>
                <w:sz w:val="18"/>
                <w:szCs w:val="18"/>
              </w:rPr>
              <w:t>2</w:t>
            </w:r>
            <w:r>
              <w:rPr>
                <w:rFonts w:cs="Times New Roman" w:asciiTheme="minorEastAsia" w:hAnsiTheme="minorEastAsia"/>
                <w:sz w:val="18"/>
                <w:szCs w:val="18"/>
              </w:rPr>
              <w:t>.</w:t>
            </w:r>
            <w:r>
              <w:rPr>
                <w:rFonts w:hint="eastAsia" w:cs="Times New Roman" w:asciiTheme="minorEastAsia" w:hAnsiTheme="minorEastAsia"/>
                <w:sz w:val="18"/>
                <w:szCs w:val="18"/>
              </w:rPr>
              <w:t>预约申购具体安排如下：</w:t>
            </w:r>
          </w:p>
          <w:p>
            <w:pPr>
              <w:spacing w:line="360" w:lineRule="auto"/>
              <w:rPr>
                <w:rFonts w:hint="eastAsia" w:asciiTheme="majorEastAsia" w:hAnsiTheme="majorEastAsia" w:eastAsiaTheme="majorEastAsia"/>
                <w:bCs/>
                <w:color w:val="000000" w:themeColor="text1"/>
                <w:sz w:val="18"/>
                <w:szCs w:val="18"/>
              </w:rPr>
            </w:pPr>
            <w:r>
              <w:rPr>
                <w:rFonts w:hint="eastAsia" w:cs="Times New Roman" w:asciiTheme="minorEastAsia" w:hAnsiTheme="minorEastAsia"/>
                <w:sz w:val="18"/>
                <w:szCs w:val="18"/>
              </w:rPr>
              <w:t>（1）申购的时间</w:t>
            </w:r>
          </w:p>
          <w:p>
            <w:pPr>
              <w:spacing w:line="360" w:lineRule="auto"/>
              <w:rPr>
                <w:rFonts w:hint="eastAsia"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□预约申购期：【2022】年【06】月【14】日11:00至【2022】年【06】月【20】日15:45；投资周期【182】天；</w:t>
            </w:r>
          </w:p>
          <w:p>
            <w:pPr>
              <w:spacing w:line="360" w:lineRule="auto"/>
              <w:rPr>
                <w:rFonts w:hint="eastAsia" w:asciiTheme="majorEastAsia" w:hAnsiTheme="majorEastAsia" w:eastAsiaTheme="majorEastAsia"/>
                <w:bCs/>
                <w:color w:val="000000" w:themeColor="text1"/>
                <w:sz w:val="18"/>
                <w:szCs w:val="18"/>
                <w:lang w:val="en-US" w:eastAsia="zh-CN"/>
              </w:rPr>
            </w:pPr>
            <w:r>
              <w:rPr>
                <w:rFonts w:hint="eastAsia" w:asciiTheme="majorEastAsia" w:hAnsiTheme="majorEastAsia" w:eastAsiaTheme="majorEastAsia"/>
                <w:bCs/>
                <w:color w:val="000000" w:themeColor="text1"/>
                <w:sz w:val="18"/>
                <w:szCs w:val="18"/>
              </w:rPr>
              <w:t>□预约申购期：【2022】年【06】月【21】日11:00至【2022】年【06】月【27】日15:45；投资周期【175】天</w:t>
            </w:r>
            <w:r>
              <w:rPr>
                <w:rFonts w:hint="eastAsia" w:asciiTheme="majorEastAsia" w:hAnsiTheme="majorEastAsia" w:eastAsiaTheme="majorEastAsia"/>
                <w:bCs/>
                <w:color w:val="000000" w:themeColor="text1"/>
                <w:sz w:val="18"/>
                <w:szCs w:val="18"/>
                <w:lang w:eastAsia="zh-CN"/>
              </w:rPr>
              <w:t>。</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（2）申购的确认</w:t>
            </w:r>
          </w:p>
          <w:tbl>
            <w:tblPr>
              <w:tblStyle w:val="31"/>
              <w:tblW w:w="7190"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559"/>
              <w:gridCol w:w="1559"/>
              <w:gridCol w:w="1843"/>
              <w:gridCol w:w="222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8" w:hRule="atLeast"/>
                <w:jc w:val="center"/>
              </w:trPr>
              <w:tc>
                <w:tcPr>
                  <w:tcW w:w="1559"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预约申购申请日</w:t>
                  </w:r>
                </w:p>
              </w:tc>
              <w:tc>
                <w:tcPr>
                  <w:tcW w:w="1559" w:type="dxa"/>
                  <w:vAlign w:val="center"/>
                </w:tcPr>
                <w:p>
                  <w:pPr>
                    <w:pStyle w:val="34"/>
                    <w:spacing w:line="360" w:lineRule="auto"/>
                    <w:jc w:val="center"/>
                    <w:rPr>
                      <w:rFonts w:cs="Times New Roman" w:asciiTheme="minorEastAsia" w:hAnsiTheme="minorEastAsia"/>
                      <w:b/>
                      <w:bCs/>
                      <w:color w:val="auto"/>
                      <w:sz w:val="18"/>
                      <w:szCs w:val="18"/>
                    </w:rPr>
                  </w:pPr>
                  <w:r>
                    <w:rPr>
                      <w:rFonts w:hint="eastAsia" w:cs="Times New Roman" w:asciiTheme="minorEastAsia" w:hAnsiTheme="minorEastAsia"/>
                      <w:b/>
                      <w:bCs/>
                      <w:color w:val="auto"/>
                      <w:sz w:val="18"/>
                      <w:szCs w:val="18"/>
                    </w:rPr>
                    <w:t>申购日</w:t>
                  </w:r>
                </w:p>
              </w:tc>
              <w:tc>
                <w:tcPr>
                  <w:tcW w:w="1843"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申购确认日</w:t>
                  </w:r>
                </w:p>
              </w:tc>
              <w:tc>
                <w:tcPr>
                  <w:tcW w:w="2229"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申购确认</w:t>
                  </w:r>
                  <w:r>
                    <w:rPr>
                      <w:rFonts w:cs="Times New Roman" w:asciiTheme="minorEastAsia" w:hAnsiTheme="minorEastAsia"/>
                      <w:b/>
                      <w:bCs/>
                      <w:color w:val="auto"/>
                      <w:sz w:val="18"/>
                      <w:szCs w:val="18"/>
                    </w:rPr>
                    <w:t>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7" w:hRule="atLeast"/>
                <w:jc w:val="center"/>
              </w:trPr>
              <w:tc>
                <w:tcPr>
                  <w:tcW w:w="1559" w:type="dxa"/>
                </w:tcPr>
                <w:p>
                  <w:pPr>
                    <w:pStyle w:val="34"/>
                    <w:spacing w:line="360" w:lineRule="auto"/>
                    <w:jc w:val="left"/>
                    <w:rPr>
                      <w:rFonts w:asciiTheme="minorEastAsia" w:hAnsiTheme="minorEastAsia"/>
                      <w:bCs/>
                      <w:color w:val="auto"/>
                      <w:kern w:val="2"/>
                      <w:sz w:val="18"/>
                      <w:szCs w:val="18"/>
                    </w:rPr>
                  </w:pPr>
                  <w:r>
                    <w:rPr>
                      <w:rFonts w:hint="eastAsia" w:cs="Times New Roman" w:asciiTheme="minorEastAsia" w:hAnsiTheme="minorEastAsia" w:eastAsiaTheme="minorEastAsia"/>
                      <w:color w:val="auto"/>
                      <w:sz w:val="18"/>
                      <w:szCs w:val="18"/>
                    </w:rPr>
                    <w:t>为预约申购期内任意一日</w:t>
                  </w:r>
                </w:p>
              </w:tc>
              <w:tc>
                <w:tcPr>
                  <w:tcW w:w="1559" w:type="dxa"/>
                </w:tcPr>
                <w:p>
                  <w:pPr>
                    <w:pStyle w:val="34"/>
                    <w:spacing w:line="360" w:lineRule="auto"/>
                    <w:jc w:val="both"/>
                    <w:rPr>
                      <w:rFonts w:cs="Times New Roman" w:asciiTheme="minorEastAsia" w:hAnsiTheme="minorEastAsia" w:eastAsiaTheme="minorEastAsia"/>
                      <w:bCs/>
                      <w:sz w:val="18"/>
                      <w:szCs w:val="18"/>
                    </w:rPr>
                  </w:pPr>
                  <w:r>
                    <w:rPr>
                      <w:rFonts w:hint="eastAsia" w:cs="Times New Roman" w:asciiTheme="minorEastAsia" w:hAnsiTheme="minorEastAsia" w:eastAsiaTheme="minorEastAsia"/>
                      <w:color w:val="auto"/>
                      <w:sz w:val="18"/>
                      <w:szCs w:val="18"/>
                    </w:rPr>
                    <w:t>为预约申购期内最后一个工作日</w:t>
                  </w:r>
                </w:p>
              </w:tc>
              <w:tc>
                <w:tcPr>
                  <w:tcW w:w="1843" w:type="dxa"/>
                </w:tcPr>
                <w:p>
                  <w:pPr>
                    <w:pStyle w:val="34"/>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申购日后【2】个工作日内</w:t>
                  </w:r>
                </w:p>
              </w:tc>
              <w:tc>
                <w:tcPr>
                  <w:tcW w:w="2229" w:type="dxa"/>
                </w:tcPr>
                <w:p>
                  <w:pPr>
                    <w:pStyle w:val="34"/>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产品管理人在申购确认日对投资者的申购申请的有效性进行确认，并登记理财份额。</w:t>
                  </w:r>
                </w:p>
              </w:tc>
            </w:tr>
          </w:tbl>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注：</w:t>
            </w:r>
            <w:r>
              <w:rPr>
                <w:rFonts w:hint="eastAsia" w:cs="Times New Roman" w:asciiTheme="minorEastAsia" w:hAnsiTheme="minorEastAsia"/>
                <w:sz w:val="18"/>
                <w:szCs w:val="18"/>
              </w:rPr>
              <w:t>本产品在一个完整投资周期结束前，设置一个预约申购期；在一个完整投资周期结束后，再设置多个预约申购期。</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3</w:t>
            </w:r>
            <w:r>
              <w:rPr>
                <w:rFonts w:asciiTheme="majorEastAsia" w:hAnsiTheme="majorEastAsia" w:eastAsiaTheme="majorEastAsia"/>
                <w:bCs/>
                <w:color w:val="000000" w:themeColor="text1"/>
                <w:sz w:val="18"/>
                <w:szCs w:val="18"/>
              </w:rPr>
              <w:t>.预约</w:t>
            </w:r>
            <w:r>
              <w:rPr>
                <w:rFonts w:hint="eastAsia" w:asciiTheme="majorEastAsia" w:hAnsiTheme="majorEastAsia" w:eastAsiaTheme="majorEastAsia"/>
                <w:bCs/>
                <w:color w:val="000000" w:themeColor="text1"/>
                <w:sz w:val="18"/>
                <w:szCs w:val="18"/>
              </w:rPr>
              <w:t>赎回具体安排如下：</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（1）赎回的时间</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预约赎回期：【2022】年【12】月【06】日00:00至【2022】年【12】月【19】日15:45；</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（2）赎回的确认</w:t>
            </w:r>
          </w:p>
          <w:tbl>
            <w:tblPr>
              <w:tblStyle w:val="31"/>
              <w:tblW w:w="7190"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559"/>
              <w:gridCol w:w="1559"/>
              <w:gridCol w:w="1843"/>
              <w:gridCol w:w="222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8" w:hRule="atLeast"/>
                <w:jc w:val="center"/>
              </w:trPr>
              <w:tc>
                <w:tcPr>
                  <w:tcW w:w="1559"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预约赎回申请日</w:t>
                  </w:r>
                </w:p>
              </w:tc>
              <w:tc>
                <w:tcPr>
                  <w:tcW w:w="1559" w:type="dxa"/>
                  <w:vAlign w:val="center"/>
                </w:tcPr>
                <w:p>
                  <w:pPr>
                    <w:pStyle w:val="34"/>
                    <w:spacing w:line="360" w:lineRule="auto"/>
                    <w:jc w:val="center"/>
                    <w:rPr>
                      <w:rFonts w:cs="Times New Roman" w:asciiTheme="minorEastAsia" w:hAnsiTheme="minorEastAsia"/>
                      <w:b/>
                      <w:bCs/>
                      <w:color w:val="auto"/>
                      <w:sz w:val="18"/>
                      <w:szCs w:val="18"/>
                    </w:rPr>
                  </w:pPr>
                  <w:r>
                    <w:rPr>
                      <w:rFonts w:hint="eastAsia" w:cs="Times New Roman" w:asciiTheme="minorEastAsia" w:hAnsiTheme="minorEastAsia"/>
                      <w:b/>
                      <w:bCs/>
                      <w:color w:val="auto"/>
                      <w:sz w:val="18"/>
                      <w:szCs w:val="18"/>
                    </w:rPr>
                    <w:t>赎回日</w:t>
                  </w:r>
                </w:p>
              </w:tc>
              <w:tc>
                <w:tcPr>
                  <w:tcW w:w="1843"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赎回确认日</w:t>
                  </w:r>
                </w:p>
              </w:tc>
              <w:tc>
                <w:tcPr>
                  <w:tcW w:w="2229"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赎回确认</w:t>
                  </w:r>
                  <w:r>
                    <w:rPr>
                      <w:rFonts w:cs="Times New Roman" w:asciiTheme="minorEastAsia" w:hAnsiTheme="minorEastAsia"/>
                      <w:b/>
                      <w:bCs/>
                      <w:color w:val="auto"/>
                      <w:sz w:val="18"/>
                      <w:szCs w:val="18"/>
                    </w:rPr>
                    <w:t>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7" w:hRule="atLeast"/>
                <w:jc w:val="center"/>
              </w:trPr>
              <w:tc>
                <w:tcPr>
                  <w:tcW w:w="1559" w:type="dxa"/>
                </w:tcPr>
                <w:p>
                  <w:pPr>
                    <w:pStyle w:val="34"/>
                    <w:spacing w:line="360" w:lineRule="auto"/>
                    <w:jc w:val="left"/>
                    <w:rPr>
                      <w:rFonts w:asciiTheme="minorEastAsia" w:hAnsiTheme="minorEastAsia"/>
                      <w:bCs/>
                      <w:color w:val="auto"/>
                      <w:kern w:val="2"/>
                      <w:sz w:val="18"/>
                      <w:szCs w:val="18"/>
                    </w:rPr>
                  </w:pPr>
                  <w:r>
                    <w:rPr>
                      <w:rFonts w:hint="eastAsia" w:cs="Times New Roman" w:asciiTheme="minorEastAsia" w:hAnsiTheme="minorEastAsia" w:eastAsiaTheme="minorEastAsia"/>
                      <w:color w:val="auto"/>
                      <w:sz w:val="18"/>
                      <w:szCs w:val="18"/>
                    </w:rPr>
                    <w:t>为预约赎回期内任意一日</w:t>
                  </w:r>
                </w:p>
              </w:tc>
              <w:tc>
                <w:tcPr>
                  <w:tcW w:w="1559" w:type="dxa"/>
                </w:tcPr>
                <w:p>
                  <w:pPr>
                    <w:pStyle w:val="34"/>
                    <w:spacing w:line="360" w:lineRule="auto"/>
                    <w:jc w:val="both"/>
                    <w:rPr>
                      <w:rFonts w:cs="Times New Roman" w:asciiTheme="minorEastAsia" w:hAnsiTheme="minorEastAsia" w:eastAsiaTheme="minorEastAsia"/>
                      <w:bCs/>
                      <w:sz w:val="18"/>
                      <w:szCs w:val="18"/>
                    </w:rPr>
                  </w:pPr>
                  <w:r>
                    <w:rPr>
                      <w:rFonts w:hint="eastAsia" w:cs="Times New Roman" w:asciiTheme="minorEastAsia" w:hAnsiTheme="minorEastAsia" w:eastAsiaTheme="minorEastAsia"/>
                      <w:color w:val="auto"/>
                      <w:sz w:val="18"/>
                      <w:szCs w:val="18"/>
                    </w:rPr>
                    <w:t>为预约赎回期内最后一个工作日</w:t>
                  </w:r>
                </w:p>
              </w:tc>
              <w:tc>
                <w:tcPr>
                  <w:tcW w:w="1843" w:type="dxa"/>
                </w:tcPr>
                <w:p>
                  <w:pPr>
                    <w:pStyle w:val="34"/>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赎回日后【2】个工作日内</w:t>
                  </w:r>
                </w:p>
              </w:tc>
              <w:tc>
                <w:tcPr>
                  <w:tcW w:w="2229" w:type="dxa"/>
                </w:tcPr>
                <w:p>
                  <w:pPr>
                    <w:pStyle w:val="34"/>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产品管理人在赎回</w:t>
                  </w:r>
                  <w:r>
                    <w:rPr>
                      <w:rFonts w:cs="Times New Roman" w:asciiTheme="minorEastAsia" w:hAnsiTheme="minorEastAsia" w:eastAsiaTheme="minorEastAsia"/>
                      <w:bCs/>
                      <w:sz w:val="18"/>
                      <w:szCs w:val="18"/>
                    </w:rPr>
                    <w:t>确认日</w:t>
                  </w:r>
                  <w:r>
                    <w:rPr>
                      <w:rFonts w:hint="eastAsia" w:cs="Times New Roman" w:asciiTheme="minorEastAsia" w:hAnsiTheme="minorEastAsia" w:eastAsiaTheme="minorEastAsia"/>
                      <w:bCs/>
                      <w:sz w:val="18"/>
                      <w:szCs w:val="18"/>
                    </w:rPr>
                    <w:t>对投资者的赎回申请的有效性进行确认，并注销理财份额。</w:t>
                  </w:r>
                </w:p>
              </w:tc>
            </w:tr>
          </w:tbl>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注：</w:t>
            </w:r>
            <w:r>
              <w:rPr>
                <w:rFonts w:hint="eastAsia" w:asciiTheme="majorEastAsia" w:hAnsiTheme="majorEastAsia"/>
                <w:color w:val="000000" w:themeColor="text1"/>
                <w:sz w:val="18"/>
              </w:rPr>
              <w:t>赎回</w:t>
            </w:r>
            <w:r>
              <w:rPr>
                <w:rFonts w:hint="eastAsia" w:asciiTheme="majorEastAsia" w:hAnsiTheme="majorEastAsia" w:eastAsiaTheme="majorEastAsia"/>
                <w:bCs/>
                <w:color w:val="000000" w:themeColor="text1"/>
                <w:sz w:val="18"/>
                <w:szCs w:val="18"/>
              </w:rPr>
              <w:t>款项于</w:t>
            </w:r>
            <w:r>
              <w:rPr>
                <w:rFonts w:hint="eastAsia" w:cs="Times New Roman" w:asciiTheme="minorEastAsia" w:hAnsiTheme="minorEastAsia" w:eastAsiaTheme="minorEastAsia"/>
                <w:bCs/>
                <w:kern w:val="0"/>
                <w:sz w:val="18"/>
                <w:szCs w:val="18"/>
              </w:rPr>
              <w:t>赎回</w:t>
            </w:r>
            <w:r>
              <w:rPr>
                <w:rFonts w:hint="eastAsia" w:asciiTheme="minorEastAsia" w:hAnsiTheme="minorEastAsia"/>
                <w:kern w:val="0"/>
                <w:sz w:val="18"/>
              </w:rPr>
              <w:t>日后【5】个工作日</w:t>
            </w:r>
            <w:r>
              <w:rPr>
                <w:rFonts w:hint="eastAsia" w:cs="Times New Roman" w:asciiTheme="minorEastAsia" w:hAnsiTheme="minorEastAsia" w:eastAsiaTheme="minorEastAsia"/>
                <w:bCs/>
                <w:kern w:val="0"/>
                <w:sz w:val="18"/>
                <w:szCs w:val="18"/>
              </w:rPr>
              <w:t>内支付给</w:t>
            </w:r>
            <w:r>
              <w:rPr>
                <w:rFonts w:hint="eastAsia" w:asciiTheme="minorEastAsia" w:hAnsiTheme="minorEastAsia"/>
                <w:kern w:val="0"/>
                <w:sz w:val="18"/>
              </w:rPr>
              <w:t>投资者</w:t>
            </w:r>
            <w:r>
              <w:rPr>
                <w:rFonts w:hint="eastAsia" w:cs="Times New Roman" w:asciiTheme="minorEastAsia" w:hAnsiTheme="minorEastAsia" w:eastAsiaTheme="minorEastAsia"/>
                <w:bCs/>
                <w:kern w:val="0"/>
                <w:sz w:val="18"/>
                <w:szCs w:val="18"/>
              </w:rPr>
              <w:t>。</w:t>
            </w:r>
          </w:p>
          <w:p>
            <w:pPr>
              <w:spacing w:line="360" w:lineRule="auto"/>
              <w:rPr>
                <w:rFonts w:asciiTheme="majorEastAsia" w:hAnsiTheme="majorEastAsia" w:eastAsiaTheme="majorEastAsia"/>
                <w:bCs/>
                <w:color w:val="000000" w:themeColor="text1"/>
                <w:sz w:val="18"/>
                <w:szCs w:val="18"/>
              </w:rPr>
            </w:pPr>
            <w:r>
              <w:rPr>
                <w:rFonts w:asciiTheme="majorEastAsia" w:hAnsiTheme="majorEastAsia" w:eastAsiaTheme="majorEastAsia"/>
                <w:bCs/>
                <w:color w:val="000000" w:themeColor="text1"/>
                <w:sz w:val="18"/>
                <w:szCs w:val="18"/>
              </w:rPr>
              <w:t>4.预约申购期/</w:t>
            </w:r>
            <w:r>
              <w:rPr>
                <w:rFonts w:hint="eastAsia" w:asciiTheme="majorEastAsia" w:hAnsiTheme="majorEastAsia" w:eastAsiaTheme="majorEastAsia"/>
                <w:bCs/>
                <w:color w:val="000000" w:themeColor="text1"/>
                <w:sz w:val="18"/>
                <w:szCs w:val="18"/>
              </w:rPr>
              <w:t>预约赎回期的起始日和终止日如遇非工作日，则产品管理人做相应调整。</w:t>
            </w:r>
          </w:p>
          <w:p>
            <w:pPr>
              <w:spacing w:line="360" w:lineRule="auto"/>
              <w:rPr>
                <w:rFonts w:asciiTheme="majorEastAsia" w:hAnsiTheme="majorEastAsia" w:eastAsiaTheme="majorEastAsia"/>
                <w:bCs/>
                <w:color w:val="000000" w:themeColor="text1"/>
                <w:sz w:val="18"/>
                <w:szCs w:val="18"/>
              </w:rPr>
            </w:pPr>
            <w:r>
              <w:rPr>
                <w:rFonts w:asciiTheme="majorEastAsia" w:hAnsiTheme="majorEastAsia" w:eastAsiaTheme="majorEastAsia"/>
                <w:bCs/>
                <w:color w:val="000000" w:themeColor="text1"/>
                <w:sz w:val="18"/>
                <w:szCs w:val="18"/>
              </w:rPr>
              <w:t>5</w:t>
            </w:r>
            <w:r>
              <w:rPr>
                <w:rFonts w:hint="eastAsia" w:asciiTheme="majorEastAsia" w:hAnsiTheme="majorEastAsia" w:eastAsiaTheme="majorEastAsia"/>
                <w:bCs/>
                <w:color w:val="000000" w:themeColor="text1"/>
                <w:sz w:val="18"/>
                <w:szCs w:val="18"/>
              </w:rPr>
              <w:t>.</w:t>
            </w:r>
            <w:r>
              <w:rPr>
                <w:rFonts w:hint="eastAsia" w:cs="Times New Roman" w:asciiTheme="minorEastAsia" w:hAnsiTheme="minorEastAsia"/>
                <w:sz w:val="18"/>
                <w:szCs w:val="18"/>
              </w:rPr>
              <w:t>本产品在一个完整投资周期结束前，由产品</w:t>
            </w:r>
            <w:r>
              <w:rPr>
                <w:rFonts w:cs="Times New Roman" w:asciiTheme="minorEastAsia" w:hAnsiTheme="minorEastAsia"/>
                <w:sz w:val="18"/>
                <w:szCs w:val="18"/>
              </w:rPr>
              <w:t>管理人</w:t>
            </w:r>
            <w:r>
              <w:rPr>
                <w:rFonts w:hint="eastAsia" w:cs="Times New Roman" w:asciiTheme="minorEastAsia" w:hAnsiTheme="minorEastAsia"/>
                <w:sz w:val="18"/>
                <w:szCs w:val="18"/>
              </w:rPr>
              <w:t>更新产品说明书，约定下一个完整投资周期对应的</w:t>
            </w:r>
            <w:r>
              <w:rPr>
                <w:rFonts w:asciiTheme="majorEastAsia" w:hAnsiTheme="majorEastAsia" w:eastAsiaTheme="majorEastAsia"/>
                <w:bCs/>
                <w:color w:val="000000" w:themeColor="text1"/>
                <w:sz w:val="18"/>
                <w:szCs w:val="18"/>
              </w:rPr>
              <w:t>预约申购期/</w:t>
            </w:r>
            <w:r>
              <w:rPr>
                <w:rFonts w:hint="eastAsia" w:asciiTheme="majorEastAsia" w:hAnsiTheme="majorEastAsia" w:eastAsiaTheme="majorEastAsia"/>
                <w:bCs/>
                <w:color w:val="000000" w:themeColor="text1"/>
                <w:sz w:val="18"/>
                <w:szCs w:val="18"/>
              </w:rPr>
              <w:t>预约赎回期。</w:t>
            </w:r>
          </w:p>
          <w:p>
            <w:pPr>
              <w:spacing w:line="360" w:lineRule="auto"/>
              <w:rPr>
                <w:rFonts w:ascii="黑体" w:hAnsi="黑体" w:eastAsia="黑体"/>
                <w:bCs/>
                <w:color w:val="000000" w:themeColor="text1"/>
                <w:sz w:val="18"/>
                <w:szCs w:val="18"/>
              </w:rPr>
            </w:pPr>
            <w:r>
              <w:rPr>
                <w:rFonts w:hint="eastAsia" w:hAnsi="宋体"/>
                <w:sz w:val="18"/>
                <w:szCs w:val="18"/>
              </w:rPr>
              <w:t>★</w:t>
            </w:r>
            <w:r>
              <w:rPr>
                <w:rFonts w:hint="eastAsia" w:ascii="黑体" w:hAnsi="黑体" w:eastAsia="黑体"/>
                <w:bCs/>
                <w:color w:val="000000" w:themeColor="text1"/>
                <w:sz w:val="18"/>
                <w:szCs w:val="18"/>
              </w:rPr>
              <w:t>注：关于代理销售机构的实际工作服务时段的提示</w:t>
            </w:r>
          </w:p>
          <w:p>
            <w:pPr>
              <w:spacing w:line="360" w:lineRule="auto"/>
              <w:rPr>
                <w:rFonts w:ascii="黑体" w:hAnsi="黑体" w:eastAsia="黑体"/>
                <w:bCs/>
                <w:color w:val="000000" w:themeColor="text1"/>
                <w:sz w:val="18"/>
                <w:szCs w:val="18"/>
              </w:rPr>
            </w:pPr>
            <w:r>
              <w:rPr>
                <w:rFonts w:hint="eastAsia" w:ascii="黑体" w:hAnsi="黑体" w:eastAsia="黑体"/>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w:t>
            </w:r>
            <w:r>
              <w:rPr>
                <w:rFonts w:ascii="黑体" w:hAnsi="黑体" w:eastAsia="黑体"/>
                <w:bCs/>
                <w:color w:val="000000" w:themeColor="text1"/>
                <w:sz w:val="18"/>
                <w:szCs w:val="18"/>
              </w:rPr>
              <w:t>以</w:t>
            </w:r>
            <w:r>
              <w:rPr>
                <w:rFonts w:hint="eastAsia" w:ascii="黑体" w:hAnsi="黑体" w:eastAsia="黑体"/>
                <w:bCs/>
                <w:color w:val="000000" w:themeColor="text1"/>
                <w:sz w:val="18"/>
                <w:szCs w:val="18"/>
              </w:rPr>
              <w:t>代理销售机构的展示</w:t>
            </w:r>
            <w:r>
              <w:rPr>
                <w:rFonts w:ascii="黑体" w:hAnsi="黑体" w:eastAsia="黑体"/>
                <w:bCs/>
                <w:color w:val="000000" w:themeColor="text1"/>
                <w:sz w:val="18"/>
                <w:szCs w:val="18"/>
              </w:rPr>
              <w:t>为准</w:t>
            </w:r>
            <w:r>
              <w:rPr>
                <w:rFonts w:hint="eastAsia" w:ascii="黑体" w:hAnsi="黑体" w:eastAsia="黑体"/>
                <w:bCs/>
                <w:color w:val="000000" w:themeColor="text1"/>
                <w:sz w:val="18"/>
                <w:szCs w:val="18"/>
              </w:rPr>
              <w:t>。</w:t>
            </w:r>
          </w:p>
          <w:p>
            <w:pPr>
              <w:spacing w:line="360" w:lineRule="auto"/>
              <w:rPr>
                <w:rFonts w:ascii="黑体" w:hAnsi="黑体" w:eastAsia="黑体"/>
                <w:bCs/>
                <w:color w:val="000000" w:themeColor="text1"/>
                <w:sz w:val="18"/>
                <w:szCs w:val="18"/>
              </w:rPr>
            </w:pPr>
            <w:r>
              <w:rPr>
                <w:rFonts w:hint="eastAsia" w:ascii="黑体" w:hAnsi="黑体" w:eastAsia="黑体"/>
                <w:bCs/>
                <w:color w:val="000000" w:themeColor="text1"/>
                <w:sz w:val="18"/>
                <w:szCs w:val="18"/>
              </w:rPr>
              <w:t>②代理销售机构的实际工作服务时段，最早不得早于销售文件约定</w:t>
            </w:r>
            <w:r>
              <w:rPr>
                <w:rFonts w:ascii="黑体" w:hAnsi="黑体" w:eastAsia="黑体"/>
                <w:bCs/>
                <w:color w:val="000000" w:themeColor="text1"/>
                <w:sz w:val="18"/>
                <w:szCs w:val="18"/>
              </w:rPr>
              <w:t>的</w:t>
            </w:r>
            <w:r>
              <w:rPr>
                <w:rFonts w:hint="eastAsia" w:ascii="黑体" w:hAnsi="黑体" w:eastAsia="黑体"/>
                <w:bCs/>
                <w:color w:val="000000" w:themeColor="text1"/>
                <w:sz w:val="18"/>
                <w:szCs w:val="18"/>
              </w:rPr>
              <w:t>起始时点、最晚不得晚于销售文件</w:t>
            </w:r>
            <w:r>
              <w:rPr>
                <w:rFonts w:ascii="黑体" w:hAnsi="黑体" w:eastAsia="黑体"/>
                <w:bCs/>
                <w:color w:val="000000" w:themeColor="text1"/>
                <w:sz w:val="18"/>
                <w:szCs w:val="18"/>
              </w:rPr>
              <w:t>约定的</w:t>
            </w:r>
            <w:r>
              <w:rPr>
                <w:rFonts w:hint="eastAsia" w:ascii="黑体" w:hAnsi="黑体" w:eastAsia="黑体"/>
                <w:bCs/>
                <w:color w:val="000000" w:themeColor="text1"/>
                <w:sz w:val="18"/>
                <w:szCs w:val="18"/>
              </w:rPr>
              <w:t>终止时点</w:t>
            </w:r>
            <w:r>
              <w:rPr>
                <w:rFonts w:ascii="黑体" w:hAnsi="黑体" w:eastAsia="黑体"/>
                <w:bCs/>
                <w:color w:val="000000" w:themeColor="text1"/>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购买起点金额为【1.00】元；超出起点金额的部分以【0.01】元的整数倍递增。</w:t>
            </w:r>
          </w:p>
          <w:p>
            <w:pPr>
              <w:spacing w:line="360" w:lineRule="auto"/>
              <w:rPr>
                <w:rFonts w:ascii="黑体" w:hAnsi="黑体" w:eastAsia="黑体"/>
                <w:bCs/>
                <w:color w:val="000000" w:themeColor="text1"/>
                <w:sz w:val="18"/>
                <w:szCs w:val="18"/>
              </w:rPr>
            </w:pPr>
            <w:r>
              <w:rPr>
                <w:rFonts w:hint="eastAsia" w:hAnsi="宋体"/>
                <w:sz w:val="18"/>
                <w:szCs w:val="18"/>
              </w:rPr>
              <w:t>★</w:t>
            </w:r>
            <w:r>
              <w:rPr>
                <w:rFonts w:hint="eastAsia" w:ascii="黑体" w:hAnsi="黑体" w:eastAsia="黑体"/>
                <w:bCs/>
                <w:color w:val="000000" w:themeColor="text1"/>
                <w:sz w:val="18"/>
                <w:szCs w:val="18"/>
              </w:rPr>
              <w:t>注</w:t>
            </w:r>
            <w:r>
              <w:rPr>
                <w:rFonts w:ascii="黑体" w:hAnsi="黑体" w:eastAsia="黑体"/>
                <w:bCs/>
                <w:color w:val="000000" w:themeColor="text1"/>
                <w:sz w:val="18"/>
                <w:szCs w:val="18"/>
              </w:rPr>
              <w:t>：</w:t>
            </w:r>
            <w:r>
              <w:rPr>
                <w:rFonts w:hint="eastAsia" w:ascii="黑体" w:hAnsi="黑体" w:eastAsia="黑体"/>
                <w:bCs/>
                <w:color w:val="000000" w:themeColor="text1"/>
                <w:sz w:val="18"/>
                <w:szCs w:val="18"/>
              </w:rPr>
              <w:t>关于代理销售机构的实际销售</w:t>
            </w:r>
            <w:r>
              <w:rPr>
                <w:rFonts w:ascii="黑体" w:hAnsi="黑体" w:eastAsia="黑体"/>
                <w:bCs/>
                <w:color w:val="000000" w:themeColor="text1"/>
                <w:sz w:val="18"/>
                <w:szCs w:val="18"/>
              </w:rPr>
              <w:t>起点金额</w:t>
            </w:r>
            <w:r>
              <w:rPr>
                <w:rFonts w:hint="eastAsia" w:ascii="黑体" w:hAnsi="黑体" w:eastAsia="黑体"/>
                <w:bCs/>
                <w:color w:val="000000" w:themeColor="text1"/>
                <w:sz w:val="18"/>
                <w:szCs w:val="18"/>
              </w:rPr>
              <w:t>的提示</w:t>
            </w:r>
          </w:p>
          <w:p>
            <w:pPr>
              <w:spacing w:line="360" w:lineRule="auto"/>
              <w:rPr>
                <w:rFonts w:ascii="黑体" w:hAnsi="黑体" w:eastAsia="黑体"/>
                <w:bCs/>
                <w:color w:val="000000" w:themeColor="text1"/>
                <w:sz w:val="18"/>
                <w:szCs w:val="18"/>
              </w:rPr>
            </w:pPr>
            <w:r>
              <w:rPr>
                <w:rFonts w:hint="eastAsia" w:ascii="黑体" w:hAnsi="黑体" w:eastAsia="黑体"/>
                <w:bCs/>
                <w:color w:val="000000" w:themeColor="text1"/>
                <w:sz w:val="18"/>
                <w:szCs w:val="18"/>
              </w:rPr>
              <w:t>①本产品在代理销售机构的实际销售起点金额，因代理销售机构的不同可能存在差异（可能高于销售文件约定的销售起点金额），应当</w:t>
            </w:r>
            <w:r>
              <w:rPr>
                <w:rFonts w:ascii="黑体" w:hAnsi="黑体" w:eastAsia="黑体"/>
                <w:bCs/>
                <w:color w:val="000000" w:themeColor="text1"/>
                <w:sz w:val="18"/>
                <w:szCs w:val="18"/>
              </w:rPr>
              <w:t>以</w:t>
            </w:r>
            <w:r>
              <w:rPr>
                <w:rFonts w:hint="eastAsia" w:ascii="黑体" w:hAnsi="黑体" w:eastAsia="黑体"/>
                <w:bCs/>
                <w:color w:val="000000" w:themeColor="text1"/>
                <w:sz w:val="18"/>
                <w:szCs w:val="18"/>
              </w:rPr>
              <w:t>代理销售机构展示</w:t>
            </w:r>
            <w:r>
              <w:rPr>
                <w:rFonts w:ascii="黑体" w:hAnsi="黑体" w:eastAsia="黑体"/>
                <w:bCs/>
                <w:color w:val="000000" w:themeColor="text1"/>
                <w:sz w:val="18"/>
                <w:szCs w:val="18"/>
              </w:rPr>
              <w:t>为准</w:t>
            </w:r>
            <w:r>
              <w:rPr>
                <w:rFonts w:hint="eastAsia" w:ascii="黑体" w:hAnsi="黑体" w:eastAsia="黑体"/>
                <w:bCs/>
                <w:color w:val="000000" w:themeColor="text1"/>
                <w:sz w:val="18"/>
                <w:szCs w:val="18"/>
              </w:rPr>
              <w:t>。</w:t>
            </w:r>
          </w:p>
          <w:p>
            <w:pPr>
              <w:spacing w:line="360" w:lineRule="auto"/>
              <w:jc w:val="left"/>
              <w:rPr>
                <w:rFonts w:cs="Times New Roman" w:asciiTheme="minorEastAsia" w:hAnsiTheme="minorEastAsia"/>
                <w:sz w:val="18"/>
                <w:szCs w:val="18"/>
              </w:rPr>
            </w:pPr>
            <w:r>
              <w:rPr>
                <w:rFonts w:hint="eastAsia" w:ascii="黑体" w:hAnsi="黑体" w:eastAsia="黑体"/>
                <w:bCs/>
                <w:color w:val="000000" w:themeColor="text1"/>
                <w:sz w:val="18"/>
                <w:szCs w:val="18"/>
              </w:rPr>
              <w:t>②代理销售机构的实际销售起点金额，</w:t>
            </w:r>
            <w:r>
              <w:rPr>
                <w:rFonts w:ascii="黑体" w:hAnsi="黑体" w:eastAsia="黑体"/>
                <w:bCs/>
                <w:color w:val="000000" w:themeColor="text1"/>
                <w:sz w:val="18"/>
                <w:szCs w:val="18"/>
              </w:rPr>
              <w:t>不得低于</w:t>
            </w:r>
            <w:r>
              <w:rPr>
                <w:rFonts w:hint="eastAsia" w:ascii="黑体" w:hAnsi="黑体" w:eastAsia="黑体"/>
                <w:bCs/>
                <w:color w:val="000000" w:themeColor="text1"/>
                <w:sz w:val="18"/>
                <w:szCs w:val="18"/>
              </w:rPr>
              <w:t>销售</w:t>
            </w:r>
            <w:r>
              <w:rPr>
                <w:rFonts w:ascii="黑体" w:hAnsi="黑体" w:eastAsia="黑体"/>
                <w:bCs/>
                <w:color w:val="000000" w:themeColor="text1"/>
                <w:sz w:val="18"/>
                <w:szCs w:val="18"/>
              </w:rPr>
              <w:t>文件约定的</w:t>
            </w:r>
            <w:r>
              <w:rPr>
                <w:rFonts w:hint="eastAsia" w:ascii="黑体" w:hAnsi="黑体" w:eastAsia="黑体"/>
                <w:bCs/>
                <w:color w:val="000000" w:themeColor="text1"/>
                <w:sz w:val="18"/>
                <w:szCs w:val="18"/>
              </w:rPr>
              <w:t>销售</w:t>
            </w:r>
            <w:r>
              <w:rPr>
                <w:rFonts w:ascii="黑体" w:hAnsi="黑体" w:eastAsia="黑体"/>
                <w:bCs/>
                <w:color w:val="000000" w:themeColor="text1"/>
                <w:sz w:val="18"/>
                <w:szCs w:val="18"/>
              </w:rPr>
              <w:t>起点金额</w:t>
            </w:r>
            <w:r>
              <w:rPr>
                <w:rFonts w:hint="eastAsia" w:ascii="黑体" w:hAnsi="黑体" w:eastAsia="黑体"/>
                <w:bCs/>
                <w:color w:val="000000" w:themeColor="text1"/>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autoSpaceDE w:val="0"/>
              <w:autoSpaceDN w:val="0"/>
              <w:adjustRightInd w:val="0"/>
              <w:spacing w:line="360" w:lineRule="auto"/>
              <w:jc w:val="left"/>
              <w:rPr>
                <w:rFonts w:hAnsi="宋体"/>
                <w:b/>
                <w:sz w:val="18"/>
                <w:szCs w:val="18"/>
              </w:rPr>
            </w:pPr>
            <w:r>
              <w:rPr>
                <w:rFonts w:hint="eastAsia" w:hAnsi="宋体"/>
                <w:b/>
                <w:sz w:val="18"/>
                <w:szCs w:val="18"/>
              </w:rPr>
              <w:t xml:space="preserve">★认购、申购与赎回的数量限制 </w:t>
            </w:r>
            <w:r>
              <w:rPr>
                <w:rFonts w:hAnsi="宋体"/>
                <w:b/>
                <w:sz w:val="18"/>
                <w:szCs w:val="18"/>
              </w:rPr>
              <w:t xml:space="preserve"> </w:t>
            </w:r>
          </w:p>
        </w:tc>
        <w:tc>
          <w:tcPr>
            <w:tcW w:w="7704" w:type="dxa"/>
            <w:shd w:val="solid" w:color="FFFFFF" w:fill="FFFFFF"/>
            <w:vAlign w:val="center"/>
          </w:tcPr>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1.认购的数量限制</w:t>
            </w:r>
          </w:p>
          <w:p>
            <w:pPr>
              <w:pStyle w:val="34"/>
              <w:spacing w:line="360" w:lineRule="auto"/>
              <w:rPr>
                <w:rFonts w:hAnsi="宋体"/>
                <w:bCs/>
                <w:sz w:val="18"/>
                <w:szCs w:val="18"/>
              </w:rPr>
            </w:pPr>
            <w:r>
              <w:rPr>
                <w:rFonts w:hint="eastAsia" w:asciiTheme="minorEastAsia" w:hAnsiTheme="minorEastAsia" w:eastAsiaTheme="minorEastAsia"/>
                <w:color w:val="auto"/>
                <w:sz w:val="18"/>
                <w:szCs w:val="18"/>
              </w:rPr>
              <w:t>单一投资者认购上限为【/】。如需突破上限，请与产品管理人或销售机构客户经理联系。</w:t>
            </w:r>
          </w:p>
          <w:p>
            <w:pPr>
              <w:pStyle w:val="34"/>
              <w:spacing w:line="360" w:lineRule="auto"/>
              <w:rPr>
                <w:rFonts w:asciiTheme="minorEastAsia" w:hAnsiTheme="minorEastAsia" w:eastAsiaTheme="minorEastAsia"/>
                <w:color w:val="auto"/>
                <w:sz w:val="18"/>
                <w:szCs w:val="18"/>
              </w:rPr>
            </w:pPr>
            <w:r>
              <w:rPr>
                <w:rFonts w:hint="eastAsia" w:hAnsi="宋体"/>
                <w:bCs/>
                <w:sz w:val="18"/>
                <w:szCs w:val="18"/>
              </w:rPr>
              <w:t>2.</w:t>
            </w:r>
            <w:r>
              <w:rPr>
                <w:rFonts w:hint="eastAsia" w:asciiTheme="minorEastAsia" w:hAnsiTheme="minorEastAsia" w:eastAsiaTheme="minorEastAsia"/>
                <w:color w:val="auto"/>
                <w:sz w:val="18"/>
                <w:szCs w:val="18"/>
              </w:rPr>
              <w:t>申购的数量限制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（1）单一投资者申购上限为【/】。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3.赎回的数量限制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（1）单一投资者赎回上限为【/】。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投资者可全部或部分赎回其理财份额，但是部分赎回后单一投资者持有产品份额不得低于【/】份。受理财利益分配去尾规则的影响，投资者持有产品份额较低时可能无法取得利益。巨额赎回情景发生时，投资者的可赎回份额需要根据巨额赎回规则确定。</w:t>
            </w:r>
          </w:p>
          <w:p>
            <w:pPr>
              <w:pStyle w:val="34"/>
              <w:spacing w:line="360" w:lineRule="auto"/>
              <w:rPr>
                <w:rFonts w:ascii="黑体" w:hAnsi="黑体" w:eastAsia="黑体"/>
                <w:bCs/>
                <w:color w:val="000000" w:themeColor="text1"/>
                <w:sz w:val="18"/>
                <w:szCs w:val="18"/>
              </w:rPr>
            </w:pPr>
            <w:r>
              <w:rPr>
                <w:rFonts w:hint="eastAsia" w:hAnsi="宋体"/>
                <w:sz w:val="18"/>
                <w:szCs w:val="18"/>
              </w:rPr>
              <w:t>★</w:t>
            </w:r>
            <w:r>
              <w:rPr>
                <w:rFonts w:hint="eastAsia" w:ascii="黑体" w:hAnsi="黑体" w:eastAsia="黑体"/>
                <w:bCs/>
                <w:color w:val="000000" w:themeColor="text1"/>
                <w:sz w:val="18"/>
                <w:szCs w:val="18"/>
              </w:rPr>
              <w:t>注</w:t>
            </w:r>
            <w:r>
              <w:rPr>
                <w:rFonts w:ascii="黑体" w:hAnsi="黑体" w:eastAsia="黑体"/>
                <w:bCs/>
                <w:color w:val="000000" w:themeColor="text1"/>
                <w:sz w:val="18"/>
                <w:szCs w:val="18"/>
              </w:rPr>
              <w:t>：</w:t>
            </w:r>
            <w:r>
              <w:rPr>
                <w:rFonts w:hint="eastAsia" w:ascii="黑体" w:hAnsi="黑体" w:eastAsia="黑体"/>
                <w:bCs/>
                <w:color w:val="000000" w:themeColor="text1"/>
                <w:sz w:val="18"/>
                <w:szCs w:val="18"/>
              </w:rPr>
              <w:t>本产品单一投资者持有份额不得超过产品总份额50%。</w:t>
            </w:r>
          </w:p>
          <w:p>
            <w:pPr>
              <w:pStyle w:val="34"/>
              <w:spacing w:line="360" w:lineRule="auto"/>
              <w:rPr>
                <w:rFonts w:ascii="黑体" w:hAnsi="黑体" w:eastAsia="黑体"/>
                <w:bCs/>
                <w:color w:val="000000" w:themeColor="text1"/>
                <w:sz w:val="18"/>
                <w:szCs w:val="18"/>
              </w:rPr>
            </w:pPr>
            <w:r>
              <w:rPr>
                <w:rFonts w:hint="eastAsia" w:ascii="黑体" w:hAnsi="黑体" w:eastAsia="黑体"/>
                <w:bCs/>
                <w:color w:val="000000" w:themeColor="text1"/>
                <w:sz w:val="18"/>
                <w:szCs w:val="18"/>
              </w:rPr>
              <w:t>（1）投资者认购或申购确认后可能导致其持有份额超过产品总份额50%的，管理人有权拒绝或暂停认购、申购。</w:t>
            </w:r>
          </w:p>
          <w:p>
            <w:pPr>
              <w:pStyle w:val="34"/>
              <w:spacing w:line="360" w:lineRule="auto"/>
              <w:rPr>
                <w:rFonts w:asciiTheme="minorEastAsia" w:hAnsiTheme="minorEastAsia" w:eastAsiaTheme="minorEastAsia"/>
                <w:color w:val="auto"/>
                <w:sz w:val="18"/>
                <w:szCs w:val="18"/>
              </w:rPr>
            </w:pPr>
            <w:r>
              <w:rPr>
                <w:rFonts w:hint="eastAsia" w:ascii="黑体" w:hAnsi="黑体" w:eastAsia="黑体"/>
                <w:bCs/>
                <w:color w:val="000000" w:themeColor="text1"/>
                <w:sz w:val="18"/>
                <w:szCs w:val="18"/>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tcPr>
          <w:p>
            <w:pPr>
              <w:spacing w:line="360" w:lineRule="auto"/>
              <w:jc w:val="left"/>
              <w:rPr>
                <w:rFonts w:hAnsi="宋体"/>
                <w:b/>
                <w:sz w:val="18"/>
                <w:szCs w:val="18"/>
              </w:rPr>
            </w:pPr>
            <w:r>
              <w:rPr>
                <w:rFonts w:hint="eastAsia"/>
                <w:sz w:val="18"/>
                <w:szCs w:val="18"/>
              </w:rPr>
              <w:t>★</w:t>
            </w:r>
            <w:r>
              <w:rPr>
                <w:rFonts w:hint="eastAsia" w:hAnsi="宋体"/>
                <w:b/>
                <w:sz w:val="18"/>
                <w:szCs w:val="18"/>
              </w:rPr>
              <w:t>巨额赎回的认定</w:t>
            </w:r>
          </w:p>
        </w:tc>
        <w:tc>
          <w:tcPr>
            <w:tcW w:w="7704" w:type="dxa"/>
            <w:shd w:val="solid" w:color="FFFFFF" w:fill="FFFFFF"/>
          </w:tcPr>
          <w:p>
            <w:pPr>
              <w:pStyle w:val="34"/>
              <w:spacing w:line="360" w:lineRule="auto"/>
              <w:rPr>
                <w:rFonts w:asciiTheme="minorEastAsia" w:hAnsiTheme="minorEastAsia" w:eastAsiaTheme="minorEastAsia"/>
                <w:color w:val="auto"/>
                <w:sz w:val="18"/>
                <w:szCs w:val="18"/>
              </w:rPr>
            </w:pPr>
            <w:r>
              <w:rPr>
                <w:rFonts w:hint="eastAsia" w:asciiTheme="majorEastAsia" w:hAnsiTheme="majorEastAsia" w:eastAsiaTheme="majorEastAsia"/>
                <w:bCs/>
                <w:sz w:val="18"/>
                <w:szCs w:val="18"/>
              </w:rPr>
              <w:t>预约赎回期中，本产品的累计产品份额净预约赎回申请（预约赎回申请总份额扣除预约申购总份额后的余额</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下同）之和达到赎回日上一日产品总份额的【10】</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，为巨额赎回。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70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70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日之前的估值日公布的产品份额净值已扣除交易手续费、销售服务费、产品托管费、投资管理费。</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赎回日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704" w:type="dxa"/>
            <w:shd w:val="solid" w:color="FFFFFF" w:fill="FFFFFF"/>
            <w:vAlign w:val="center"/>
          </w:tcPr>
          <w:p>
            <w:pPr>
              <w:rPr>
                <w:rFonts w:asciiTheme="majorEastAsia" w:hAnsiTheme="majorEastAsia"/>
                <w:bCs/>
                <w:sz w:val="18"/>
                <w:szCs w:val="18"/>
              </w:rPr>
            </w:pPr>
            <w:r>
              <w:rPr>
                <w:rFonts w:hint="eastAsia" w:ascii="宋体" w:hAnsi="宋体"/>
                <w:b/>
                <w:bCs/>
                <w:sz w:val="18"/>
                <w:szCs w:val="18"/>
              </w:rPr>
              <w:t>1.业绩比较基准的说明：</w:t>
            </w:r>
            <w:r>
              <w:rPr>
                <w:rFonts w:hint="eastAsia" w:asciiTheme="majorEastAsia" w:hAnsiTheme="majorEastAsia" w:eastAsiaTheme="majorEastAsia"/>
                <w:bCs/>
                <w:sz w:val="18"/>
                <w:szCs w:val="18"/>
              </w:rPr>
              <w:t>以一年期定期存款利率为无风险利率，基于当前对未来市场的判断，根据拟投资固定收益类资产的信用利差、久期敞口以及流动性溢价，预判组合的波动幅度，设定业绩基准。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2.业绩比较基准的设定</w:t>
            </w:r>
            <w:r>
              <w:rPr>
                <w:rFonts w:hint="eastAsia" w:asciiTheme="majorEastAsia" w:hAnsiTheme="majorEastAsia" w:eastAsiaTheme="majorEastAsia"/>
                <w:bCs/>
                <w:sz w:val="18"/>
                <w:szCs w:val="18"/>
              </w:rPr>
              <w:t>：</w:t>
            </w:r>
            <w:r>
              <w:rPr>
                <w:rFonts w:hint="eastAsia" w:asciiTheme="majorEastAsia" w:hAnsiTheme="majorEastAsia"/>
                <w:b/>
                <w:sz w:val="18"/>
              </w:rPr>
              <w:t>管理人对</w:t>
            </w:r>
            <w:r>
              <w:rPr>
                <w:rFonts w:asciiTheme="majorEastAsia" w:hAnsiTheme="majorEastAsia"/>
                <w:b/>
                <w:sz w:val="18"/>
              </w:rPr>
              <w:t>本产品设定</w:t>
            </w:r>
            <w:r>
              <w:rPr>
                <w:rFonts w:hint="eastAsia" w:asciiTheme="majorEastAsia" w:hAnsiTheme="majorEastAsia"/>
                <w:b/>
                <w:sz w:val="18"/>
              </w:rPr>
              <w:t>业绩比较基准：年化</w:t>
            </w:r>
            <w:r>
              <w:rPr>
                <w:rFonts w:hint="eastAsia" w:ascii="宋体" w:hAnsi="宋体"/>
                <w:b/>
                <w:bCs/>
                <w:sz w:val="18"/>
                <w:szCs w:val="18"/>
              </w:rPr>
              <w:t>【3.00-4.00%</w:t>
            </w:r>
            <w:r>
              <w:rPr>
                <w:rFonts w:ascii="宋体" w:hAnsi="宋体"/>
                <w:b/>
                <w:bCs/>
                <w:sz w:val="18"/>
                <w:szCs w:val="18"/>
              </w:rPr>
              <w:t>】</w:t>
            </w:r>
            <w:r>
              <w:rPr>
                <w:rFonts w:hint="eastAsia" w:ascii="宋体" w:hAnsi="宋体"/>
                <w:b/>
                <w:bCs/>
                <w:sz w:val="18"/>
                <w:szCs w:val="18"/>
              </w:rPr>
              <w:t>。</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3.业绩比较基准的提示：</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（1）业绩比较基准不代表理财产品未来表现，不等于理财产品实际收益，不作为产品收益的业绩保证，投资须谨慎。</w:t>
            </w:r>
          </w:p>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业绩报酬计提基准</w:t>
            </w:r>
          </w:p>
        </w:tc>
        <w:tc>
          <w:tcPr>
            <w:tcW w:w="7704"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管理人对本产品设定业绩报酬计提基准：【4.00%】。</w:t>
            </w:r>
          </w:p>
          <w:p>
            <w:pPr>
              <w:spacing w:line="360" w:lineRule="auto"/>
              <w:jc w:val="left"/>
              <w:rPr>
                <w:rFonts w:ascii="宋体" w:hAnsi="宋体"/>
                <w:b/>
                <w:bCs/>
                <w:sz w:val="18"/>
                <w:szCs w:val="18"/>
              </w:rPr>
            </w:pPr>
            <w:r>
              <w:rPr>
                <w:rFonts w:hint="eastAsia" w:ascii="宋体" w:hAnsi="宋体"/>
                <w:b/>
                <w:bCs/>
                <w:sz w:val="18"/>
                <w:szCs w:val="18"/>
              </w:rPr>
              <w:t>业绩报酬计提基准仅作为管理人收取超额业绩报酬的参照数值标准，不代表理财产品未来表现，不等于理财产品实际收益，不作为产品收益的业绩保证，投资须谨慎。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704" w:type="dxa"/>
            <w:shd w:val="solid" w:color="FFFFFF" w:fill="FFFFFF"/>
            <w:vAlign w:val="center"/>
          </w:tcPr>
          <w:p>
            <w:pPr>
              <w:spacing w:line="360" w:lineRule="auto"/>
              <w:rPr>
                <w:rFonts w:ascii="宋体" w:hAnsi="宋体"/>
                <w:bCs/>
                <w:color w:val="000000" w:themeColor="text1"/>
                <w:sz w:val="18"/>
                <w:szCs w:val="18"/>
              </w:rPr>
            </w:pPr>
            <w:r>
              <w:rPr>
                <w:rFonts w:ascii="宋体" w:hAnsi="宋体"/>
                <w:b/>
                <w:bCs/>
                <w:color w:val="000000" w:themeColor="text1"/>
                <w:sz w:val="18"/>
                <w:szCs w:val="18"/>
              </w:rPr>
              <w:t>1.</w:t>
            </w:r>
            <w:r>
              <w:rPr>
                <w:rFonts w:hint="eastAsia" w:ascii="宋体" w:hAnsi="宋体"/>
                <w:b/>
                <w:bCs/>
                <w:color w:val="000000" w:themeColor="text1"/>
                <w:sz w:val="18"/>
                <w:szCs w:val="18"/>
              </w:rPr>
              <w:t>认购费：</w:t>
            </w:r>
            <w:r>
              <w:rPr>
                <w:rFonts w:hint="eastAsia" w:ascii="宋体" w:hAnsi="宋体"/>
                <w:bCs/>
                <w:color w:val="000000" w:themeColor="text1"/>
                <w:sz w:val="18"/>
                <w:szCs w:val="18"/>
              </w:rPr>
              <w:t>【/】。</w:t>
            </w:r>
          </w:p>
          <w:p>
            <w:pPr>
              <w:spacing w:line="360" w:lineRule="auto"/>
              <w:rPr>
                <w:rFonts w:ascii="宋体" w:hAnsi="宋体"/>
                <w:bCs/>
                <w:color w:val="000000" w:themeColor="text1"/>
                <w:sz w:val="18"/>
                <w:szCs w:val="18"/>
              </w:rPr>
            </w:pPr>
            <w:r>
              <w:rPr>
                <w:rFonts w:ascii="宋体" w:hAnsi="宋体"/>
                <w:b/>
                <w:bCs/>
                <w:color w:val="000000" w:themeColor="text1"/>
                <w:sz w:val="18"/>
                <w:szCs w:val="18"/>
              </w:rPr>
              <w:t>2.申购费：</w:t>
            </w:r>
            <w:r>
              <w:rPr>
                <w:rFonts w:hint="eastAsia" w:ascii="宋体" w:hAnsi="宋体"/>
                <w:bCs/>
                <w:color w:val="000000" w:themeColor="text1"/>
                <w:sz w:val="18"/>
                <w:szCs w:val="18"/>
              </w:rPr>
              <w:t>【/】</w:t>
            </w:r>
            <w:r>
              <w:rPr>
                <w:rFonts w:ascii="宋体" w:hAnsi="宋体"/>
                <w:bCs/>
                <w:color w:val="000000" w:themeColor="text1"/>
                <w:sz w:val="18"/>
                <w:szCs w:val="18"/>
              </w:rPr>
              <w:t>。</w:t>
            </w:r>
          </w:p>
          <w:p>
            <w:pPr>
              <w:spacing w:line="360" w:lineRule="auto"/>
              <w:rPr>
                <w:rFonts w:ascii="宋体" w:hAnsi="宋体"/>
                <w:bCs/>
                <w:color w:val="000000" w:themeColor="text1"/>
                <w:sz w:val="18"/>
                <w:szCs w:val="18"/>
              </w:rPr>
            </w:pPr>
            <w:r>
              <w:rPr>
                <w:rFonts w:ascii="宋体" w:hAnsi="宋体"/>
                <w:b/>
                <w:bCs/>
                <w:color w:val="000000" w:themeColor="text1"/>
                <w:sz w:val="18"/>
                <w:szCs w:val="18"/>
              </w:rPr>
              <w:t>3.</w:t>
            </w:r>
            <w:r>
              <w:rPr>
                <w:rFonts w:hint="eastAsia" w:ascii="宋体" w:hAnsi="宋体"/>
                <w:b/>
                <w:bCs/>
                <w:color w:val="000000" w:themeColor="text1"/>
                <w:sz w:val="18"/>
                <w:szCs w:val="18"/>
              </w:rPr>
              <w:t>赎回费：</w:t>
            </w:r>
            <w:r>
              <w:rPr>
                <w:rFonts w:hint="eastAsia" w:ascii="宋体" w:hAnsi="宋体"/>
                <w:bCs/>
                <w:color w:val="000000" w:themeColor="text1"/>
                <w:sz w:val="18"/>
                <w:szCs w:val="18"/>
              </w:rPr>
              <w:t>【/】。</w:t>
            </w:r>
          </w:p>
          <w:p>
            <w:pPr>
              <w:spacing w:line="360" w:lineRule="auto"/>
              <w:rPr>
                <w:rFonts w:ascii="宋体" w:hAnsi="宋体"/>
                <w:bCs/>
                <w:color w:val="000000" w:themeColor="text1"/>
                <w:sz w:val="18"/>
                <w:szCs w:val="18"/>
              </w:rPr>
            </w:pPr>
            <w:r>
              <w:rPr>
                <w:rFonts w:asciiTheme="majorEastAsia" w:hAnsiTheme="majorEastAsia" w:eastAsiaTheme="majorEastAsia"/>
                <w:b/>
                <w:bCs/>
                <w:color w:val="000000" w:themeColor="text1"/>
                <w:sz w:val="18"/>
                <w:szCs w:val="18"/>
              </w:rPr>
              <w:t>4.销售服</w:t>
            </w:r>
            <w:r>
              <w:rPr>
                <w:rFonts w:hint="eastAsia" w:ascii="宋体" w:hAnsi="宋体"/>
                <w:b/>
                <w:bCs/>
                <w:color w:val="000000" w:themeColor="text1"/>
                <w:sz w:val="18"/>
                <w:szCs w:val="18"/>
              </w:rPr>
              <w:t>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【0.40】%</w:t>
            </w:r>
            <w:r>
              <w:rPr>
                <w:rFonts w:hint="eastAsia" w:ascii="宋体" w:hAnsi="宋体"/>
                <w:bCs/>
                <w:color w:val="000000" w:themeColor="text1"/>
                <w:sz w:val="18"/>
                <w:szCs w:val="18"/>
              </w:rPr>
              <w:t>。</w:t>
            </w:r>
          </w:p>
          <w:p>
            <w:pPr>
              <w:spacing w:line="360" w:lineRule="auto"/>
              <w:rPr>
                <w:rFonts w:ascii="宋体" w:hAnsi="宋体"/>
                <w:bCs/>
                <w:color w:val="000000" w:themeColor="text1"/>
                <w:sz w:val="18"/>
                <w:szCs w:val="18"/>
              </w:rPr>
            </w:pPr>
            <w:r>
              <w:rPr>
                <w:rFonts w:ascii="宋体" w:hAnsi="宋体"/>
                <w:b/>
                <w:bCs/>
                <w:color w:val="000000" w:themeColor="text1"/>
                <w:sz w:val="18"/>
                <w:szCs w:val="18"/>
              </w:rPr>
              <w:t>5.</w:t>
            </w:r>
            <w:r>
              <w:rPr>
                <w:rFonts w:hint="eastAsia" w:ascii="宋体" w:hAnsi="宋体"/>
                <w:b/>
                <w:bCs/>
                <w:color w:val="000000" w:themeColor="text1"/>
                <w:sz w:val="18"/>
                <w:szCs w:val="18"/>
              </w:rPr>
              <w:t>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20】</w:t>
            </w:r>
            <w:r>
              <w:rPr>
                <w:rFonts w:hint="eastAsia" w:asciiTheme="majorEastAsia" w:hAnsiTheme="majorEastAsia" w:eastAsiaTheme="majorEastAsia"/>
                <w:sz w:val="18"/>
                <w:szCs w:val="18"/>
              </w:rPr>
              <w:t>%</w:t>
            </w:r>
            <w:r>
              <w:rPr>
                <w:rFonts w:hint="eastAsia" w:ascii="宋体" w:hAnsi="宋体"/>
                <w:bCs/>
                <w:color w:val="000000" w:themeColor="text1"/>
                <w:sz w:val="18"/>
                <w:szCs w:val="18"/>
              </w:rPr>
              <w:t>。</w:t>
            </w:r>
          </w:p>
          <w:p>
            <w:pPr>
              <w:spacing w:line="360" w:lineRule="auto"/>
              <w:rPr>
                <w:rFonts w:ascii="宋体" w:hAnsi="宋体"/>
                <w:bCs/>
                <w:color w:val="000000" w:themeColor="text1"/>
                <w:sz w:val="18"/>
                <w:szCs w:val="18"/>
              </w:rPr>
            </w:pPr>
            <w:r>
              <w:rPr>
                <w:rFonts w:ascii="宋体" w:hAnsi="宋体"/>
                <w:b/>
                <w:bCs/>
                <w:color w:val="000000" w:themeColor="text1"/>
                <w:sz w:val="18"/>
                <w:szCs w:val="18"/>
              </w:rPr>
              <w:t>6.</w:t>
            </w:r>
            <w:r>
              <w:rPr>
                <w:rFonts w:hint="eastAsia" w:ascii="宋体" w:hAnsi="宋体"/>
                <w:b/>
                <w:bCs/>
                <w:color w:val="000000" w:themeColor="text1"/>
                <w:sz w:val="18"/>
                <w:szCs w:val="18"/>
              </w:rPr>
              <w:t>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【0.03</w:t>
            </w:r>
            <w:r>
              <w:rPr>
                <w:rFonts w:asciiTheme="majorEastAsia" w:hAnsiTheme="majorEastAsia" w:eastAsiaTheme="majorEastAsia"/>
                <w:sz w:val="18"/>
                <w:szCs w:val="18"/>
              </w:rPr>
              <w:t>】</w:t>
            </w:r>
            <w:r>
              <w:rPr>
                <w:rFonts w:hint="eastAsia" w:asciiTheme="majorEastAsia" w:hAnsiTheme="majorEastAsia" w:eastAsiaTheme="majorEastAsia"/>
                <w:sz w:val="18"/>
                <w:szCs w:val="18"/>
              </w:rPr>
              <w:t>%</w:t>
            </w:r>
            <w:r>
              <w:rPr>
                <w:rFonts w:hint="eastAsia" w:ascii="宋体" w:hAnsi="宋体"/>
                <w:bCs/>
                <w:color w:val="000000" w:themeColor="text1"/>
                <w:sz w:val="18"/>
                <w:szCs w:val="18"/>
              </w:rPr>
              <w:t>。</w:t>
            </w:r>
          </w:p>
          <w:p>
            <w:pPr>
              <w:widowControl/>
              <w:spacing w:line="360" w:lineRule="auto"/>
              <w:jc w:val="left"/>
              <w:rPr>
                <w:rFonts w:ascii="宋体" w:hAnsi="宋体"/>
                <w:b/>
                <w:bCs/>
                <w:color w:val="000000" w:themeColor="text1"/>
                <w:sz w:val="18"/>
                <w:szCs w:val="18"/>
              </w:rPr>
            </w:pPr>
            <w:r>
              <w:rPr>
                <w:rFonts w:hint="eastAsia" w:ascii="宋体" w:hAnsi="宋体"/>
                <w:b/>
                <w:bCs/>
                <w:color w:val="000000" w:themeColor="text1"/>
                <w:sz w:val="18"/>
                <w:szCs w:val="18"/>
              </w:rPr>
              <w:t>7</w:t>
            </w:r>
            <w:r>
              <w:rPr>
                <w:rFonts w:ascii="宋体" w:hAnsi="宋体"/>
                <w:b/>
                <w:bCs/>
                <w:color w:val="000000" w:themeColor="text1"/>
                <w:sz w:val="18"/>
                <w:szCs w:val="18"/>
              </w:rPr>
              <w:t>.</w:t>
            </w:r>
            <w:r>
              <w:rPr>
                <w:rFonts w:hint="eastAsia" w:ascii="宋体" w:hAnsi="宋体"/>
                <w:b/>
                <w:bCs/>
                <w:color w:val="000000" w:themeColor="text1"/>
                <w:sz w:val="18"/>
                <w:szCs w:val="18"/>
              </w:rPr>
              <w:t>超额业绩报酬：</w:t>
            </w:r>
          </w:p>
          <w:p>
            <w:pPr>
              <w:widowControl/>
              <w:spacing w:line="360" w:lineRule="auto"/>
              <w:jc w:val="left"/>
              <w:rPr>
                <w:rFonts w:ascii="宋体" w:hAnsi="宋体"/>
                <w:sz w:val="18"/>
                <w:szCs w:val="18"/>
              </w:rPr>
            </w:pPr>
            <w:r>
              <w:rPr>
                <w:rFonts w:hint="eastAsia" w:ascii="宋体" w:hAnsi="宋体"/>
                <w:sz w:val="18"/>
                <w:szCs w:val="18"/>
              </w:rPr>
              <w:t>每份产品份额在超额业绩报酬计提日时，若理财资产扣除销售服务费、产品托管费和投资管理费等相关费用后，超额业绩报酬计提日产品份额净值折算的年化收益率超过业绩报酬计提基准，则产品管理人收取超出部分的【30%】作为超额业绩报酬。</w:t>
            </w:r>
          </w:p>
          <w:p>
            <w:pPr>
              <w:spacing w:line="360" w:lineRule="auto"/>
              <w:rPr>
                <w:rFonts w:ascii="黑体" w:hAnsi="黑体" w:eastAsia="黑体"/>
                <w:bCs/>
                <w:sz w:val="18"/>
                <w:szCs w:val="18"/>
              </w:rPr>
            </w:pPr>
            <w:r>
              <w:rPr>
                <w:rFonts w:ascii="宋体" w:hAnsi="宋体"/>
                <w:bCs/>
                <w:sz w:val="18"/>
                <w:szCs w:val="18"/>
              </w:rPr>
              <w:t>8</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704" w:type="dxa"/>
            <w:shd w:val="solid" w:color="FFFFFF" w:fill="FFFFFF"/>
            <w:vAlign w:val="center"/>
          </w:tcPr>
          <w:p>
            <w:pPr>
              <w:spacing w:line="360" w:lineRule="auto"/>
              <w:rPr>
                <w:rFonts w:ascii="宋体" w:hAnsi="宋体"/>
                <w:bCs/>
                <w:color w:val="000000" w:themeColor="text1"/>
                <w:sz w:val="18"/>
                <w:szCs w:val="18"/>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6" w:name="_Toc92377132"/>
      <w:bookmarkStart w:id="7" w:name="_Toc79154666"/>
      <w:bookmarkStart w:id="8" w:name="_Toc15862"/>
      <w:r>
        <w:rPr>
          <w:rFonts w:ascii="Times New Roman"/>
          <w:sz w:val="30"/>
        </w:rPr>
        <w:t>第</w:t>
      </w:r>
      <w:r>
        <w:rPr>
          <w:rFonts w:hint="eastAsia" w:ascii="Times New Roman"/>
          <w:sz w:val="30"/>
        </w:rPr>
        <w:t>三条</w:t>
      </w:r>
      <w:r>
        <w:rPr>
          <w:rFonts w:ascii="Times New Roman"/>
          <w:sz w:val="30"/>
        </w:rPr>
        <w:t xml:space="preserve">  </w:t>
      </w:r>
      <w:bookmarkStart w:id="9" w:name="_Toc79392573"/>
      <w:r>
        <w:rPr>
          <w:rFonts w:hint="eastAsia" w:ascii="Times New Roman"/>
          <w:sz w:val="30"/>
        </w:rPr>
        <w:t>理财产品的认购</w:t>
      </w:r>
      <w:bookmarkEnd w:id="6"/>
      <w:bookmarkEnd w:id="7"/>
      <w:bookmarkEnd w:id="8"/>
    </w:p>
    <w:p>
      <w:pPr>
        <w:spacing w:line="360" w:lineRule="auto"/>
        <w:ind w:firstLine="361" w:firstLineChars="200"/>
        <w:rPr>
          <w:rFonts w:asciiTheme="minorEastAsia" w:hAnsiTheme="minorEastAsia"/>
          <w:b/>
          <w:bCs/>
          <w:sz w:val="18"/>
          <w:szCs w:val="18"/>
        </w:rPr>
      </w:pPr>
      <w:bookmarkStart w:id="10" w:name="_Hlt88031774"/>
      <w:bookmarkEnd w:id="10"/>
      <w:bookmarkStart w:id="11"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31"/>
        <w:tblW w:w="7861"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w:t>
            </w:r>
            <w:r>
              <w:rPr>
                <w:rFonts w:hint="eastAsia" w:cs="Times New Roman" w:asciiTheme="minorEastAsia" w:hAnsiTheme="minorEastAsia" w:eastAsiaTheme="minorEastAsia"/>
                <w:bCs/>
                <w:sz w:val="18"/>
                <w:szCs w:val="18"/>
              </w:rPr>
              <w:t>，并登记理财份额</w:t>
            </w:r>
            <w:r>
              <w:rPr>
                <w:rFonts w:hint="eastAsia" w:cs="Times New Roman" w:asciiTheme="minorEastAsia" w:hAnsiTheme="minorEastAsia"/>
                <w:bCs/>
                <w:kern w:val="0"/>
                <w:sz w:val="18"/>
                <w:szCs w:val="18"/>
              </w:rPr>
              <w:t>。</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w:t>
      </w:r>
      <w:r>
        <w:rPr>
          <w:rFonts w:asciiTheme="minorEastAsia" w:hAnsiTheme="minorEastAsia"/>
          <w:bCs/>
          <w:color w:val="auto"/>
          <w:sz w:val="18"/>
          <w:szCs w:val="18"/>
        </w:rPr>
        <w:t>产品管理人</w:t>
      </w:r>
      <w:r>
        <w:rPr>
          <w:rFonts w:hint="eastAsia" w:asciiTheme="minorEastAsia" w:hAnsiTheme="minorEastAsia"/>
          <w:bCs/>
          <w:color w:val="auto"/>
          <w:sz w:val="18"/>
          <w:szCs w:val="18"/>
        </w:rPr>
        <w:t>可受理投资者提交的认购申请。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.认购的起点和追加金额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spacing w:line="360" w:lineRule="auto"/>
        <w:ind w:firstLine="360" w:firstLineChars="200"/>
        <w:rPr>
          <w:rFonts w:asciiTheme="minorEastAsia" w:hAnsiTheme="minorEastAsia"/>
          <w:bCs/>
          <w:sz w:val="18"/>
          <w:szCs w:val="18"/>
        </w:rPr>
      </w:pPr>
      <w:r>
        <w:rPr>
          <w:rFonts w:hint="eastAsia" w:asciiTheme="minorEastAsia" w:hAnsiTheme="minorEastAsia"/>
          <w:bCs/>
          <w:sz w:val="18"/>
          <w:szCs w:val="18"/>
        </w:rPr>
        <w:t>投资者认购资金在产品认购期内按照活期存款利率计息，但在产品认购期所产生的利息不作为理财</w:t>
      </w:r>
      <w:r>
        <w:rPr>
          <w:rFonts w:asciiTheme="minorEastAsia" w:hAnsiTheme="minorEastAsia"/>
          <w:bCs/>
          <w:sz w:val="18"/>
          <w:szCs w:val="18"/>
        </w:rPr>
        <w:t>资金</w:t>
      </w:r>
      <w:r>
        <w:rPr>
          <w:rFonts w:hint="eastAsia" w:asciiTheme="minorEastAsia" w:hAnsiTheme="minorEastAsia"/>
          <w:bCs/>
          <w:sz w:val="18"/>
          <w:szCs w:val="18"/>
        </w:rPr>
        <w:t>进入理财运作，不计算理财利益。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spacing w:line="360" w:lineRule="auto"/>
        <w:ind w:firstLine="360" w:firstLineChars="200"/>
        <w:rPr>
          <w:rFonts w:asciiTheme="minorEastAsia" w:hAnsiTheme="minorEastAsia"/>
          <w:bCs/>
          <w:sz w:val="18"/>
          <w:szCs w:val="18"/>
        </w:rPr>
      </w:pP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pPr>
        <w:pStyle w:val="2"/>
        <w:spacing w:before="0" w:after="0" w:line="360" w:lineRule="auto"/>
        <w:jc w:val="center"/>
        <w:rPr>
          <w:rFonts w:ascii="Times New Roman"/>
          <w:sz w:val="30"/>
        </w:rPr>
      </w:pPr>
      <w:bookmarkStart w:id="12" w:name="_Toc28040"/>
      <w:bookmarkStart w:id="13" w:name="_Toc92377133"/>
      <w:bookmarkStart w:id="14" w:name="_Toc79154667"/>
      <w:r>
        <w:rPr>
          <w:rFonts w:hint="eastAsia" w:ascii="Times New Roman"/>
          <w:sz w:val="30"/>
        </w:rPr>
        <w:t xml:space="preserve">第四条 </w:t>
      </w:r>
      <w:r>
        <w:rPr>
          <w:rFonts w:ascii="Times New Roman"/>
          <w:sz w:val="30"/>
        </w:rPr>
        <w:t xml:space="preserve"> </w:t>
      </w:r>
      <w:r>
        <w:rPr>
          <w:rFonts w:hint="eastAsia" w:ascii="Times New Roman"/>
          <w:sz w:val="30"/>
        </w:rPr>
        <w:t>理财产品的申购与赎回</w:t>
      </w:r>
      <w:bookmarkEnd w:id="12"/>
      <w:bookmarkEnd w:id="13"/>
      <w:bookmarkEnd w:id="14"/>
    </w:p>
    <w:bookmarkEnd w:id="11"/>
    <w:p>
      <w:pPr>
        <w:spacing w:line="360" w:lineRule="auto"/>
        <w:ind w:firstLine="420" w:firstLineChars="200"/>
      </w:pP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（一）理财产品的申购</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申购的时间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本产品设置预约申购期，具体的预约申购期时间以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bCs/>
          <w:color w:val="auto"/>
          <w:sz w:val="18"/>
          <w:szCs w:val="18"/>
        </w:rPr>
        <w:t>为准。</w:t>
      </w:r>
      <w:r>
        <w:rPr>
          <w:rFonts w:hAnsi="宋体"/>
          <w:bCs/>
          <w:color w:val="auto"/>
          <w:sz w:val="18"/>
          <w:szCs w:val="18"/>
        </w:rPr>
        <w:t>投资者</w:t>
      </w:r>
      <w:r>
        <w:rPr>
          <w:rFonts w:hint="eastAsia" w:hAnsi="宋体"/>
          <w:bCs/>
          <w:color w:val="auto"/>
          <w:sz w:val="18"/>
          <w:szCs w:val="18"/>
        </w:rPr>
        <w:t>可在</w:t>
      </w:r>
      <w:r>
        <w:rPr>
          <w:rFonts w:hint="eastAsia" w:asciiTheme="majorEastAsia" w:hAnsiTheme="majorEastAsia" w:eastAsiaTheme="majorEastAsia"/>
          <w:bCs/>
          <w:color w:val="auto"/>
          <w:sz w:val="18"/>
          <w:szCs w:val="18"/>
        </w:rPr>
        <w:t>本产品预约申购期内提出预约申购申请。</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2.申购的方式</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投资者可通过</w:t>
      </w:r>
      <w:r>
        <w:rPr>
          <w:rFonts w:hint="eastAsia" w:asciiTheme="minorEastAsia" w:hAnsiTheme="minorEastAsia"/>
          <w:bCs/>
          <w:color w:val="auto"/>
          <w:sz w:val="18"/>
          <w:szCs w:val="18"/>
        </w:rPr>
        <w:t>销售机构的销售</w:t>
      </w:r>
      <w:r>
        <w:rPr>
          <w:rFonts w:asciiTheme="minorEastAsia" w:hAnsiTheme="minorEastAsia"/>
          <w:bCs/>
          <w:color w:val="auto"/>
          <w:sz w:val="18"/>
          <w:szCs w:val="18"/>
        </w:rPr>
        <w:t>渠道</w:t>
      </w:r>
      <w:r>
        <w:rPr>
          <w:rFonts w:hint="eastAsia" w:asciiTheme="minorEastAsia" w:hAnsiTheme="minorEastAsia"/>
          <w:bCs/>
          <w:color w:val="auto"/>
          <w:sz w:val="18"/>
          <w:szCs w:val="18"/>
        </w:rPr>
        <w:t>申购。不同销售机构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渠道，申购确认时效可能存在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投资者通过</w:t>
      </w:r>
      <w:r>
        <w:rPr>
          <w:rFonts w:hint="eastAsia" w:asciiTheme="minorEastAsia" w:hAnsiTheme="minorEastAsia"/>
          <w:bCs/>
          <w:color w:val="auto"/>
          <w:sz w:val="18"/>
          <w:szCs w:val="18"/>
        </w:rPr>
        <w:t>销售机构线下</w:t>
      </w:r>
      <w:r>
        <w:rPr>
          <w:rFonts w:asciiTheme="minorEastAsia" w:hAnsiTheme="minorEastAsia"/>
          <w:bCs/>
          <w:color w:val="auto"/>
          <w:sz w:val="18"/>
          <w:szCs w:val="18"/>
        </w:rPr>
        <w:t>渠道申购</w:t>
      </w:r>
      <w:r>
        <w:rPr>
          <w:rFonts w:hint="eastAsia" w:asciiTheme="minorEastAsia" w:hAnsiTheme="minorEastAsia"/>
          <w:bCs/>
          <w:color w:val="auto"/>
          <w:sz w:val="18"/>
          <w:szCs w:val="18"/>
        </w:rPr>
        <w:t>的，应签署有关理财产品销售文件。</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投资者通过销售机构线上渠道申购的，应根据销售机构线上渠道的具体要求执行。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申购的确认</w:t>
      </w:r>
    </w:p>
    <w:p>
      <w:pPr>
        <w:spacing w:line="360" w:lineRule="auto"/>
        <w:ind w:firstLine="360" w:firstLineChars="200"/>
        <w:rPr>
          <w:rFonts w:asciiTheme="minorEastAsia" w:hAnsiTheme="minorEastAsia"/>
          <w:bCs/>
          <w:sz w:val="18"/>
          <w:szCs w:val="18"/>
        </w:rPr>
      </w:pPr>
      <w:r>
        <w:rPr>
          <w:rFonts w:hint="eastAsia" w:asciiTheme="minorEastAsia" w:hAnsiTheme="minorEastAsia"/>
          <w:sz w:val="18"/>
          <w:szCs w:val="18"/>
        </w:rPr>
        <w:t>详见《产品说明书》“第二条 理财产品基本情况”</w:t>
      </w:r>
      <w:r>
        <w:rPr>
          <w:rFonts w:hint="eastAsia"/>
          <w:bCs/>
          <w:sz w:val="18"/>
          <w:szCs w:val="18"/>
        </w:rPr>
        <w:t>。</w:t>
      </w:r>
    </w:p>
    <w:p>
      <w:pPr>
        <w:pStyle w:val="34"/>
        <w:spacing w:line="360" w:lineRule="auto"/>
        <w:ind w:firstLine="360" w:firstLineChars="200"/>
        <w:rPr>
          <w:rFonts w:asciiTheme="majorEastAsia" w:hAnsiTheme="majorEastAsia" w:eastAsiaTheme="majorEastAsia"/>
          <w:bCs/>
          <w:sz w:val="18"/>
          <w:szCs w:val="18"/>
        </w:rPr>
      </w:pPr>
      <w:r>
        <w:rPr>
          <w:rFonts w:hint="eastAsia" w:asciiTheme="minorEastAsia" w:hAnsiTheme="minorEastAsia"/>
          <w:bCs/>
          <w:color w:val="auto"/>
          <w:sz w:val="18"/>
          <w:szCs w:val="18"/>
        </w:rPr>
        <w:t>预约申购期内产品管理人可受理投资者提交的预约申购申请。</w:t>
      </w:r>
      <w:r>
        <w:rPr>
          <w:rFonts w:hint="eastAsia" w:asciiTheme="majorEastAsia" w:hAnsiTheme="majorEastAsia" w:eastAsiaTheme="majorEastAsia"/>
          <w:color w:val="auto"/>
          <w:sz w:val="18"/>
          <w:szCs w:val="18"/>
        </w:rPr>
        <w:t>提交预约申购申请并不代表申购成功，产品管理人将在申购确认日确认投资者是否申购成功。申购是否成功以管理人的确认结果为准</w:t>
      </w:r>
      <w:r>
        <w:rPr>
          <w:rFonts w:hint="eastAsia" w:asciiTheme="minorEastAsia" w:hAnsiTheme="minorEastAsia" w:eastAsiaTheme="minorEastAsia"/>
          <w:color w:val="auto"/>
          <w:sz w:val="18"/>
          <w:szCs w:val="18"/>
        </w:rPr>
        <w:t>。</w:t>
      </w:r>
      <w:r>
        <w:rPr>
          <w:rFonts w:hint="eastAsia" w:asciiTheme="minorEastAsia" w:hAnsiTheme="minorEastAsia" w:eastAsiaTheme="minorEastAsia"/>
          <w:bCs/>
          <w:color w:val="auto"/>
          <w:sz w:val="18"/>
          <w:szCs w:val="18"/>
        </w:rPr>
        <w:t>投资者可以在申购确认日系统完成处理后，查询产品份额。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.申购</w:t>
      </w:r>
      <w:r>
        <w:rPr>
          <w:rFonts w:asciiTheme="minorEastAsia" w:hAnsiTheme="minorEastAsia"/>
          <w:b/>
          <w:bCs/>
          <w:sz w:val="18"/>
          <w:szCs w:val="18"/>
        </w:rPr>
        <w:t>的价格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申购价格为申购日的产品份额净值。</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申购的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pStyle w:val="34"/>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sz w:val="18"/>
          <w:szCs w:val="18"/>
        </w:rPr>
        <w:t>申购份额计算</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本产品的申购金额包括申购费用和净申购金额。申购份额的计算公式为：</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净申购金额=申购金额/（1+申购费率）</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申购费用=申购金额－净申购金额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申购份额=净申购金额/申购日产品份额净值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上述计算结果均按四舍五入方法，保留到小数点后2位，由此产生的收益或损失由理财产品承担。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申购的起点和追加金额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申购</w:t>
      </w:r>
      <w:r>
        <w:rPr>
          <w:rFonts w:asciiTheme="minorEastAsia" w:hAnsiTheme="minorEastAsia" w:eastAsiaTheme="minorEastAsia"/>
          <w:b/>
          <w:color w:val="auto"/>
          <w:sz w:val="18"/>
          <w:szCs w:val="18"/>
        </w:rPr>
        <w:t>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（二）理财产品的赎回</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赎回的时间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本产品设置预约赎回期，具体的预约赎回期时间以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bCs/>
          <w:color w:val="auto"/>
          <w:sz w:val="18"/>
          <w:szCs w:val="18"/>
        </w:rPr>
        <w:t>为准。</w:t>
      </w:r>
      <w:r>
        <w:rPr>
          <w:rFonts w:hAnsi="宋体"/>
          <w:bCs/>
          <w:color w:val="auto"/>
          <w:sz w:val="18"/>
          <w:szCs w:val="18"/>
        </w:rPr>
        <w:t>投资者</w:t>
      </w:r>
      <w:r>
        <w:rPr>
          <w:rFonts w:hint="eastAsia" w:hAnsi="宋体"/>
          <w:bCs/>
          <w:color w:val="auto"/>
          <w:sz w:val="18"/>
          <w:szCs w:val="18"/>
        </w:rPr>
        <w:t>可在</w:t>
      </w:r>
      <w:r>
        <w:rPr>
          <w:rFonts w:hint="eastAsia" w:asciiTheme="majorEastAsia" w:hAnsiTheme="majorEastAsia" w:eastAsiaTheme="majorEastAsia"/>
          <w:bCs/>
          <w:color w:val="auto"/>
          <w:sz w:val="18"/>
          <w:szCs w:val="18"/>
        </w:rPr>
        <w:t>本产品预约赎回期内提出预约赎回申请。</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2.赎回的方式</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投资者可通过</w:t>
      </w:r>
      <w:r>
        <w:rPr>
          <w:rFonts w:hint="eastAsia" w:asciiTheme="majorEastAsia" w:hAnsiTheme="majorEastAsia" w:eastAsiaTheme="majorEastAsia"/>
          <w:color w:val="auto"/>
          <w:sz w:val="18"/>
          <w:szCs w:val="18"/>
        </w:rPr>
        <w:t>销售机构的销售</w:t>
      </w:r>
      <w:r>
        <w:rPr>
          <w:rFonts w:asciiTheme="majorEastAsia" w:hAnsiTheme="majorEastAsia" w:eastAsiaTheme="majorEastAsia"/>
          <w:color w:val="auto"/>
          <w:sz w:val="18"/>
          <w:szCs w:val="18"/>
        </w:rPr>
        <w:t>渠道</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w:t>
      </w:r>
      <w:r>
        <w:rPr>
          <w:rFonts w:hint="eastAsia" w:asciiTheme="minorEastAsia" w:hAnsiTheme="minorEastAsia"/>
          <w:bCs/>
          <w:color w:val="auto"/>
          <w:sz w:val="18"/>
          <w:szCs w:val="18"/>
        </w:rPr>
        <w:t>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渠道，赎回确认时效可能存在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w:t>
      </w:r>
      <w:r>
        <w:rPr>
          <w:rFonts w:asciiTheme="minorEastAsia" w:hAnsiTheme="minorEastAsia" w:eastAsiaTheme="minorEastAsia"/>
          <w:color w:val="auto"/>
          <w:sz w:val="18"/>
          <w:szCs w:val="18"/>
        </w:rPr>
        <w:t>渠道赎回的</w:t>
      </w:r>
      <w:r>
        <w:rPr>
          <w:rFonts w:hint="eastAsia" w:asciiTheme="majorEastAsia" w:hAnsiTheme="majorEastAsia" w:eastAsiaTheme="majorEastAsia"/>
          <w:color w:val="auto"/>
          <w:sz w:val="18"/>
          <w:szCs w:val="18"/>
        </w:rPr>
        <w:t>，应签署</w:t>
      </w:r>
      <w:r>
        <w:rPr>
          <w:rFonts w:hint="eastAsia" w:asciiTheme="minorEastAsia" w:hAnsiTheme="minorEastAsia"/>
          <w:bCs/>
          <w:color w:val="auto"/>
          <w:sz w:val="18"/>
          <w:szCs w:val="18"/>
        </w:rPr>
        <w:t>有关理财产品销售文件</w:t>
      </w:r>
      <w:r>
        <w:rPr>
          <w:rFonts w:hint="eastAsia" w:asciiTheme="majorEastAsia" w:hAnsiTheme="majorEastAsia" w:eastAsiaTheme="majorEastAsia"/>
          <w:color w:val="auto"/>
          <w:sz w:val="18"/>
          <w:szCs w:val="18"/>
        </w:rPr>
        <w:t>。</w:t>
      </w:r>
    </w:p>
    <w:p>
      <w:pPr>
        <w:pStyle w:val="34"/>
        <w:spacing w:line="360" w:lineRule="auto"/>
        <w:ind w:firstLine="360" w:firstLineChars="200"/>
        <w:rPr>
          <w:rFonts w:asciiTheme="minorEastAsia" w:hAnsiTheme="minorEastAsia"/>
          <w:bCs/>
          <w:color w:val="auto"/>
          <w:sz w:val="18"/>
          <w:szCs w:val="18"/>
        </w:rPr>
      </w:pPr>
      <w:r>
        <w:rPr>
          <w:rFonts w:hint="eastAsia" w:asciiTheme="majorEastAsia" w:hAnsiTheme="majorEastAsia" w:eastAsiaTheme="majorEastAsia"/>
          <w:color w:val="auto"/>
          <w:sz w:val="18"/>
          <w:szCs w:val="18"/>
        </w:rPr>
        <w:t>投资者通过销售机构线上渠道</w:t>
      </w:r>
      <w:r>
        <w:rPr>
          <w:rFonts w:hint="eastAsia" w:asciiTheme="minorEastAsia" w:hAnsiTheme="minorEastAsia" w:eastAsiaTheme="minorEastAsia"/>
          <w:color w:val="auto"/>
          <w:sz w:val="18"/>
          <w:szCs w:val="18"/>
        </w:rPr>
        <w:t>赎回的，</w:t>
      </w:r>
      <w:r>
        <w:rPr>
          <w:rFonts w:hint="eastAsia" w:asciiTheme="minorEastAsia" w:hAnsiTheme="minorEastAsia"/>
          <w:bCs/>
          <w:color w:val="auto"/>
          <w:sz w:val="18"/>
          <w:szCs w:val="18"/>
        </w:rPr>
        <w:t>应根据销售机构线上渠道的具体要求执行。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赎回的确认</w:t>
      </w:r>
    </w:p>
    <w:p>
      <w:pPr>
        <w:spacing w:line="360" w:lineRule="auto"/>
        <w:ind w:firstLine="360" w:firstLineChars="200"/>
        <w:rPr>
          <w:rFonts w:asciiTheme="minorEastAsia" w:hAnsiTheme="minorEastAsia"/>
          <w:bCs/>
          <w:sz w:val="18"/>
          <w:szCs w:val="18"/>
        </w:rPr>
      </w:pPr>
      <w:r>
        <w:rPr>
          <w:rFonts w:hint="eastAsia" w:asciiTheme="minorEastAsia" w:hAnsiTheme="minorEastAsia"/>
          <w:sz w:val="18"/>
          <w:szCs w:val="18"/>
        </w:rPr>
        <w:t>详见《产品说明书》“第二条 理财产品基本情况”</w:t>
      </w:r>
      <w:r>
        <w:rPr>
          <w:rFonts w:hint="eastAsia"/>
          <w:bCs/>
          <w:sz w:val="18"/>
          <w:szCs w:val="18"/>
        </w:rPr>
        <w:t>。</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预约赎回期内产品管理人可受理投资者提交的预约赎回申请。</w:t>
      </w:r>
      <w:r>
        <w:rPr>
          <w:rFonts w:hint="eastAsia" w:asciiTheme="majorEastAsia" w:hAnsiTheme="majorEastAsia" w:eastAsiaTheme="majorEastAsia"/>
          <w:color w:val="auto"/>
          <w:sz w:val="18"/>
          <w:szCs w:val="18"/>
        </w:rPr>
        <w:t>提交预约赎回申请并不代表赎回成功，产品管理人将在赎回确认日确认投资者是否赎回成功。赎回是否成功以管理人的确认结果为准</w:t>
      </w:r>
      <w:r>
        <w:rPr>
          <w:rFonts w:hint="eastAsia" w:asciiTheme="minorEastAsia" w:hAnsiTheme="minorEastAsia" w:eastAsiaTheme="minorEastAsia"/>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.赎回</w:t>
      </w:r>
      <w:r>
        <w:rPr>
          <w:rFonts w:asciiTheme="minorEastAsia" w:hAnsiTheme="minorEastAsia"/>
          <w:b/>
          <w:bCs/>
          <w:sz w:val="18"/>
          <w:szCs w:val="18"/>
        </w:rPr>
        <w:t>的价格</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赎回</w:t>
      </w:r>
      <w:r>
        <w:rPr>
          <w:rFonts w:asciiTheme="majorEastAsia" w:hAnsiTheme="majorEastAsia" w:eastAsiaTheme="majorEastAsia"/>
          <w:bCs/>
          <w:color w:val="auto"/>
          <w:sz w:val="18"/>
          <w:szCs w:val="18"/>
        </w:rPr>
        <w:t>价格为赎回日</w:t>
      </w:r>
      <w:r>
        <w:rPr>
          <w:rFonts w:hint="eastAsia" w:asciiTheme="majorEastAsia" w:hAnsiTheme="majorEastAsia" w:eastAsiaTheme="majorEastAsia"/>
          <w:bCs/>
          <w:color w:val="auto"/>
          <w:sz w:val="18"/>
          <w:szCs w:val="18"/>
        </w:rPr>
        <w:t>的</w:t>
      </w:r>
      <w:r>
        <w:rPr>
          <w:rFonts w:asciiTheme="majorEastAsia" w:hAnsiTheme="majorEastAsia" w:eastAsiaTheme="majorEastAsia"/>
          <w:bCs/>
          <w:color w:val="auto"/>
          <w:sz w:val="18"/>
          <w:szCs w:val="18"/>
        </w:rPr>
        <w:t>产品份额净值</w:t>
      </w:r>
      <w:r>
        <w:rPr>
          <w:rFonts w:hint="eastAsia" w:asciiTheme="majorEastAsia" w:hAnsiTheme="majorEastAsia" w:eastAsiaTheme="majorEastAsia"/>
          <w:bCs/>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赎回的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pStyle w:val="34"/>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color w:val="auto"/>
          <w:sz w:val="18"/>
          <w:szCs w:val="18"/>
        </w:rPr>
        <w:t>赎回</w:t>
      </w:r>
      <w:r>
        <w:rPr>
          <w:rFonts w:hint="eastAsia" w:asciiTheme="minorEastAsia" w:hAnsiTheme="minorEastAsia"/>
          <w:b/>
          <w:bCs/>
          <w:sz w:val="18"/>
          <w:szCs w:val="18"/>
        </w:rPr>
        <w:t>金额计算</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本产品赎回</w:t>
      </w:r>
      <w:r>
        <w:rPr>
          <w:rFonts w:asciiTheme="minorEastAsia" w:hAnsiTheme="minorEastAsia"/>
          <w:bCs/>
          <w:color w:val="auto"/>
          <w:sz w:val="18"/>
          <w:szCs w:val="18"/>
        </w:rPr>
        <w:t>金额</w:t>
      </w:r>
      <w:r>
        <w:rPr>
          <w:rFonts w:hint="eastAsia" w:asciiTheme="minorEastAsia" w:hAnsiTheme="minorEastAsia"/>
          <w:bCs/>
          <w:color w:val="auto"/>
          <w:sz w:val="18"/>
          <w:szCs w:val="18"/>
        </w:rPr>
        <w:t>的计算公式如下：</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赎回总金额=赎回份额×赎回日该产品份额净值</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赎回费用=赎回总金额×赎回费率</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净赎回金额=赎回总金额-赎回费用</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上述计算结果均按四舍五入方法，保留到小数点后</w:t>
      </w: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位，由此产生的收益或损失由理财产品承担。</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b/>
          <w:bCs/>
          <w:color w:val="auto"/>
          <w:sz w:val="18"/>
          <w:szCs w:val="18"/>
        </w:rPr>
        <w:t>赎回</w:t>
      </w:r>
      <w:r>
        <w:rPr>
          <w:rFonts w:asciiTheme="minorEastAsia" w:hAnsiTheme="minorEastAsia" w:eastAsiaTheme="minorEastAsia"/>
          <w:b/>
          <w:color w:val="auto"/>
          <w:sz w:val="18"/>
          <w:szCs w:val="18"/>
        </w:rPr>
        <w:t>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（四）</w:t>
      </w:r>
      <w:r>
        <w:rPr>
          <w:rFonts w:hint="eastAsia" w:asciiTheme="majorEastAsia" w:hAnsiTheme="majorEastAsia" w:eastAsiaTheme="majorEastAsia"/>
          <w:b/>
          <w:color w:val="auto"/>
          <w:sz w:val="18"/>
          <w:szCs w:val="18"/>
        </w:rPr>
        <w:t>申购与赎回的原则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金额申购、份额赎回</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原则，即申购以金额申请，赎回以份额申请。</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2.</w:t>
      </w:r>
      <w:r>
        <w:rPr>
          <w:rFonts w:asciiTheme="majorEastAsia" w:hAnsiTheme="majorEastAsia" w:eastAsiaTheme="majorEastAsia"/>
          <w:bCs/>
          <w:color w:val="auto"/>
          <w:sz w:val="18"/>
          <w:szCs w:val="18"/>
        </w:rPr>
        <w:t>申购和赎回采用“</w:t>
      </w:r>
      <w:r>
        <w:rPr>
          <w:rFonts w:hint="eastAsia" w:asciiTheme="majorEastAsia" w:hAnsiTheme="majorEastAsia" w:eastAsiaTheme="majorEastAsia"/>
          <w:bCs/>
          <w:color w:val="auto"/>
          <w:sz w:val="18"/>
          <w:szCs w:val="18"/>
        </w:rPr>
        <w:t>未知价</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原则，即本产品申购申请和赎回申请提交时，适用的产品份额净值都是未知的。</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3.</w:t>
      </w:r>
      <w:r>
        <w:rPr>
          <w:rFonts w:asciiTheme="majorEastAsia" w:hAnsiTheme="majorEastAsia" w:eastAsiaTheme="majorEastAsia"/>
          <w:color w:val="auto"/>
          <w:sz w:val="18"/>
          <w:szCs w:val="18"/>
        </w:rPr>
        <w:t>申购、</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申请可以在对应申购</w:t>
      </w:r>
      <w:r>
        <w:rPr>
          <w:rFonts w:hint="eastAsia" w:asciiTheme="majorEastAsia" w:hAnsiTheme="majorEastAsia" w:eastAsiaTheme="majorEastAsia"/>
          <w:color w:val="auto"/>
          <w:sz w:val="18"/>
          <w:szCs w:val="18"/>
        </w:rPr>
        <w:t>日、</w:t>
      </w:r>
      <w:r>
        <w:rPr>
          <w:rFonts w:asciiTheme="majorEastAsia" w:hAnsiTheme="majorEastAsia" w:eastAsiaTheme="majorEastAsia"/>
          <w:color w:val="auto"/>
          <w:sz w:val="18"/>
          <w:szCs w:val="18"/>
        </w:rPr>
        <w:t>赎回</w:t>
      </w:r>
      <w:r>
        <w:rPr>
          <w:rFonts w:hint="eastAsia" w:asciiTheme="majorEastAsia" w:hAnsiTheme="majorEastAsia" w:eastAsiaTheme="majorEastAsia"/>
          <w:color w:val="auto"/>
          <w:sz w:val="18"/>
          <w:szCs w:val="18"/>
        </w:rPr>
        <w:t>日</w:t>
      </w:r>
      <w:r>
        <w:rPr>
          <w:rFonts w:asciiTheme="majorEastAsia" w:hAnsiTheme="majorEastAsia" w:eastAsiaTheme="majorEastAsia"/>
          <w:color w:val="auto"/>
          <w:sz w:val="18"/>
          <w:szCs w:val="18"/>
        </w:rPr>
        <w:t>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赎回遵循“先进先出”原则，即按照投资者认购、申购的先后次序进行顺序赎回。</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（五）拒绝或暂停申购的情形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w:t>
      </w:r>
      <w:r>
        <w:rPr>
          <w:rFonts w:asciiTheme="majorEastAsia" w:hAnsiTheme="majorEastAsia" w:eastAsiaTheme="majorEastAsia"/>
          <w:color w:val="auto"/>
          <w:sz w:val="18"/>
          <w:szCs w:val="18"/>
        </w:rPr>
        <w:t>申购申请：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.发生暂停理财资产估值情况时，产品管理人可暂停接受投资者的申购申请。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.本产品出现当日净收益小于零的情形，为保护持有人的权益，产品管理人可暂停本产品的申购。</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.产品管理人认为接受某笔或某些申购申请可能会影响或损害现有理财份额持有人权益时。</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.理财产品规模过大，产品管理人无法找到合适的投资品种，或其他可能对理财业绩产生负面影响，从而损害现有理财份额持有人权益的情形。</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7</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8</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如果投资者的申购申请被拒绝，被拒绝的申购款项将退还给投资者。在暂停申购的情况消除时，产品管理人应及时恢复申购业务的办理。</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（六）暂停赎回或延缓支付赎回款项的情形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发生下列情形时，产品管理人可暂停接受投资者的赎回申请或延缓支付赎回款项：</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.因不可抗力导致产品管理人不能支付赎回款项。</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.发生暂停理财资产估值情况时，产品管理人可暂停接受投资者的赎回申请或延缓支付赎回款项。</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w:t>
      </w:r>
      <w:r>
        <w:rPr>
          <w:rFonts w:asciiTheme="majorEastAsia" w:hAnsiTheme="majorEastAsia" w:eastAsiaTheme="majorEastAsia"/>
          <w:color w:val="auto"/>
          <w:sz w:val="18"/>
          <w:szCs w:val="18"/>
        </w:rPr>
        <w:t>证券交易所或银行间市场出现异常市场情况，管理人无法</w:t>
      </w:r>
      <w:r>
        <w:rPr>
          <w:rFonts w:hint="eastAsia" w:asciiTheme="majorEastAsia" w:hAnsiTheme="majorEastAsia" w:eastAsiaTheme="majorEastAsia"/>
          <w:color w:val="auto"/>
          <w:sz w:val="18"/>
          <w:szCs w:val="18"/>
        </w:rPr>
        <w:t>开展产品的</w:t>
      </w:r>
      <w:r>
        <w:rPr>
          <w:rFonts w:asciiTheme="majorEastAsia" w:hAnsiTheme="majorEastAsia" w:eastAsiaTheme="majorEastAsia"/>
          <w:color w:val="auto"/>
          <w:sz w:val="18"/>
          <w:szCs w:val="18"/>
        </w:rPr>
        <w:t>流动性</w:t>
      </w:r>
      <w:r>
        <w:rPr>
          <w:rFonts w:hint="eastAsia" w:asciiTheme="majorEastAsia" w:hAnsiTheme="majorEastAsia" w:eastAsiaTheme="majorEastAsia"/>
          <w:color w:val="auto"/>
          <w:sz w:val="18"/>
          <w:szCs w:val="18"/>
        </w:rPr>
        <w:t>管理</w:t>
      </w:r>
      <w:r>
        <w:rPr>
          <w:rFonts w:asciiTheme="majorEastAsia" w:hAnsiTheme="majorEastAsia" w:eastAsiaTheme="majorEastAsia"/>
          <w:color w:val="auto"/>
          <w:sz w:val="18"/>
          <w:szCs w:val="18"/>
        </w:rPr>
        <w:t>。</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.本产品出现当日净收益小于零的情形，为保护持有人的权益，产品管理人可暂停本产品的赎回。</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.发生单个投资者在赎回日申请赎回的理财产品份额超过限额的。</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7.发生巨额赎回。</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8.产品管理人和产品托管人的技术保障等异常情况导致理财销售系统或会计系统无法正常运行。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9.证券交易所或银行间市场数据传输延迟、通讯系统故障、银行系统故障或其他非产品管理人及产品托管人所能控制的因素影响了产品运作流程。</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10.法律法规规定或监管机构认定的其他情形。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bCs/>
          <w:sz w:val="18"/>
          <w:szCs w:val="18"/>
        </w:rPr>
        <w:t>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w:t>
      </w:r>
      <w:r>
        <w:rPr>
          <w:rFonts w:hint="eastAsia" w:asciiTheme="majorEastAsia" w:hAnsiTheme="majorEastAsia" w:eastAsiaTheme="majorEastAsia"/>
          <w:color w:val="auto"/>
          <w:sz w:val="18"/>
          <w:szCs w:val="18"/>
        </w:rPr>
        <w:t>在暂停赎回或延缓支付赎回款项的情况消除时，产品管理人应及时恢复赎回或支付业务赎回款项的办理。</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（七）巨额赎回的情形及</w:t>
      </w:r>
      <w:r>
        <w:rPr>
          <w:rFonts w:asciiTheme="majorEastAsia" w:hAnsiTheme="majorEastAsia" w:eastAsiaTheme="majorEastAsia"/>
          <w:b/>
          <w:color w:val="auto"/>
          <w:sz w:val="18"/>
          <w:szCs w:val="18"/>
        </w:rPr>
        <w:t>处理方式</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巨额赎回的认定</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巨额赎回的处理方式</w:t>
      </w:r>
    </w:p>
    <w:p>
      <w:pPr>
        <w:widowControl/>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出现巨额赎回时，产品管理人有权决定：（1）</w:t>
      </w:r>
      <w:r>
        <w:rPr>
          <w:rFonts w:asciiTheme="majorEastAsia" w:hAnsiTheme="majorEastAsia" w:eastAsiaTheme="majorEastAsia"/>
          <w:bCs/>
          <w:sz w:val="18"/>
          <w:szCs w:val="18"/>
        </w:rPr>
        <w:t>不接受</w:t>
      </w:r>
      <w:r>
        <w:rPr>
          <w:rFonts w:hint="eastAsia" w:asciiTheme="majorEastAsia" w:hAnsiTheme="majorEastAsia" w:eastAsiaTheme="majorEastAsia"/>
          <w:bCs/>
          <w:sz w:val="18"/>
          <w:szCs w:val="18"/>
        </w:rPr>
        <w:t>超出部分的净预约赎回申请，但投资者可于下一预约赎回期重新进行预约赎回申请；（</w:t>
      </w:r>
      <w:r>
        <w:rPr>
          <w:rFonts w:asciiTheme="majorEastAsia" w:hAnsiTheme="majorEastAsia" w:eastAsiaTheme="majorEastAsia"/>
          <w:bCs/>
          <w:sz w:val="18"/>
          <w:szCs w:val="18"/>
        </w:rPr>
        <w:t>2）延缓支付赎回款项</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如产品管理人认为有必要，</w:t>
      </w:r>
      <w:r>
        <w:rPr>
          <w:rFonts w:hint="eastAsia" w:asciiTheme="majorEastAsia" w:hAnsiTheme="majorEastAsia" w:eastAsiaTheme="majorEastAsia"/>
          <w:bCs/>
          <w:sz w:val="18"/>
          <w:szCs w:val="18"/>
        </w:rPr>
        <w:t>针对</w:t>
      </w:r>
      <w:r>
        <w:rPr>
          <w:rFonts w:asciiTheme="majorEastAsia" w:hAnsiTheme="majorEastAsia" w:eastAsiaTheme="majorEastAsia"/>
          <w:bCs/>
          <w:sz w:val="18"/>
          <w:szCs w:val="18"/>
        </w:rPr>
        <w:t>已经</w:t>
      </w:r>
      <w:r>
        <w:rPr>
          <w:rFonts w:hint="eastAsia" w:asciiTheme="majorEastAsia" w:hAnsiTheme="majorEastAsia" w:eastAsiaTheme="majorEastAsia"/>
          <w:bCs/>
          <w:sz w:val="18"/>
          <w:szCs w:val="18"/>
        </w:rPr>
        <w:t>确认</w:t>
      </w:r>
      <w:r>
        <w:rPr>
          <w:rFonts w:asciiTheme="majorEastAsia" w:hAnsiTheme="majorEastAsia" w:eastAsiaTheme="majorEastAsia"/>
          <w:bCs/>
          <w:sz w:val="18"/>
          <w:szCs w:val="18"/>
        </w:rPr>
        <w:t>的赎回申请</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可以延缓支付赎回款项。延缓支付赎回款项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。（3）法律法规规定或监管机构规定的其他措施。</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巨额赎回的公告</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在发生巨额赎回产品管理人暂停接受投资者预约赎回申请时，产品管理人将依约定发布相关公告信息。</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（八）日期遇非工作日的调整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申购日、申购确认日、赎回日以及赎回确认日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（九）投资者持有理财份额的限额和理财产品总规模限额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kern w:val="0"/>
          <w:sz w:val="18"/>
          <w:szCs w:val="18"/>
        </w:rPr>
      </w:pPr>
      <w:r>
        <w:rPr>
          <w:rFonts w:asciiTheme="minorEastAsia" w:hAnsiTheme="minorEastAsia"/>
          <w:bCs/>
          <w:sz w:val="18"/>
          <w:szCs w:val="18"/>
        </w:rPr>
        <w:br w:type="page"/>
      </w:r>
    </w:p>
    <w:bookmarkEnd w:id="9"/>
    <w:p>
      <w:pPr>
        <w:pStyle w:val="2"/>
        <w:spacing w:before="0" w:after="0" w:line="360" w:lineRule="auto"/>
        <w:jc w:val="center"/>
        <w:rPr>
          <w:rFonts w:ascii="Times New Roman"/>
          <w:sz w:val="30"/>
        </w:rPr>
      </w:pPr>
      <w:bookmarkStart w:id="15" w:name="_Toc29948"/>
      <w:bookmarkStart w:id="16" w:name="_Toc90742321"/>
      <w:bookmarkStart w:id="17" w:name="_Toc74065741"/>
      <w:bookmarkStart w:id="18" w:name="_Toc16265"/>
      <w:bookmarkStart w:id="19" w:name="_Toc90742390"/>
      <w:bookmarkStart w:id="20" w:name="_Toc22074"/>
      <w:bookmarkStart w:id="21" w:name="_Toc90742688"/>
      <w:bookmarkStart w:id="22" w:name="_Toc3266"/>
      <w:bookmarkStart w:id="23" w:name="_Toc29784"/>
      <w:bookmarkStart w:id="24" w:name="_Toc27226"/>
      <w:bookmarkStart w:id="25" w:name="_Toc6714"/>
      <w:bookmarkStart w:id="26" w:name="_Toc24722"/>
      <w:bookmarkStart w:id="27" w:name="_Toc27189"/>
      <w:bookmarkStart w:id="28" w:name="_Toc92377134"/>
      <w:bookmarkStart w:id="29" w:name="_Toc79154668"/>
      <w:bookmarkStart w:id="30" w:name="_Toc7151"/>
      <w:bookmarkStart w:id="31" w:name="_Toc15203"/>
      <w:r>
        <w:rPr>
          <w:rFonts w:ascii="Times New Roman"/>
          <w:sz w:val="30"/>
        </w:rPr>
        <w:t>第</w:t>
      </w:r>
      <w:r>
        <w:rPr>
          <w:rFonts w:hint="eastAsia" w:ascii="Times New Roman"/>
          <w:sz w:val="30"/>
        </w:rPr>
        <w:t>五条</w:t>
      </w:r>
      <w:r>
        <w:rPr>
          <w:rFonts w:ascii="Times New Roman"/>
          <w:sz w:val="30"/>
        </w:rPr>
        <w:t xml:space="preserve">  </w:t>
      </w:r>
      <w:r>
        <w:rPr>
          <w:rFonts w:hint="eastAsia" w:ascii="Times New Roman"/>
          <w:sz w:val="30"/>
        </w:rPr>
        <w:t>理财产品的投资</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在严格控制组合风险的前提下，通过不断优化组合，力争实现超越业绩比较基准的收益。</w:t>
      </w:r>
    </w:p>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w:t>
      </w:r>
      <w:r>
        <w:rPr>
          <w:rFonts w:asciiTheme="majorEastAsia" w:hAnsiTheme="majorEastAsia" w:eastAsiaTheme="majorEastAsia"/>
          <w:bCs/>
          <w:sz w:val="18"/>
          <w:szCs w:val="18"/>
        </w:rPr>
        <w:t>主要投资范围包括但不限于</w:t>
      </w:r>
      <w:r>
        <w:rPr>
          <w:rFonts w:hint="eastAsia" w:asciiTheme="majorEastAsia" w:hAnsiTheme="majorEastAsia" w:eastAsiaTheme="majorEastAsia"/>
          <w:bCs/>
          <w:sz w:val="18"/>
          <w:szCs w:val="18"/>
        </w:rPr>
        <w:t>（实际投资范围可根据法律法规及监管规定进行调整）</w:t>
      </w:r>
      <w:r>
        <w:rPr>
          <w:rFonts w:asciiTheme="majorEastAsia" w:hAnsiTheme="majorEastAsia" w:eastAsiaTheme="majorEastAsia"/>
          <w:bCs/>
          <w:sz w:val="18"/>
          <w:szCs w:val="18"/>
        </w:rPr>
        <w:t>：</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（3）符合监管要求的债权类资产。</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（4）以套期保值为目的的国债期货、利率互换、</w:t>
      </w:r>
      <w:r>
        <w:rPr>
          <w:rFonts w:hint="eastAsia" w:asciiTheme="majorEastAsia" w:hAnsiTheme="majorEastAsia" w:eastAsiaTheme="majorEastAsia"/>
          <w:bCs/>
          <w:color w:val="000000" w:themeColor="text1"/>
          <w:sz w:val="18"/>
          <w:szCs w:val="18"/>
        </w:rPr>
        <w:t>信用风险缓释工具、</w:t>
      </w:r>
      <w:r>
        <w:rPr>
          <w:rFonts w:hint="eastAsia" w:asciiTheme="majorEastAsia" w:hAnsiTheme="majorEastAsia" w:eastAsiaTheme="majorEastAsia"/>
          <w:bCs/>
          <w:sz w:val="18"/>
          <w:szCs w:val="18"/>
        </w:rPr>
        <w:t>债券借贷。</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投资于上述资产的资产管理产品，包括资金信托，证券公司、证券公司子公司、基金管理公司、基金管理子公司、期货公司、期货公司子公司、保险资产管理机构、金融资产投资公司发行的资产管理产品等（投资于上述资产的资产管理产品的管理人可以聘请符合法律法规规定的投资顾问）。</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（6）其他风险不高于前述资产的资产。</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.投资组合比例：</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本产品投资于固定收益类资产的比例不低于产品总资产的</w:t>
      </w:r>
      <w:r>
        <w:rPr>
          <w:rFonts w:asciiTheme="majorEastAsia" w:hAnsiTheme="majorEastAsia" w:eastAsiaTheme="majorEastAsia"/>
          <w:bCs/>
          <w:sz w:val="18"/>
          <w:szCs w:val="18"/>
        </w:rPr>
        <w:t>80%</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w:t>
      </w:r>
      <w:r>
        <w:rPr>
          <w:rFonts w:asciiTheme="majorEastAsia" w:hAnsiTheme="majorEastAsia" w:eastAsiaTheme="majorEastAsia"/>
          <w:bCs/>
          <w:sz w:val="18"/>
          <w:szCs w:val="18"/>
        </w:rPr>
        <w:t>符合监管要求的非标准化债权类资产低于产品总资产的50%。</w:t>
      </w:r>
    </w:p>
    <w:p>
      <w:pPr>
        <w:pStyle w:val="34"/>
        <w:spacing w:line="360" w:lineRule="auto"/>
        <w:ind w:firstLine="423" w:firstLineChars="235"/>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kern w:val="2"/>
          <w:sz w:val="18"/>
          <w:szCs w:val="18"/>
        </w:rPr>
        <w:t>（3）</w:t>
      </w:r>
      <w:r>
        <w:rPr>
          <w:rFonts w:hint="eastAsia" w:asciiTheme="majorEastAsia" w:hAnsiTheme="majorEastAsia" w:eastAsiaTheme="majorEastAsia"/>
          <w:bCs/>
          <w:sz w:val="18"/>
          <w:szCs w:val="18"/>
        </w:rPr>
        <w:t>国债期货、利率互换、信用风险缓释工具等衍生品</w:t>
      </w:r>
      <w:r>
        <w:rPr>
          <w:rFonts w:hint="eastAsia" w:asciiTheme="majorEastAsia" w:hAnsiTheme="majorEastAsia" w:eastAsiaTheme="majorEastAsia"/>
          <w:bCs/>
          <w:color w:val="000000" w:themeColor="text1"/>
          <w:kern w:val="2"/>
          <w:sz w:val="18"/>
          <w:szCs w:val="18"/>
        </w:rPr>
        <w:t>占产品总资产比例低于20%。</w:t>
      </w:r>
    </w:p>
    <w:p>
      <w:pPr>
        <w:autoSpaceDE w:val="0"/>
        <w:autoSpaceDN w:val="0"/>
        <w:adjustRightInd w:val="0"/>
        <w:spacing w:line="360" w:lineRule="auto"/>
        <w:ind w:firstLine="361" w:firstLineChars="200"/>
        <w:jc w:val="left"/>
      </w:pPr>
      <w:r>
        <w:rPr>
          <w:rFonts w:hint="eastAsia" w:asciiTheme="majorEastAsia" w:hAnsiTheme="majorEastAsia" w:eastAsiaTheme="majorEastAsia"/>
          <w:b/>
          <w:sz w:val="18"/>
          <w:szCs w:val="18"/>
        </w:rPr>
        <w:t>注：本产品可能投资不存在活跃交易市场，并且需要采用估值技术确定公允价值的资产，且投资上述资产的比例达到理财产品净资产50%以上。</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.如果法律法规对本协议约定投资组合比例限制进行变更的，以变更后的规定为准。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使产品的投资组合比例符合本协议的有关约定，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应当符合本协议</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产品管理人应当根据市场情况调整投资范围、投资资产种类或投资比例，并进行相应公告。超出前述约定投资比例的，除高风险类型的理财产品超出比例范围投资较低风险资产外，</w:t>
      </w:r>
      <w:r>
        <w:rPr>
          <w:rFonts w:ascii="黑体" w:hAnsi="黑体" w:eastAsia="黑体"/>
          <w:bCs/>
          <w:sz w:val="18"/>
          <w:szCs w:val="18"/>
        </w:rPr>
        <w:t>投资者有权不接受变更</w:t>
      </w:r>
      <w:r>
        <w:rPr>
          <w:rFonts w:hint="eastAsia" w:ascii="黑体" w:hAnsi="黑体" w:eastAsia="黑体"/>
          <w:bCs/>
          <w:sz w:val="18"/>
          <w:szCs w:val="18"/>
        </w:rPr>
        <w:t>，并通过赎回退出本产品。</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w:t>
      </w:r>
      <w:r>
        <w:rPr>
          <w:rFonts w:hint="eastAsia" w:ascii="黑体" w:hAnsi="黑体" w:eastAsia="黑体"/>
          <w:bCs/>
          <w:sz w:val="18"/>
          <w:szCs w:val="18"/>
        </w:rPr>
        <w:t>协议</w:t>
      </w:r>
      <w:r>
        <w:rPr>
          <w:rFonts w:ascii="黑体" w:hAnsi="黑体" w:eastAsia="黑体"/>
          <w:bCs/>
          <w:sz w:val="18"/>
          <w:szCs w:val="18"/>
        </w:rPr>
        <w:t>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本</w:t>
      </w:r>
      <w:r>
        <w:rPr>
          <w:rFonts w:hint="eastAsia" w:asciiTheme="majorEastAsia" w:hAnsiTheme="majorEastAsia" w:eastAsiaTheme="majorEastAsia"/>
          <w:color w:val="auto"/>
          <w:sz w:val="18"/>
          <w:szCs w:val="18"/>
        </w:rPr>
        <w:t>产品投资单只证券或者单只公募证券投资基金的市值不得超过该理财产品净资产的</w:t>
      </w:r>
      <w:r>
        <w:rPr>
          <w:rFonts w:asciiTheme="majorEastAsia" w:hAnsiTheme="majorEastAsia" w:eastAsiaTheme="majorEastAsia"/>
          <w:color w:val="auto"/>
          <w:sz w:val="18"/>
          <w:szCs w:val="18"/>
        </w:rPr>
        <w:t>10%</w:t>
      </w:r>
      <w:r>
        <w:rPr>
          <w:rFonts w:hint="eastAsia" w:asciiTheme="majorEastAsia" w:hAnsiTheme="majorEastAsia" w:eastAsiaTheme="majorEastAsia"/>
          <w:color w:val="auto"/>
          <w:sz w:val="18"/>
          <w:szCs w:val="18"/>
        </w:rPr>
        <w:t>。</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（2）本产品管理人全部公募理财产品持有单只证券或单只公募证券投资基金的市值，不得超过该证券市值或该公募证券投资基金市值的30%。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（3）本产品管理人全部理财产品持有单一上市公司发行的股票，不得超过该上市公司可流通股票的30%。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（4）本产品管理人全部开放式公募理财产品投资单一上市公司发行的股票不得超过该上市公司可流通股票的15%。</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（5）本产品直接投资于流动性受限资产的市值在开放日不得超过该产品资产净值的15%。</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因证券市场波动、上市公司股票停牌、理财产品规模变动等因素导致理财产品不符合本款规定比例限制的，该理财产品不得主动新增投资流动性受限资产。</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6）每只开放式公募理财产品定期开放周期不低于90天的，在开放日及开放日前7个工作日内持有不低于该产品资产净值5%的现金或者到期日在一年以内的国债、中央银行票据和政策性金融债券。其他开放式公募理财产品均应当持续符合前款比例要求。</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7）本产品每日确认且需当日支付的净赎回申请不超过前一工作日产品7个工作日可变现资产的可变现价值，银保监会另有规定的除外。在开放日前一工作日内，本产品7个工作日可变现资产的可变现价值应当不低于该产品资产净值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（8）本产品因为流动性需要可开展存单质押、债券正回购等融资业务，本产品总资产不超过净资产的140%。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（9）本产品投资资产组合久期不超过【5】年。</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（10）本产品投资的各类债券主体（发行人或担保人）或债项评级达到AA级（含）以上。</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w:t>
      </w:r>
      <w:r>
        <w:rPr>
          <w:rFonts w:asciiTheme="majorEastAsia" w:hAnsiTheme="majorEastAsia" w:eastAsiaTheme="majorEastAsia"/>
          <w:bCs/>
          <w:sz w:val="18"/>
          <w:szCs w:val="18"/>
        </w:rPr>
        <w:t>10个交易日内调整至符合要求，监管机构规定的特殊情形除外。本</w:t>
      </w:r>
      <w:r>
        <w:rPr>
          <w:rFonts w:hint="eastAsia" w:asciiTheme="majorEastAsia" w:hAnsiTheme="majorEastAsia" w:eastAsiaTheme="majorEastAsia"/>
          <w:bCs/>
          <w:kern w:val="0"/>
          <w:sz w:val="18"/>
          <w:szCs w:val="18"/>
        </w:rPr>
        <w:t>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w:t>
      </w:r>
      <w:r>
        <w:rPr>
          <w:rFonts w:hint="eastAsia" w:asciiTheme="majorEastAsia" w:hAnsiTheme="majorEastAsia" w:eastAsiaTheme="majorEastAsia"/>
          <w:bCs/>
          <w:sz w:val="18"/>
          <w:szCs w:val="18"/>
        </w:rPr>
        <w:t>协议</w:t>
      </w:r>
      <w:r>
        <w:rPr>
          <w:rFonts w:asciiTheme="majorEastAsia" w:hAnsiTheme="majorEastAsia" w:eastAsiaTheme="majorEastAsia"/>
          <w:bCs/>
          <w:sz w:val="18"/>
          <w:szCs w:val="18"/>
        </w:rPr>
        <w:t>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通过对经济基本面、企业盈利、无风险利率水平、资金面等因素进行定性和定量分析，根据产品的业绩目标和回撤目标制定各个阶段产品股债投资比例。</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本产品将密切关注股票、债券以及货币市场的运行状况与风险收益特征，综合分析宏观经济基本面、政策面、流动性、估值与供求等因素，判断金融市场运行趋势和不同资产类别的相对投资价值，对各大类资产的风险收益特征进行评估，在符合本产品相关投资比例规定的前提下，确定各类属资产的配置比例，并依据各因素的动态变化进行及时调整。</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 xml:space="preserve">（五）业绩比较基准 </w:t>
      </w:r>
    </w:p>
    <w:p>
      <w:pPr>
        <w:pStyle w:val="21"/>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w:t>
      </w:r>
      <w:r>
        <w:rPr>
          <w:rFonts w:hint="eastAsia" w:asciiTheme="majorEastAsia" w:hAnsiTheme="majorEastAsia" w:eastAsiaTheme="majorEastAsia"/>
          <w:bCs/>
          <w:sz w:val="18"/>
          <w:szCs w:val="18"/>
        </w:rPr>
        <w:t xml:space="preserve"> 产品管理人</w:t>
      </w:r>
      <w:r>
        <w:rPr>
          <w:rFonts w:hint="eastAsia" w:asciiTheme="majorEastAsia" w:hAnsiTheme="majorEastAsia" w:eastAsiaTheme="majorEastAsia"/>
          <w:sz w:val="18"/>
          <w:szCs w:val="18"/>
        </w:rPr>
        <w:t>设置</w:t>
      </w:r>
      <w:r>
        <w:rPr>
          <w:rFonts w:asciiTheme="majorEastAsia" w:hAnsiTheme="majorEastAsia" w:eastAsiaTheme="majorEastAsia"/>
          <w:sz w:val="18"/>
          <w:szCs w:val="18"/>
        </w:rPr>
        <w:t>业绩比较基准</w:t>
      </w:r>
      <w:r>
        <w:rPr>
          <w:rFonts w:hint="eastAsia" w:asciiTheme="majorEastAsia" w:hAnsiTheme="majorEastAsia" w:eastAsiaTheme="majorEastAsia"/>
          <w:sz w:val="18"/>
          <w:szCs w:val="18"/>
        </w:rPr>
        <w:t>。</w:t>
      </w:r>
    </w:p>
    <w:p>
      <w:pPr>
        <w:pStyle w:val="21"/>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1.产品管理人设置业绩比较基准</w:t>
      </w:r>
      <w:r>
        <w:rPr>
          <w:rFonts w:asciiTheme="majorEastAsia" w:hAnsiTheme="majorEastAsia" w:eastAsiaTheme="majorEastAsia"/>
          <w:sz w:val="18"/>
          <w:szCs w:val="18"/>
        </w:rPr>
        <w:t>并</w:t>
      </w:r>
      <w:r>
        <w:rPr>
          <w:rFonts w:hint="eastAsia" w:asciiTheme="majorEastAsia" w:hAnsiTheme="majorEastAsia" w:eastAsiaTheme="majorEastAsia"/>
          <w:sz w:val="18"/>
          <w:szCs w:val="18"/>
        </w:rPr>
        <w:t>进行</w:t>
      </w:r>
      <w:r>
        <w:rPr>
          <w:rFonts w:asciiTheme="majorEastAsia" w:hAnsiTheme="majorEastAsia" w:eastAsiaTheme="majorEastAsia"/>
          <w:sz w:val="18"/>
          <w:szCs w:val="18"/>
        </w:rPr>
        <w:t>公告，</w:t>
      </w:r>
      <w:r>
        <w:rPr>
          <w:rFonts w:hint="eastAsia" w:asciiTheme="majorEastAsia" w:hAnsiTheme="majorEastAsia" w:eastAsiaTheme="majorEastAsia"/>
          <w:sz w:val="18"/>
          <w:szCs w:val="18"/>
        </w:rPr>
        <w:t>具体以当期《产品说明书》</w:t>
      </w:r>
      <w:r>
        <w:rPr>
          <w:rFonts w:hint="eastAsia" w:asciiTheme="minorEastAsia" w:hAnsiTheme="minorEastAsia" w:eastAsiaTheme="minorEastAsia"/>
          <w:sz w:val="18"/>
          <w:szCs w:val="18"/>
        </w:rPr>
        <w:t xml:space="preserve"> “第二条 理财产品基本情况”</w:t>
      </w:r>
      <w:r>
        <w:rPr>
          <w:rFonts w:hint="eastAsia" w:asciiTheme="majorEastAsia" w:hAnsiTheme="majorEastAsia" w:eastAsiaTheme="majorEastAsia"/>
          <w:sz w:val="18"/>
          <w:szCs w:val="18"/>
        </w:rPr>
        <w:t>为准。</w:t>
      </w:r>
    </w:p>
    <w:p>
      <w:pPr>
        <w:pStyle w:val="21"/>
        <w:shd w:val="clear" w:color="auto" w:fill="FFFFFF"/>
        <w:spacing w:line="360" w:lineRule="auto"/>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hint="eastAsia" w:ascii="黑体" w:hAnsi="黑体" w:eastAsia="黑体" w:cs="仿宋_GB2312"/>
          <w:bCs/>
          <w:sz w:val="18"/>
          <w:szCs w:val="18"/>
        </w:rPr>
        <w:t>★</w:t>
      </w:r>
      <w:r>
        <w:rPr>
          <w:rFonts w:hint="eastAsia" w:ascii="黑体" w:hAnsi="黑体" w:eastAsia="黑体"/>
          <w:sz w:val="18"/>
          <w:szCs w:val="18"/>
        </w:rPr>
        <w:t>业绩比较基准</w:t>
      </w:r>
      <w:r>
        <w:rPr>
          <w:rFonts w:hint="eastAsia" w:ascii="黑体" w:hAnsi="黑体" w:eastAsia="黑体"/>
          <w:bCs/>
          <w:sz w:val="18"/>
          <w:szCs w:val="18"/>
        </w:rPr>
        <w:t>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asciiTheme="majorEastAsia" w:hAnsiTheme="majorEastAsia" w:eastAsiaTheme="majorEastAsia"/>
          <w:sz w:val="18"/>
          <w:szCs w:val="18"/>
        </w:rPr>
        <w:t>3.</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 产品管理人不设置业绩比较基准。</w:t>
      </w:r>
    </w:p>
    <w:p>
      <w:pPr>
        <w:autoSpaceDE w:val="0"/>
        <w:autoSpaceDN w:val="0"/>
        <w:adjustRightInd w:val="0"/>
        <w:spacing w:line="360" w:lineRule="auto"/>
        <w:ind w:firstLine="361" w:firstLineChars="200"/>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（六）业绩报酬计提基准</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sz w:val="18"/>
          <w:szCs w:val="18"/>
        </w:rPr>
        <w:t>■</w:t>
      </w:r>
      <w:r>
        <w:rPr>
          <w:rFonts w:hint="eastAsia" w:asciiTheme="majorEastAsia" w:hAnsiTheme="majorEastAsia" w:eastAsiaTheme="majorEastAsia"/>
          <w:kern w:val="0"/>
          <w:sz w:val="18"/>
          <w:szCs w:val="18"/>
        </w:rPr>
        <w:t xml:space="preserve"> 产品管理人设置业绩报酬计提基准。</w:t>
      </w:r>
    </w:p>
    <w:p>
      <w:pPr>
        <w:pStyle w:val="21"/>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1.产品管理人设置业绩报酬计提基准并进行公告，具体以当期《产品说明书》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pStyle w:val="21"/>
        <w:shd w:val="clear" w:color="auto" w:fill="FFFFFF"/>
        <w:spacing w:line="360" w:lineRule="auto"/>
        <w:ind w:firstLine="360" w:firstLineChars="200"/>
        <w:rPr>
          <w:rFonts w:ascii="黑体" w:hAnsi="黑体" w:eastAsia="黑体"/>
          <w:sz w:val="18"/>
          <w:szCs w:val="18"/>
        </w:rPr>
      </w:pPr>
      <w:r>
        <w:rPr>
          <w:rFonts w:hint="eastAsia" w:ascii="黑体" w:hAnsi="黑体" w:eastAsia="黑体"/>
          <w:sz w:val="18"/>
          <w:szCs w:val="18"/>
        </w:rPr>
        <w:t>2.★业绩报酬计提基准仅作为管理人收取超额业绩报酬的参照，不代表理财产品未来表现，不等于理财产品实际收益，不作为产品收益的业绩保证，投资须谨慎。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3.如果今后法律法规发生变化，或者有其他代表性更强、更科学客观的业绩报酬计提基准适用于本产品时，经产品管理人和产品托管人协商一致后，本产品可以变更业绩报酬计提基准并及时公告。</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 产品管理人不设置业绩报酬计提基准。</w:t>
      </w:r>
    </w:p>
    <w:p>
      <w:pPr>
        <w:pStyle w:val="21"/>
        <w:spacing w:line="360" w:lineRule="auto"/>
        <w:ind w:firstLine="360" w:firstLineChars="200"/>
        <w:rPr>
          <w:rFonts w:asciiTheme="majorEastAsia" w:hAnsiTheme="majorEastAsia" w:eastAsiaTheme="majorEastAsia"/>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32" w:name="_Toc18526"/>
      <w:bookmarkStart w:id="33" w:name="_Toc4741"/>
      <w:bookmarkStart w:id="34" w:name="_Toc139991735"/>
      <w:bookmarkStart w:id="35" w:name="_Toc14893"/>
      <w:bookmarkStart w:id="36" w:name="_Toc21988"/>
      <w:bookmarkStart w:id="37" w:name="_Toc27357"/>
      <w:bookmarkStart w:id="38" w:name="_Toc92377135"/>
      <w:bookmarkStart w:id="39" w:name="_Toc74065742"/>
      <w:bookmarkStart w:id="40" w:name="_Toc7848"/>
      <w:bookmarkStart w:id="41" w:name="_Toc141703885"/>
      <w:bookmarkStart w:id="42" w:name="_Toc18797"/>
      <w:bookmarkStart w:id="43" w:name="_Toc79154669"/>
      <w:bookmarkStart w:id="44" w:name="_Toc26986"/>
      <w:bookmarkStart w:id="45" w:name="_Toc17912"/>
      <w:bookmarkStart w:id="46" w:name="_Toc1823"/>
      <w:bookmarkStart w:id="47" w:name="_Toc18329"/>
      <w:r>
        <w:rPr>
          <w:rFonts w:ascii="Times New Roman"/>
          <w:sz w:val="30"/>
        </w:rPr>
        <w:t>第</w:t>
      </w:r>
      <w:r>
        <w:rPr>
          <w:rFonts w:hint="eastAsia" w:ascii="Times New Roman"/>
          <w:sz w:val="30"/>
        </w:rPr>
        <w:t>六条</w:t>
      </w:r>
      <w:r>
        <w:rPr>
          <w:rFonts w:ascii="Times New Roman"/>
          <w:sz w:val="30"/>
        </w:rPr>
        <w:t xml:space="preserve">  </w:t>
      </w:r>
      <w:r>
        <w:rPr>
          <w:rFonts w:hint="eastAsia" w:ascii="Times New Roman"/>
          <w:sz w:val="30"/>
        </w:rPr>
        <w:t>理财产品的资产</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pStyle w:val="34"/>
        <w:spacing w:line="360" w:lineRule="auto"/>
        <w:ind w:firstLine="361" w:firstLineChars="200"/>
        <w:rPr>
          <w:rFonts w:asciiTheme="majorEastAsia" w:hAnsiTheme="majorEastAsia" w:eastAsiaTheme="majorEastAsia"/>
          <w:b/>
          <w:color w:val="auto"/>
          <w:sz w:val="18"/>
          <w:szCs w:val="18"/>
        </w:rPr>
      </w:pPr>
      <w:bookmarkStart w:id="48"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8"/>
    <w:p>
      <w:pPr>
        <w:pStyle w:val="2"/>
        <w:spacing w:before="0" w:after="0" w:line="360" w:lineRule="auto"/>
        <w:jc w:val="center"/>
        <w:rPr>
          <w:rFonts w:ascii="Times New Roman"/>
          <w:sz w:val="28"/>
          <w:szCs w:val="28"/>
        </w:rPr>
      </w:pPr>
      <w:bookmarkStart w:id="49" w:name="_Toc92377136"/>
      <w:bookmarkStart w:id="50" w:name="_Toc83391971"/>
      <w:bookmarkStart w:id="51" w:name="_Toc10162"/>
      <w:bookmarkStart w:id="52" w:name="_Toc20733"/>
      <w:bookmarkStart w:id="53" w:name="_Toc48649707"/>
      <w:bookmarkStart w:id="54" w:name="_Toc610"/>
      <w:bookmarkStart w:id="55" w:name="_Toc139991736"/>
      <w:bookmarkStart w:id="56" w:name="_Toc123112234"/>
      <w:bookmarkStart w:id="57" w:name="_Toc79392606"/>
      <w:bookmarkStart w:id="58" w:name="_Toc141703886"/>
      <w:bookmarkStart w:id="59" w:name="_Toc123051452"/>
      <w:bookmarkStart w:id="60" w:name="_Toc123102453"/>
      <w:bookmarkStart w:id="61" w:name="_Toc23261"/>
      <w:bookmarkStart w:id="62" w:name="_Toc7920"/>
      <w:bookmarkStart w:id="63" w:name="_Toc1427"/>
      <w:bookmarkStart w:id="64" w:name="_Toc79154670"/>
      <w:bookmarkStart w:id="65" w:name="_Toc98560352"/>
      <w:bookmarkStart w:id="66" w:name="_Toc10463"/>
      <w:bookmarkStart w:id="67" w:name="_Toc1270"/>
      <w:bookmarkStart w:id="68" w:name="_Toc4003"/>
      <w:bookmarkStart w:id="69" w:name="_Toc23822"/>
      <w:bookmarkStart w:id="70" w:name="_Toc17244"/>
      <w:bookmarkStart w:id="71" w:name="_Toc74065743"/>
      <w:r>
        <w:rPr>
          <w:rFonts w:hint="eastAsia" w:ascii="Times New Roman"/>
          <w:sz w:val="28"/>
          <w:szCs w:val="28"/>
        </w:rPr>
        <w:t>第七条</w:t>
      </w:r>
      <w:r>
        <w:rPr>
          <w:rFonts w:ascii="Times New Roman"/>
          <w:sz w:val="28"/>
          <w:szCs w:val="28"/>
        </w:rPr>
        <w:t xml:space="preserve">  </w:t>
      </w:r>
      <w:r>
        <w:rPr>
          <w:rFonts w:hint="eastAsia" w:ascii="Times New Roman"/>
          <w:sz w:val="28"/>
          <w:szCs w:val="28"/>
        </w:rPr>
        <w:t>理财产品项下资产的估值</w:t>
      </w:r>
      <w:bookmarkEnd w:id="49"/>
      <w:bookmarkEnd w:id="50"/>
      <w:bookmarkEnd w:id="51"/>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（一）估值目的</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理财资产估值的目的是客观、准确地反映理财资产是否保值、增值。</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（二）估值频率</w:t>
      </w:r>
    </w:p>
    <w:p>
      <w:pPr>
        <w:pStyle w:val="21"/>
        <w:spacing w:line="360" w:lineRule="auto"/>
        <w:ind w:firstLine="360" w:firstLineChars="200"/>
        <w:rPr>
          <w:rFonts w:asciiTheme="minorEastAsia" w:hAnsiTheme="minorEastAsia" w:eastAsiaTheme="minorEastAsia"/>
          <w:color w:val="2E3033"/>
          <w:sz w:val="18"/>
          <w:szCs w:val="18"/>
        </w:rPr>
      </w:pPr>
      <w:r>
        <w:rPr>
          <w:rFonts w:hint="eastAsia" w:asciiTheme="minorEastAsia" w:hAnsiTheme="minorEastAsia" w:eastAsiaTheme="minorEastAsia"/>
          <w:sz w:val="18"/>
          <w:szCs w:val="18"/>
        </w:rPr>
        <w:t>本产品存续期间</w:t>
      </w:r>
      <w:r>
        <w:rPr>
          <w:rFonts w:hint="eastAsia" w:cs="Times New Roman" w:asciiTheme="minorEastAsia" w:hAnsiTheme="minorEastAsia" w:eastAsiaTheme="minorEastAsia"/>
          <w:sz w:val="18"/>
          <w:szCs w:val="18"/>
        </w:rPr>
        <w:t>，每周进行一次估值。如遇产品</w:t>
      </w:r>
      <w:r>
        <w:rPr>
          <w:rFonts w:cs="Times New Roman" w:asciiTheme="minorEastAsia" w:hAnsiTheme="minorEastAsia" w:eastAsiaTheme="minorEastAsia"/>
          <w:sz w:val="18"/>
          <w:szCs w:val="18"/>
        </w:rPr>
        <w:t>申购</w:t>
      </w:r>
      <w:r>
        <w:rPr>
          <w:rFonts w:hint="eastAsia" w:cs="Times New Roman" w:asciiTheme="minorEastAsia" w:hAnsiTheme="minorEastAsia" w:eastAsiaTheme="minorEastAsia"/>
          <w:sz w:val="18"/>
          <w:szCs w:val="18"/>
        </w:rPr>
        <w:t>日</w:t>
      </w:r>
      <w:r>
        <w:rPr>
          <w:rFonts w:cs="Times New Roman" w:asciiTheme="minorEastAsia" w:hAnsiTheme="minorEastAsia" w:eastAsiaTheme="minorEastAsia"/>
          <w:sz w:val="18"/>
          <w:szCs w:val="18"/>
        </w:rPr>
        <w:t>/赎回</w:t>
      </w:r>
      <w:r>
        <w:rPr>
          <w:rFonts w:hint="eastAsia" w:cs="Times New Roman" w:asciiTheme="minorEastAsia" w:hAnsiTheme="minorEastAsia" w:eastAsiaTheme="minorEastAsia"/>
          <w:sz w:val="18"/>
          <w:szCs w:val="18"/>
        </w:rPr>
        <w:t>日、季度</w:t>
      </w:r>
      <w:r>
        <w:rPr>
          <w:rFonts w:cs="Times New Roman" w:asciiTheme="minorEastAsia" w:hAnsiTheme="minorEastAsia" w:eastAsiaTheme="minorEastAsia"/>
          <w:sz w:val="18"/>
          <w:szCs w:val="18"/>
        </w:rPr>
        <w:t>、半年度、年度</w:t>
      </w:r>
      <w:r>
        <w:rPr>
          <w:rFonts w:hint="eastAsia" w:cs="Times New Roman" w:asciiTheme="minorEastAsia" w:hAnsiTheme="minorEastAsia" w:eastAsiaTheme="minorEastAsia"/>
          <w:sz w:val="18"/>
          <w:szCs w:val="18"/>
        </w:rPr>
        <w:t>末等时间节点管理</w:t>
      </w:r>
      <w:r>
        <w:rPr>
          <w:rFonts w:cs="Times New Roman" w:asciiTheme="minorEastAsia" w:hAnsiTheme="minorEastAsia" w:eastAsiaTheme="minorEastAsia"/>
          <w:sz w:val="18"/>
          <w:szCs w:val="18"/>
        </w:rPr>
        <w:t>人将</w:t>
      </w:r>
      <w:r>
        <w:rPr>
          <w:rFonts w:hint="eastAsia" w:cs="Times New Roman" w:asciiTheme="minorEastAsia" w:hAnsiTheme="minorEastAsia" w:eastAsiaTheme="minorEastAsia"/>
          <w:sz w:val="18"/>
          <w:szCs w:val="18"/>
        </w:rPr>
        <w:t>增加估值日</w:t>
      </w:r>
      <w:r>
        <w:rPr>
          <w:rFonts w:hint="eastAsia" w:asciiTheme="minorEastAsia" w:hAnsiTheme="minorEastAsia" w:eastAsiaTheme="minorEastAsia"/>
          <w:color w:val="2E3033"/>
          <w:sz w:val="18"/>
          <w:szCs w:val="18"/>
        </w:rPr>
        <w:t>。</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（三）估值对象</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本产品所拥有的各类证券、资产管理产品、银行存款、应收款项、其它投资等资产及负债。</w:t>
      </w:r>
    </w:p>
    <w:p>
      <w:pPr>
        <w:pStyle w:val="34"/>
        <w:spacing w:line="360" w:lineRule="auto"/>
        <w:ind w:firstLine="361" w:firstLineChars="200"/>
        <w:rPr>
          <w:rFonts w:asciiTheme="minorEastAsia" w:hAnsiTheme="minorEastAsia" w:eastAsiaTheme="minorEastAsia"/>
          <w:b/>
          <w:sz w:val="18"/>
          <w:szCs w:val="18"/>
        </w:rPr>
      </w:pPr>
      <w:r>
        <w:rPr>
          <w:rFonts w:hint="eastAsia" w:asciiTheme="minorEastAsia" w:hAnsiTheme="minorEastAsia" w:eastAsiaTheme="minorEastAsia"/>
          <w:b/>
          <w:sz w:val="18"/>
          <w:szCs w:val="18"/>
        </w:rPr>
        <w:t>（四）估值方法</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w:t>
      </w:r>
      <w:r>
        <w:rPr>
          <w:rFonts w:hint="eastAsia" w:asciiTheme="minorEastAsia" w:hAnsiTheme="minorEastAsia" w:eastAsiaTheme="minorEastAsia"/>
          <w:b/>
          <w:color w:val="auto"/>
          <w:sz w:val="18"/>
          <w:szCs w:val="18"/>
        </w:rPr>
        <w:t>标准化债权类资产估值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1）债券类资产以公允价值计量，主要依据为第三方估值机构提供的价格数据。</w:t>
      </w:r>
      <w:r>
        <w:rPr>
          <w:rFonts w:hint="eastAsia" w:asciiTheme="majorEastAsia" w:hAnsiTheme="majorEastAsia" w:eastAsiaTheme="majorEastAsia"/>
          <w:bCs/>
          <w:color w:val="auto"/>
          <w:sz w:val="18"/>
          <w:szCs w:val="18"/>
        </w:rPr>
        <w:t>第三方估值机构包括：中央国债登记结算公司和中证指数有限公司。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对在交易所上市的资产支持证券和私募债，鉴于其不存在活跃市场，或未来现金流难以确定，导致第三方估值数据和市场收盘价均无法准确反映其公允价值的，可采用估值技术对其进行估值，管理人会对估值模型的有效性进行持续有效评估，并尽可能地予以修正。</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(4)</w:t>
      </w:r>
      <w:r>
        <w:rPr>
          <w:rFonts w:hint="eastAsia" w:asciiTheme="majorEastAsia" w:hAnsiTheme="majorEastAsia" w:eastAsiaTheme="majorEastAsia"/>
          <w:bCs/>
          <w:color w:val="auto"/>
          <w:sz w:val="18"/>
          <w:szCs w:val="18"/>
        </w:rPr>
        <w:t>对在银行间市场或交易所市场已发行未上市流通的债券，且第三方估值机构未提供估值数据，采用估值技术确定其公允价值。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5）同一债券同时在两个或两个以上市场交易的，按债券所处的市场及相应的估值标准，分别进行估值。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3.非标准化债权类资产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非标准化债权类资产，是指不满足中国人民银行制定的标准化债权类资产认定标准的债权类资产。可选取第三方估值机构的价格数据或采用估值技术进行估值。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4.上市公司股票</w:t>
      </w:r>
      <w:r>
        <w:rPr>
          <w:rFonts w:hint="eastAsia" w:asciiTheme="majorEastAsia" w:hAnsiTheme="majorEastAsia" w:eastAsiaTheme="majorEastAsia"/>
          <w:b/>
          <w:bCs/>
          <w:color w:val="auto"/>
          <w:sz w:val="18"/>
          <w:szCs w:val="18"/>
        </w:rPr>
        <w:t>估值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3）通过公开、非公开等方式取得且有明确限售期的股票，在限售期内，应以证券交易所上市交易的同一股票的公允价值为基础，引入流动性折扣进行估值。</w:t>
      </w:r>
      <w:r>
        <w:rPr>
          <w:rFonts w:hint="eastAsia" w:asciiTheme="minorEastAsia" w:hAnsiTheme="minorEastAsia" w:eastAsiaTheme="minorEastAsia"/>
          <w:color w:val="auto"/>
          <w:sz w:val="18"/>
          <w:szCs w:val="18"/>
        </w:rPr>
        <w:t>流动性折扣可依据第三方估值机构提供的数据，或采用看跌期权法以及其他合理的估值方法分析确定。</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4）长期停牌股票，</w:t>
      </w:r>
      <w:r>
        <w:rPr>
          <w:rFonts w:hint="eastAsia" w:asciiTheme="minorEastAsia" w:hAnsiTheme="minorEastAsia" w:eastAsiaTheme="minorEastAsia"/>
          <w:color w:val="auto"/>
          <w:sz w:val="18"/>
          <w:szCs w:val="18"/>
        </w:rPr>
        <w:t>根据停牌原因、停牌时间及停牌公司公告等信息，采用估值技术确定公允价值。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5）</w:t>
      </w:r>
      <w:r>
        <w:rPr>
          <w:rFonts w:hint="eastAsia" w:asciiTheme="minorEastAsia" w:hAnsiTheme="minorEastAsia" w:eastAsiaTheme="minorEastAsia"/>
          <w:color w:val="auto"/>
          <w:sz w:val="18"/>
          <w:szCs w:val="18"/>
        </w:rPr>
        <w:t>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5.未上市公司股权</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6.</w:t>
      </w:r>
      <w:r>
        <w:rPr>
          <w:rFonts w:hint="eastAsia" w:asciiTheme="minorEastAsia" w:hAnsiTheme="minorEastAsia" w:eastAsiaTheme="minorEastAsia"/>
          <w:b/>
          <w:color w:val="auto"/>
          <w:sz w:val="18"/>
          <w:szCs w:val="18"/>
        </w:rPr>
        <w:t>优先股</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eastAsiaTheme="minorEastAsia"/>
          <w:b/>
          <w:color w:val="auto"/>
          <w:sz w:val="18"/>
          <w:szCs w:val="18"/>
        </w:rPr>
        <w:t>证券投资基金估值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1）非上市基金估值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2）上市基金估值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1)本产品投资的ETF基金、境内上市定期开放式基金、封闭式基金，按照所投资基金估值日的收盘价估</w:t>
      </w:r>
      <w:r>
        <w:rPr>
          <w:rFonts w:hint="eastAsia" w:asciiTheme="minorEastAsia" w:hAnsiTheme="minorEastAsia" w:eastAsiaTheme="minorEastAsia"/>
          <w:color w:val="auto"/>
          <w:sz w:val="18"/>
          <w:szCs w:val="18"/>
        </w:rPr>
        <w:t>值；估值日无交易的，以最近交易日的收盘价估值。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其他资产管理产品的估值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其他资产管理产品，指理财产品投资的除证券投资基金以外的其他资产管理产品，主要包括：</w:t>
      </w:r>
      <w:r>
        <w:rPr>
          <w:rFonts w:hint="eastAsia" w:asciiTheme="minorEastAsia" w:hAnsiTheme="minorEastAsia" w:eastAsiaTheme="minorEastAsia"/>
          <w:bCs/>
          <w:sz w:val="18"/>
          <w:szCs w:val="18"/>
        </w:rPr>
        <w:t>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9.衍生金融工具估值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w:t>
      </w:r>
      <w:r>
        <w:rPr>
          <w:rFonts w:asciiTheme="minorEastAsia" w:hAnsiTheme="minorEastAsia" w:eastAsiaTheme="minorEastAsia"/>
          <w:color w:val="auto"/>
          <w:sz w:val="18"/>
          <w:szCs w:val="18"/>
        </w:rPr>
        <w:t xml:space="preserve"> </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10.</w:t>
      </w:r>
      <w:r>
        <w:rPr>
          <w:rFonts w:hint="eastAsia" w:asciiTheme="minorEastAsia" w:hAnsiTheme="minorEastAsia" w:eastAsiaTheme="minorEastAsia"/>
          <w:b/>
          <w:color w:val="auto"/>
          <w:sz w:val="18"/>
          <w:szCs w:val="18"/>
        </w:rPr>
        <w:t>存款、拆借、回购等货币市场工具的估值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11.</w:t>
      </w:r>
      <w:r>
        <w:rPr>
          <w:rFonts w:hint="eastAsia" w:asciiTheme="minorEastAsia" w:hAnsiTheme="minorEastAsia" w:eastAsiaTheme="minorEastAsia"/>
          <w:color w:val="auto"/>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12.当开放式公募理财产品（现金管理类理财产品除外）遭遇大额申购或赎回时，管理人可以采用摆动定价机制，以确保估值的公平性。具体操作按照相关法律法规、监管规定和自律规则执行。</w:t>
      </w:r>
    </w:p>
    <w:p>
      <w:pPr>
        <w:pStyle w:val="34"/>
        <w:spacing w:line="360" w:lineRule="auto"/>
        <w:ind w:firstLine="360" w:firstLineChars="200"/>
        <w:rPr>
          <w:rFonts w:ascii="黑体" w:hAnsi="黑体" w:eastAsia="黑体"/>
          <w:color w:val="auto"/>
          <w:sz w:val="18"/>
          <w:szCs w:val="18"/>
        </w:rPr>
      </w:pPr>
      <w:r>
        <w:rPr>
          <w:rFonts w:ascii="黑体" w:hAnsi="黑体" w:eastAsia="黑体"/>
          <w:color w:val="auto"/>
          <w:sz w:val="18"/>
          <w:szCs w:val="18"/>
        </w:rPr>
        <w:t>1</w:t>
      </w:r>
      <w:r>
        <w:rPr>
          <w:rFonts w:hint="eastAsia" w:ascii="黑体" w:hAnsi="黑体" w:eastAsia="黑体"/>
          <w:color w:val="auto"/>
          <w:sz w:val="18"/>
          <w:szCs w:val="18"/>
        </w:rPr>
        <w:t>3</w:t>
      </w:r>
      <w:r>
        <w:rPr>
          <w:rFonts w:ascii="黑体" w:hAnsi="黑体" w:eastAsia="黑体"/>
          <w:color w:val="auto"/>
          <w:sz w:val="18"/>
          <w:szCs w:val="18"/>
        </w:rPr>
        <w:t>.</w:t>
      </w:r>
      <w:r>
        <w:rPr>
          <w:rFonts w:hint="eastAsia" w:ascii="黑体" w:hAnsi="黑体" w:eastAsia="黑体"/>
          <w:color w:val="auto"/>
          <w:sz w:val="18"/>
          <w:szCs w:val="18"/>
        </w:rPr>
        <w:t>★估值方法的调整</w:t>
      </w:r>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（五）估值程序</w:t>
      </w:r>
    </w:p>
    <w:p>
      <w:pPr>
        <w:pStyle w:val="34"/>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产品份额净值是按照估值日产品资产净值除以当日产品总份额计算，</w:t>
      </w:r>
      <w:r>
        <w:rPr>
          <w:rFonts w:asciiTheme="minorEastAsia" w:hAnsiTheme="minorEastAsia" w:eastAsiaTheme="minorEastAsia"/>
          <w:bCs/>
          <w:color w:val="auto"/>
          <w:sz w:val="18"/>
          <w:szCs w:val="18"/>
        </w:rPr>
        <w:t>四舍五入保留5位小数</w:t>
      </w:r>
      <w:r>
        <w:rPr>
          <w:rFonts w:hint="eastAsia" w:asciiTheme="minorEastAsia" w:hAnsiTheme="minorEastAsia" w:eastAsiaTheme="minorEastAsia"/>
          <w:color w:val="auto"/>
          <w:sz w:val="18"/>
          <w:szCs w:val="18"/>
        </w:rPr>
        <w:t>。国家另有规定的，从其规定。</w:t>
      </w:r>
      <w:r>
        <w:rPr>
          <w:rFonts w:hint="eastAsia" w:asciiTheme="minorEastAsia" w:hAnsiTheme="minorEastAsia" w:eastAsiaTheme="minorEastAsia"/>
          <w:bCs/>
          <w:color w:val="auto"/>
          <w:sz w:val="18"/>
          <w:szCs w:val="18"/>
        </w:rPr>
        <w:t>发生巨额赎回时，为保护投资者利益，产品管理人可提高单位产品净值的精度。</w:t>
      </w:r>
    </w:p>
    <w:p>
      <w:pPr>
        <w:pStyle w:val="34"/>
        <w:spacing w:line="360" w:lineRule="auto"/>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 xml:space="preserve">3. </w:t>
      </w:r>
      <w:r>
        <w:rPr>
          <w:rFonts w:hint="eastAsia" w:asciiTheme="minorEastAsia" w:hAnsiTheme="minorEastAsia" w:eastAsiaTheme="minorEastAsia"/>
          <w:color w:val="auto"/>
          <w:sz w:val="18"/>
          <w:szCs w:val="18"/>
        </w:rPr>
        <w:t>如产品管理人或产品托管人发现理财估值违反本说明书约定的估值方法、程序及相关法律法规的规定或者未能充分维护理财份额持有人权益时，应立即通知对方，共同查明原因，双方协商解决。</w:t>
      </w:r>
    </w:p>
    <w:p>
      <w:pPr>
        <w:pStyle w:val="34"/>
        <w:spacing w:line="360" w:lineRule="auto"/>
        <w:ind w:firstLine="361" w:firstLineChars="200"/>
        <w:rPr>
          <w:rFonts w:cs="Times New Roman" w:asciiTheme="minorEastAsia" w:hAnsiTheme="minorEastAsia" w:eastAsiaTheme="minorEastAsia"/>
          <w:b/>
          <w:color w:val="auto"/>
          <w:sz w:val="18"/>
          <w:szCs w:val="18"/>
        </w:rPr>
      </w:pPr>
      <w:r>
        <w:rPr>
          <w:rFonts w:hint="eastAsia" w:cs="Times New Roman" w:asciiTheme="minorEastAsia" w:hAnsiTheme="minorEastAsia" w:eastAsiaTheme="minorEastAsia"/>
          <w:b/>
          <w:color w:val="auto"/>
          <w:sz w:val="18"/>
          <w:szCs w:val="18"/>
        </w:rPr>
        <w:t>（六）估值主体</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Pr>
        <w:pStyle w:val="2"/>
        <w:spacing w:before="0" w:after="0" w:line="360" w:lineRule="auto"/>
        <w:ind w:left="60" w:firstLine="10"/>
        <w:jc w:val="center"/>
        <w:rPr>
          <w:rFonts w:ascii="Times New Roman"/>
          <w:sz w:val="30"/>
        </w:rPr>
      </w:pPr>
      <w:bookmarkStart w:id="72" w:name="_Hlt70481650"/>
      <w:bookmarkEnd w:id="72"/>
      <w:bookmarkStart w:id="73" w:name="_Toc3601"/>
      <w:bookmarkStart w:id="74" w:name="_Toc123051453"/>
      <w:bookmarkStart w:id="75" w:name="_Toc31235"/>
      <w:bookmarkStart w:id="76" w:name="_Toc3138"/>
      <w:bookmarkStart w:id="77" w:name="_Toc98560353"/>
      <w:bookmarkStart w:id="78" w:name="_Toc12245"/>
      <w:bookmarkStart w:id="79" w:name="_Toc26207"/>
      <w:bookmarkStart w:id="80" w:name="_Toc31644"/>
      <w:bookmarkStart w:id="81" w:name="_Toc15143"/>
      <w:bookmarkStart w:id="82" w:name="_Toc92377137"/>
      <w:bookmarkStart w:id="83" w:name="_Toc14835"/>
      <w:bookmarkStart w:id="84" w:name="_Toc141703887"/>
      <w:bookmarkStart w:id="85" w:name="_Toc139991737"/>
      <w:bookmarkStart w:id="86" w:name="_Toc123102454"/>
      <w:bookmarkStart w:id="87" w:name="_Toc31653"/>
      <w:bookmarkStart w:id="88" w:name="_Toc79154671"/>
      <w:bookmarkStart w:id="89" w:name="_Toc74065744"/>
      <w:bookmarkStart w:id="90" w:name="_Toc6405"/>
      <w:bookmarkStart w:id="91" w:name="_Toc29251"/>
      <w:bookmarkStart w:id="92" w:name="_Toc123112235"/>
      <w:r>
        <w:rPr>
          <w:rFonts w:ascii="Times New Roman"/>
          <w:sz w:val="30"/>
        </w:rPr>
        <w:t>第</w:t>
      </w:r>
      <w:r>
        <w:rPr>
          <w:rFonts w:hint="eastAsia" w:ascii="Times New Roman"/>
          <w:sz w:val="30"/>
        </w:rPr>
        <w:t>八条</w:t>
      </w:r>
      <w:r>
        <w:rPr>
          <w:rFonts w:ascii="Times New Roman"/>
          <w:sz w:val="30"/>
        </w:rPr>
        <w:t xml:space="preserve">  </w:t>
      </w:r>
      <w:r>
        <w:rPr>
          <w:rFonts w:hint="eastAsia" w:ascii="Times New Roman"/>
          <w:sz w:val="30"/>
        </w:rPr>
        <w:t>理财产品的利益分配</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Start w:id="93" w:name="_Hlt55355235"/>
      <w:bookmarkEnd w:id="93"/>
      <w:bookmarkStart w:id="94" w:name="_Toc15118234"/>
      <w:bookmarkStart w:id="95" w:name="_Toc523711668"/>
      <w:bookmarkStart w:id="96" w:name="_Toc79392580"/>
      <w:bookmarkStart w:id="97" w:name="_Toc57530239"/>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w:t>
      </w:r>
      <w:r>
        <w:rPr>
          <w:rFonts w:hint="eastAsia" w:hAnsi="宋体"/>
          <w:color w:val="auto"/>
          <w:sz w:val="18"/>
          <w:szCs w:val="18"/>
        </w:rPr>
        <w:t>具体的理财利益分配以实际情况为准。</w:t>
      </w:r>
    </w:p>
    <w:p>
      <w:pPr>
        <w:widowControl/>
        <w:spacing w:line="360" w:lineRule="auto"/>
        <w:jc w:val="left"/>
        <w:rPr>
          <w:rFonts w:ascii="宋体" w:hAnsi="宋体"/>
          <w:kern w:val="0"/>
          <w:sz w:val="18"/>
          <w:szCs w:val="18"/>
        </w:rPr>
      </w:pPr>
      <w:r>
        <w:rPr>
          <w:rFonts w:hAnsi="宋体"/>
          <w:sz w:val="18"/>
          <w:szCs w:val="18"/>
        </w:rPr>
        <w:br w:type="page"/>
      </w:r>
    </w:p>
    <w:bookmarkEnd w:id="94"/>
    <w:bookmarkEnd w:id="95"/>
    <w:bookmarkEnd w:id="96"/>
    <w:bookmarkEnd w:id="97"/>
    <w:p>
      <w:pPr>
        <w:pStyle w:val="2"/>
        <w:spacing w:before="0" w:after="0" w:line="360" w:lineRule="auto"/>
        <w:jc w:val="center"/>
        <w:rPr>
          <w:rFonts w:ascii="Times New Roman"/>
          <w:sz w:val="30"/>
        </w:rPr>
      </w:pPr>
      <w:bookmarkStart w:id="98" w:name="_Hlt88897298"/>
      <w:bookmarkEnd w:id="98"/>
      <w:bookmarkStart w:id="99" w:name="_Hlt88825574"/>
      <w:bookmarkEnd w:id="99"/>
      <w:bookmarkStart w:id="100" w:name="_Toc98560354"/>
      <w:bookmarkStart w:id="101" w:name="_Toc11030"/>
      <w:bookmarkStart w:id="102" w:name="_Toc3771"/>
      <w:bookmarkStart w:id="103" w:name="_Toc74065745"/>
      <w:bookmarkStart w:id="104" w:name="_Toc123051454"/>
      <w:bookmarkStart w:id="105" w:name="_Toc4559"/>
      <w:bookmarkStart w:id="106" w:name="_Toc92377138"/>
      <w:bookmarkStart w:id="107" w:name="_Toc123112236"/>
      <w:bookmarkStart w:id="108" w:name="_Toc123102455"/>
      <w:bookmarkStart w:id="109" w:name="_Toc3321"/>
      <w:bookmarkStart w:id="110" w:name="_Toc7058"/>
      <w:bookmarkStart w:id="111" w:name="_Toc9706"/>
      <w:bookmarkStart w:id="112" w:name="_Toc79392583"/>
      <w:bookmarkStart w:id="113" w:name="_Toc17110"/>
      <w:bookmarkStart w:id="114" w:name="_Toc139991738"/>
      <w:bookmarkStart w:id="115" w:name="_Toc18567"/>
      <w:bookmarkStart w:id="116" w:name="_Toc6447"/>
      <w:bookmarkStart w:id="117" w:name="_Toc141703888"/>
      <w:bookmarkStart w:id="118" w:name="_Toc10650"/>
      <w:bookmarkStart w:id="119" w:name="_Toc25783"/>
      <w:bookmarkStart w:id="120" w:name="_Toc79154672"/>
      <w:r>
        <w:rPr>
          <w:rFonts w:ascii="Times New Roman"/>
          <w:sz w:val="30"/>
        </w:rPr>
        <w:t>第</w:t>
      </w:r>
      <w:r>
        <w:rPr>
          <w:rFonts w:hint="eastAsia" w:ascii="Times New Roman"/>
          <w:sz w:val="30"/>
        </w:rPr>
        <w:t>九条</w:t>
      </w:r>
      <w:r>
        <w:rPr>
          <w:rFonts w:ascii="Times New Roman"/>
          <w:sz w:val="30"/>
        </w:rPr>
        <w:t xml:space="preserve">  </w:t>
      </w:r>
      <w:r>
        <w:rPr>
          <w:rFonts w:hint="eastAsia" w:ascii="Times New Roman"/>
          <w:sz w:val="30"/>
        </w:rPr>
        <w:t>理财产品的费用与税收</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1）理财产品的认购费、申购费、赎回费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）理财产品的证券交易费用；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）理财产品的认购费、申购费、赎回费</w:t>
      </w:r>
    </w:p>
    <w:p>
      <w:pPr>
        <w:widowControl/>
        <w:spacing w:line="360" w:lineRule="auto"/>
        <w:ind w:firstLine="360" w:firstLineChars="200"/>
        <w:jc w:val="left"/>
        <w:rPr>
          <w:rFonts w:ascii="宋体" w:hAnsi="宋体"/>
          <w:sz w:val="18"/>
          <w:szCs w:val="18"/>
        </w:rPr>
      </w:pPr>
      <w:r>
        <w:rPr>
          <w:rFonts w:ascii="宋体" w:hAnsi="宋体"/>
          <w:kern w:val="0"/>
          <w:sz w:val="18"/>
          <w:szCs w:val="18"/>
        </w:rPr>
        <w:t>1）认购费：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ascii="宋体" w:hAnsi="宋体"/>
          <w:kern w:val="0"/>
          <w:sz w:val="18"/>
          <w:szCs w:val="18"/>
        </w:rPr>
        <w:t>2）申购费：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Style w:val="28"/>
          <w:rFonts w:ascii="宋体" w:hAnsi="宋体"/>
          <w:kern w:val="0"/>
        </w:rPr>
      </w:pPr>
      <w:r>
        <w:rPr>
          <w:rFonts w:ascii="宋体" w:hAnsi="宋体"/>
          <w:kern w:val="0"/>
          <w:sz w:val="18"/>
          <w:szCs w:val="18"/>
        </w:rPr>
        <w:t>3</w:t>
      </w:r>
      <w:r>
        <w:rPr>
          <w:rFonts w:hint="eastAsia" w:ascii="宋体" w:hAnsi="宋体"/>
          <w:kern w:val="0"/>
          <w:sz w:val="18"/>
          <w:szCs w:val="18"/>
        </w:rPr>
        <w:t>）赎回费：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每份产品份额在超额业绩报酬计提日时，若理财资产扣除销售服务费、产品托管费和投资管理费等相关费用后，超额业绩报酬计提日产品份额净值折算的年化收益率超过业绩报酬计提基准，则产品管理人收取超出部分的一定比例作为超额业绩报酬。由此造成超额业绩报酬计提日产品份额净值调整的，以调整后的数值为准进行利益分配。</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超额业绩报酬的具体比例数值以《产品说明书》“第二条 理财产品基本情况”为准。</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1）收取超额业绩报酬的原则：</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①按投资者每份产品份额分别计算年化收益率并计提超额业绩报酬；</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③在每个赎回日提取超额业绩报酬的，超额业绩报酬从理财资金中扣除；在产品终止日提取超额业绩报酬的，超额业绩报酬从清算资金中扣除。</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2）超额业绩报酬计提方法</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①超额业绩报酬计提日</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每份产品份额超额业绩报酬计提日为每个赎回日或产品终止日。</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②超额业绩报酬的计算</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产品管理人对每份产品份额年化收益率（R）超过当期业绩报酬计提基准的部分，按比例（N）以及该份产品份额当期投资周期天数（D）提取超额业绩报酬，计算方法如下：</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当R≤当期业绩报酬计提基准，超额业绩报酬=0；</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当R＞当期业绩报酬计提基准，超额业绩报酬=投资者持有的产品份额数量×产品成立日或当期投资周期产品份额申购日的产品份额净值×（R-当期业绩报酬计提基准）×N×D/365；</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若该投资周期期间，超额业绩报酬计提规则有所调整，以该投资周期期间的每个计提规则分别计算整个份额投资周期期间应收取的超额业绩报酬数值，以较小的数值来收取超额业绩报酬。</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color w:val="auto"/>
          <w:sz w:val="18"/>
        </w:rPr>
      </w:pPr>
      <w:r>
        <w:rPr>
          <w:rFonts w:hint="eastAsia" w:ascii="黑体" w:hAnsi="黑体" w:eastAsia="黑体"/>
          <w:color w:val="auto"/>
          <w:sz w:val="18"/>
        </w:rPr>
        <w:t>（1）发生巨额赎回时，为保护投资者利益，产品管理人有权对赎回日至赎回确认日之间的各项费用进行减免。</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（2）产品管理人有权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21" w:name="_Toc1745"/>
      <w:bookmarkStart w:id="122" w:name="_Toc3963"/>
      <w:r>
        <w:br w:type="page"/>
      </w:r>
      <w:bookmarkStart w:id="123" w:name="_Toc98560355"/>
      <w:bookmarkStart w:id="124" w:name="_Toc4606"/>
      <w:bookmarkStart w:id="125" w:name="_Toc18206"/>
      <w:bookmarkStart w:id="126" w:name="_Toc123051455"/>
      <w:bookmarkStart w:id="127" w:name="_Toc725"/>
      <w:bookmarkStart w:id="128" w:name="_Toc74065746"/>
      <w:bookmarkStart w:id="129" w:name="_Toc16164"/>
      <w:bookmarkStart w:id="130" w:name="_Toc3080"/>
      <w:bookmarkStart w:id="131" w:name="_Toc139991739"/>
      <w:bookmarkStart w:id="132" w:name="_Toc92377139"/>
      <w:bookmarkStart w:id="133" w:name="_Toc123112237"/>
      <w:bookmarkStart w:id="134" w:name="_Toc123102456"/>
      <w:bookmarkStart w:id="135" w:name="_Toc79154673"/>
      <w:bookmarkStart w:id="136" w:name="_Toc3572"/>
      <w:bookmarkStart w:id="137" w:name="_Toc31821"/>
      <w:bookmarkStart w:id="138" w:name="_Toc21735"/>
      <w:bookmarkStart w:id="139" w:name="_Toc141703889"/>
      <w:bookmarkStart w:id="140" w:name="_Toc10398"/>
      <w:r>
        <w:rPr>
          <w:rFonts w:hint="eastAsia"/>
          <w:sz w:val="30"/>
        </w:rPr>
        <w:t>第十条</w:t>
      </w:r>
      <w:r>
        <w:rPr>
          <w:sz w:val="30"/>
        </w:rPr>
        <w:t xml:space="preserve">  </w:t>
      </w:r>
      <w:r>
        <w:rPr>
          <w:rFonts w:hint="eastAsia"/>
          <w:sz w:val="30"/>
        </w:rPr>
        <w:t>理财产品的终止与清算</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pPr>
        <w:spacing w:line="360" w:lineRule="auto"/>
        <w:ind w:firstLine="361" w:firstLineChars="200"/>
        <w:rPr>
          <w:rFonts w:asciiTheme="majorEastAsia" w:hAnsiTheme="majorEastAsia" w:eastAsiaTheme="majorEastAsia"/>
          <w:b/>
          <w:bCs/>
          <w:sz w:val="18"/>
          <w:szCs w:val="18"/>
        </w:rPr>
      </w:pPr>
      <w:bookmarkStart w:id="141" w:name="_Toc79392593"/>
      <w:bookmarkStart w:id="142" w:name="_Toc57530252"/>
      <w:bookmarkStart w:id="143"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因法律法规变化或国家金融政策调整、紧急措施出台影响产品继续正常运作。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法律法规规定或监管部门认定的其他情形。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因不可抗力等原因，导致产品管理人接受赎回申请后无法分配；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部分提前终止的利益分配：产品管理人将依照协议约定公布部分提前终止日并指定利益分配日（一般为部分提前终止日之后的【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变现之日。待全部资产变现后，产品管理人依照清算条款分配理财利益至投资者账户。</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此外，在投资者与管理人另行协商一致延期终止本产品的情况下，相应延期期间理财产品的投资运作，费用等事宜由双方另行约定。</w:t>
      </w:r>
    </w:p>
    <w:bookmarkEnd w:id="141"/>
    <w:bookmarkEnd w:id="142"/>
    <w:bookmarkEnd w:id="143"/>
    <w:p>
      <w:pPr>
        <w:pStyle w:val="2"/>
        <w:spacing w:before="0" w:after="0" w:line="360" w:lineRule="auto"/>
        <w:jc w:val="center"/>
        <w:rPr>
          <w:rFonts w:ascii="Times New Roman"/>
          <w:sz w:val="18"/>
          <w:szCs w:val="18"/>
        </w:rPr>
      </w:pPr>
      <w:r>
        <w:rPr>
          <w:rFonts w:ascii="Times New Roman"/>
          <w:b w:val="0"/>
          <w:bCs w:val="0"/>
          <w:kern w:val="2"/>
        </w:rPr>
        <w:br w:type="page"/>
      </w:r>
      <w:bookmarkStart w:id="144" w:name="_Toc92377140"/>
      <w:bookmarkStart w:id="145" w:name="_Toc11469"/>
      <w:bookmarkStart w:id="146" w:name="_Toc739"/>
      <w:bookmarkStart w:id="147" w:name="_Toc79154674"/>
      <w:bookmarkStart w:id="148" w:name="_Toc8791"/>
      <w:bookmarkStart w:id="149" w:name="_Toc141703890"/>
      <w:bookmarkStart w:id="150" w:name="_Toc123051456"/>
      <w:bookmarkStart w:id="151" w:name="_Toc123112238"/>
      <w:bookmarkStart w:id="152" w:name="_Toc32584"/>
      <w:bookmarkStart w:id="153" w:name="_Toc123102457"/>
      <w:bookmarkStart w:id="154" w:name="_Toc139991740"/>
      <w:bookmarkStart w:id="155" w:name="_Toc29408"/>
      <w:bookmarkStart w:id="156" w:name="_Toc5170"/>
      <w:bookmarkStart w:id="157" w:name="_Toc48649708"/>
      <w:bookmarkStart w:id="158" w:name="_Toc17198"/>
      <w:bookmarkStart w:id="159" w:name="_Toc3329"/>
      <w:bookmarkStart w:id="160" w:name="_Toc17920"/>
      <w:bookmarkStart w:id="161" w:name="_Toc74065747"/>
      <w:bookmarkStart w:id="162" w:name="_Toc83391975"/>
      <w:bookmarkStart w:id="163" w:name="_Toc98560356"/>
      <w:bookmarkStart w:id="164" w:name="_Toc21237"/>
      <w:bookmarkStart w:id="165" w:name="_Toc79392622"/>
      <w:bookmarkStart w:id="166" w:name="_Toc32092"/>
      <w:r>
        <w:rPr>
          <w:rFonts w:hint="eastAsia" w:ascii="Times New Roman"/>
          <w:sz w:val="28"/>
          <w:szCs w:val="28"/>
        </w:rPr>
        <w:t>第十一条</w:t>
      </w:r>
      <w:r>
        <w:rPr>
          <w:rFonts w:ascii="Times New Roman"/>
          <w:sz w:val="28"/>
          <w:szCs w:val="28"/>
        </w:rPr>
        <w:t xml:space="preserve">  </w:t>
      </w:r>
      <w:r>
        <w:rPr>
          <w:rFonts w:hint="eastAsia" w:ascii="Times New Roman"/>
          <w:sz w:val="28"/>
          <w:szCs w:val="28"/>
        </w:rPr>
        <w:t>理财产品的信息披露</w:t>
      </w:r>
      <w:bookmarkEnd w:id="144"/>
      <w:bookmarkEnd w:id="145"/>
    </w:p>
    <w:p>
      <w:pPr>
        <w:spacing w:line="360" w:lineRule="auto"/>
        <w:ind w:firstLine="361" w:firstLineChars="200"/>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firstLineChars="20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firstLineChars="200"/>
        <w:rPr>
          <w:rFonts w:ascii="宋体" w:hAnsi="宋体"/>
          <w:b/>
          <w:bCs/>
          <w:sz w:val="18"/>
          <w:szCs w:val="18"/>
        </w:rPr>
      </w:pPr>
      <w:r>
        <w:rPr>
          <w:rFonts w:hint="eastAsia" w:ascii="宋体" w:hAnsi="宋体"/>
          <w:b/>
          <w:bCs/>
          <w:sz w:val="18"/>
          <w:szCs w:val="18"/>
        </w:rPr>
        <w:t>（二）信息披露的渠道</w:t>
      </w:r>
    </w:p>
    <w:p>
      <w:pPr>
        <w:spacing w:line="360" w:lineRule="auto"/>
        <w:ind w:firstLine="360" w:firstLineChars="200"/>
        <w:rPr>
          <w:rFonts w:ascii="宋体" w:hAnsi="宋体"/>
          <w:bCs/>
          <w:sz w:val="18"/>
          <w:szCs w:val="18"/>
        </w:rPr>
      </w:pPr>
      <w:r>
        <w:rPr>
          <w:rFonts w:ascii="宋体" w:hAnsi="宋体"/>
          <w:bCs/>
          <w:sz w:val="18"/>
          <w:szCs w:val="18"/>
        </w:rPr>
        <w:t>1.产品管理人将以兴业银行或销售机构的信息披露渠道（包括但不限于兴业银行或销售机构的营业网点、门户网站、电子销售渠道等）作为本理财产品的信息披露渠道。本理财产品认购期和存续期间，产品管理人将通过兴业银行或销售机构的信息披露渠道开展理财产品的信息披露工作。请投资者及时关注。</w:t>
      </w:r>
    </w:p>
    <w:p>
      <w:pPr>
        <w:spacing w:line="360" w:lineRule="auto"/>
        <w:ind w:firstLine="360" w:firstLineChars="20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通过兴业银行或销售机构的信息披露渠道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firstLineChars="20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firstLineChars="20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firstLineChars="200"/>
        <w:rPr>
          <w:rFonts w:ascii="宋体" w:hAnsi="宋体"/>
          <w:b/>
          <w:bCs/>
          <w:sz w:val="18"/>
          <w:szCs w:val="18"/>
        </w:rPr>
      </w:pPr>
      <w:r>
        <w:rPr>
          <w:rFonts w:hint="eastAsia" w:ascii="宋体" w:hAnsi="宋体"/>
          <w:b/>
          <w:bCs/>
          <w:sz w:val="18"/>
          <w:szCs w:val="18"/>
        </w:rPr>
        <w:t>（三）信息披露的内容</w:t>
      </w:r>
    </w:p>
    <w:p>
      <w:pPr>
        <w:spacing w:line="360" w:lineRule="auto"/>
        <w:ind w:firstLine="360" w:firstLineChars="20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firstLineChars="200"/>
        <w:rPr>
          <w:rFonts w:ascii="宋体" w:hAnsi="宋体"/>
          <w:b/>
          <w:bCs/>
          <w:sz w:val="18"/>
          <w:szCs w:val="18"/>
        </w:rPr>
      </w:pPr>
      <w:r>
        <w:rPr>
          <w:rFonts w:hint="eastAsia" w:ascii="宋体" w:hAnsi="宋体"/>
          <w:b/>
          <w:bCs/>
          <w:sz w:val="18"/>
          <w:szCs w:val="18"/>
        </w:rPr>
        <w:t>（四）信息披露的频率和时间</w:t>
      </w:r>
    </w:p>
    <w:p>
      <w:pPr>
        <w:spacing w:line="360" w:lineRule="auto"/>
        <w:ind w:firstLine="360" w:firstLineChars="200"/>
        <w:rPr>
          <w:rFonts w:ascii="宋体" w:hAnsi="宋体"/>
          <w:bCs/>
          <w:sz w:val="18"/>
          <w:szCs w:val="18"/>
        </w:rPr>
      </w:pPr>
      <w:r>
        <w:rPr>
          <w:rFonts w:ascii="宋体" w:hAnsi="宋体"/>
          <w:bCs/>
          <w:sz w:val="18"/>
          <w:szCs w:val="18"/>
        </w:rPr>
        <w:t>1.产品成立公告</w:t>
      </w:r>
    </w:p>
    <w:p>
      <w:pPr>
        <w:spacing w:line="360" w:lineRule="auto"/>
        <w:ind w:firstLine="360" w:firstLineChars="20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firstLineChars="20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firstLineChars="20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firstLineChars="200"/>
        <w:rPr>
          <w:rFonts w:ascii="宋体" w:hAnsi="宋体"/>
          <w:bCs/>
          <w:sz w:val="18"/>
          <w:szCs w:val="18"/>
        </w:rPr>
      </w:pPr>
      <w:r>
        <w:rPr>
          <w:rFonts w:ascii="宋体" w:hAnsi="宋体"/>
          <w:bCs/>
          <w:sz w:val="18"/>
          <w:szCs w:val="18"/>
        </w:rPr>
        <w:t>3.定期报告</w:t>
      </w:r>
    </w:p>
    <w:p>
      <w:pPr>
        <w:spacing w:line="360" w:lineRule="auto"/>
        <w:ind w:firstLine="360" w:firstLineChars="20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firstLineChars="200"/>
        <w:rPr>
          <w:rFonts w:ascii="宋体" w:hAnsi="宋体"/>
          <w:bCs/>
          <w:sz w:val="18"/>
          <w:szCs w:val="18"/>
        </w:rPr>
      </w:pPr>
      <w:r>
        <w:rPr>
          <w:rFonts w:ascii="宋体" w:hAnsi="宋体"/>
          <w:bCs/>
          <w:sz w:val="18"/>
          <w:szCs w:val="18"/>
        </w:rPr>
        <w:t>4.到期公告</w:t>
      </w:r>
    </w:p>
    <w:p>
      <w:pPr>
        <w:spacing w:line="360" w:lineRule="auto"/>
        <w:ind w:firstLine="360" w:firstLineChars="20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firstLineChars="200"/>
        <w:rPr>
          <w:rFonts w:ascii="宋体" w:hAnsi="宋体"/>
          <w:bCs/>
          <w:sz w:val="18"/>
          <w:szCs w:val="18"/>
        </w:rPr>
      </w:pPr>
      <w:r>
        <w:rPr>
          <w:rFonts w:ascii="宋体" w:hAnsi="宋体"/>
          <w:bCs/>
          <w:sz w:val="18"/>
          <w:szCs w:val="18"/>
        </w:rPr>
        <w:t>5.开放日公告</w:t>
      </w:r>
    </w:p>
    <w:p>
      <w:pPr>
        <w:spacing w:line="360" w:lineRule="auto"/>
        <w:ind w:firstLine="360" w:firstLineChars="200"/>
        <w:rPr>
          <w:rFonts w:ascii="宋体" w:hAnsi="宋体"/>
          <w:bCs/>
          <w:sz w:val="18"/>
          <w:szCs w:val="18"/>
        </w:rPr>
      </w:pPr>
      <w:r>
        <w:rPr>
          <w:rFonts w:hint="eastAsia" w:ascii="宋体" w:hAnsi="宋体"/>
          <w:sz w:val="18"/>
          <w:szCs w:val="18"/>
        </w:rPr>
        <w:t>产品管理人</w:t>
      </w:r>
      <w:r>
        <w:rPr>
          <w:rFonts w:hint="eastAsia" w:ascii="宋体" w:hAnsi="宋体"/>
          <w:bCs/>
          <w:sz w:val="18"/>
          <w:szCs w:val="18"/>
        </w:rPr>
        <w:t>在申购日</w:t>
      </w:r>
      <w:r>
        <w:rPr>
          <w:rFonts w:ascii="宋体" w:hAnsi="宋体"/>
          <w:bCs/>
          <w:sz w:val="18"/>
          <w:szCs w:val="18"/>
        </w:rPr>
        <w:t>/赎回日结束后2个工作日内披露开放日公告，公告内容包括申购日/赎回日</w:t>
      </w:r>
      <w:r>
        <w:rPr>
          <w:rFonts w:hint="eastAsia" w:ascii="宋体" w:hAnsi="宋体"/>
          <w:bCs/>
          <w:sz w:val="18"/>
          <w:szCs w:val="18"/>
        </w:rPr>
        <w:t>的产品份额净值、产品份额累计净值、业绩比较基准（如有）、业绩报酬计提基准（如有）等。</w:t>
      </w:r>
    </w:p>
    <w:p>
      <w:pPr>
        <w:spacing w:line="360" w:lineRule="auto"/>
        <w:ind w:firstLine="360" w:firstLineChars="200"/>
        <w:rPr>
          <w:rFonts w:ascii="宋体" w:hAnsi="宋体"/>
          <w:bCs/>
          <w:sz w:val="18"/>
          <w:szCs w:val="18"/>
        </w:rPr>
      </w:pPr>
      <w:r>
        <w:rPr>
          <w:rFonts w:hint="eastAsia" w:ascii="宋体" w:hAnsi="宋体"/>
          <w:bCs/>
          <w:sz w:val="18"/>
          <w:szCs w:val="18"/>
        </w:rPr>
        <w:t>6</w:t>
      </w:r>
      <w:r>
        <w:rPr>
          <w:rFonts w:ascii="宋体" w:hAnsi="宋体"/>
          <w:bCs/>
          <w:sz w:val="18"/>
          <w:szCs w:val="18"/>
        </w:rPr>
        <w:t>.估值日公告</w:t>
      </w:r>
    </w:p>
    <w:p>
      <w:pPr>
        <w:spacing w:line="360" w:lineRule="auto"/>
        <w:ind w:firstLine="360" w:firstLineChars="200"/>
        <w:rPr>
          <w:rFonts w:ascii="宋体" w:hAnsi="宋体"/>
          <w:bCs/>
          <w:sz w:val="18"/>
          <w:szCs w:val="18"/>
        </w:rPr>
      </w:pPr>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期间，每周向投资者披露一次估值日公告，估值日公告披露的内容包括估值日的产品份额净值、产品份额累计净值、业绩比较基准（如有）、</w:t>
      </w:r>
      <w:r>
        <w:rPr>
          <w:rFonts w:ascii="宋体" w:hAnsi="宋体"/>
          <w:bCs/>
          <w:sz w:val="18"/>
          <w:szCs w:val="18"/>
        </w:rPr>
        <w:t>业绩报酬计提</w:t>
      </w:r>
      <w:r>
        <w:rPr>
          <w:rFonts w:hint="eastAsia" w:ascii="宋体" w:hAnsi="宋体"/>
          <w:bCs/>
          <w:sz w:val="18"/>
          <w:szCs w:val="18"/>
        </w:rPr>
        <w:t>基准</w:t>
      </w:r>
      <w:r>
        <w:rPr>
          <w:rFonts w:ascii="宋体" w:hAnsi="宋体"/>
          <w:bCs/>
          <w:sz w:val="18"/>
          <w:szCs w:val="18"/>
        </w:rPr>
        <w:t>（</w:t>
      </w:r>
      <w:r>
        <w:rPr>
          <w:rFonts w:hint="eastAsia" w:ascii="宋体" w:hAnsi="宋体"/>
          <w:bCs/>
          <w:sz w:val="18"/>
          <w:szCs w:val="18"/>
        </w:rPr>
        <w:t>如有</w:t>
      </w:r>
      <w:r>
        <w:rPr>
          <w:rFonts w:ascii="宋体" w:hAnsi="宋体"/>
          <w:bCs/>
          <w:sz w:val="18"/>
          <w:szCs w:val="18"/>
        </w:rPr>
        <w:t>）</w:t>
      </w:r>
      <w:r>
        <w:rPr>
          <w:rFonts w:hint="eastAsia" w:ascii="宋体" w:hAnsi="宋体"/>
          <w:bCs/>
          <w:sz w:val="18"/>
          <w:szCs w:val="18"/>
        </w:rPr>
        <w:t>等。如遇法定节假日顺延。此外，如遇其他特殊情况，以产品管理人信息披露为准。</w:t>
      </w:r>
      <w:r>
        <w:rPr>
          <w:rFonts w:ascii="宋体" w:hAnsi="宋体"/>
          <w:bCs/>
          <w:sz w:val="18"/>
          <w:szCs w:val="18"/>
        </w:rPr>
        <w:t xml:space="preserve"> </w:t>
      </w:r>
    </w:p>
    <w:p>
      <w:pPr>
        <w:spacing w:line="360" w:lineRule="auto"/>
        <w:ind w:firstLine="360" w:firstLineChars="200"/>
        <w:rPr>
          <w:rFonts w:ascii="宋体" w:hAnsi="宋体"/>
          <w:bCs/>
          <w:sz w:val="18"/>
          <w:szCs w:val="18"/>
        </w:rPr>
      </w:pPr>
      <w:r>
        <w:rPr>
          <w:rFonts w:ascii="宋体" w:hAnsi="宋体"/>
          <w:bCs/>
          <w:sz w:val="18"/>
          <w:szCs w:val="18"/>
        </w:rPr>
        <w:t>7.临时公告</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特别提示：在一个完整投资周期结束前，管理人有权通过更新产品说明书中的业绩比较基准（如有）、业绩报酬计提基准（如有），以明确列示下一个完整投资周期对应的业绩比较基准（如有）、业绩报酬计提基准（如有），若相关基准数值发生变更的，不再另行发布公告。</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w:t>
      </w:r>
      <w:r>
        <w:rPr>
          <w:rFonts w:ascii="宋体" w:hAnsi="宋体"/>
          <w:bCs/>
          <w:sz w:val="18"/>
          <w:szCs w:val="18"/>
        </w:rPr>
        <w:t>/申购</w:t>
      </w:r>
      <w:r>
        <w:rPr>
          <w:rFonts w:hint="eastAsia" w:ascii="宋体" w:hAnsi="宋体"/>
          <w:bCs/>
          <w:sz w:val="18"/>
          <w:szCs w:val="18"/>
        </w:rPr>
        <w:t>申请、暂停接受</w:t>
      </w:r>
      <w:r>
        <w:rPr>
          <w:rFonts w:ascii="宋体" w:hAnsi="宋体"/>
          <w:bCs/>
          <w:sz w:val="18"/>
          <w:szCs w:val="18"/>
        </w:rPr>
        <w:t>投资者</w:t>
      </w:r>
      <w:r>
        <w:rPr>
          <w:rFonts w:hint="eastAsia" w:ascii="宋体" w:hAnsi="宋体"/>
          <w:bCs/>
          <w:sz w:val="18"/>
          <w:szCs w:val="18"/>
        </w:rPr>
        <w:t>赎回申请、延缓支付赎回款项、</w:t>
      </w:r>
      <w:r>
        <w:rPr>
          <w:rFonts w:ascii="宋体" w:hAnsi="宋体"/>
          <w:bCs/>
          <w:sz w:val="18"/>
          <w:szCs w:val="18"/>
        </w:rPr>
        <w:t>巨额赎回</w:t>
      </w:r>
      <w:r>
        <w:rPr>
          <w:rFonts w:hint="eastAsia" w:ascii="宋体" w:hAnsi="宋体"/>
          <w:bCs/>
          <w:sz w:val="18"/>
          <w:szCs w:val="18"/>
        </w:rPr>
        <w:t>、暂停理财产品估值、采用摆动定价</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在发生涉及产品认购、申购或赎回事项调整或潜在影响投资者赎回等事项时，管理人将发布临时公告。</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firstLineChars="20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bCs/>
          <w:sz w:val="24"/>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并可按照理财产品销售文件约定的方式退出（若为封闭式理财产品的，在符合法律法规及监管政策的前提下，可由管理人另行决定投资者的退出方式）。若投资者未选择退出本产品的，则视为已理解并接受管理人的相应变更。</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Pr>
          <w:sz w:val="24"/>
        </w:rPr>
        <w:br w:type="page"/>
      </w:r>
    </w:p>
    <w:p>
      <w:pPr>
        <w:pStyle w:val="2"/>
        <w:spacing w:before="0" w:after="0" w:line="360" w:lineRule="auto"/>
        <w:jc w:val="center"/>
        <w:rPr>
          <w:rFonts w:ascii="Times New Roman"/>
          <w:b w:val="0"/>
          <w:sz w:val="30"/>
        </w:rPr>
      </w:pPr>
      <w:bookmarkStart w:id="170" w:name="_GoBack"/>
      <w:bookmarkEnd w:id="170"/>
      <w:bookmarkStart w:id="167" w:name="_Toc24766"/>
      <w:bookmarkStart w:id="168" w:name="_Toc79154675"/>
      <w:bookmarkStart w:id="169" w:name="_Toc92377141"/>
      <w:r>
        <w:rPr>
          <w:rFonts w:hint="eastAsia" w:ascii="Times New Roman"/>
          <w:sz w:val="30"/>
        </w:rPr>
        <w:t>第十二条</w:t>
      </w:r>
      <w:r>
        <w:rPr>
          <w:rFonts w:ascii="Times New Roman"/>
          <w:sz w:val="30"/>
        </w:rPr>
        <w:t xml:space="preserve">  </w:t>
      </w:r>
      <w:r>
        <w:rPr>
          <w:rFonts w:hint="eastAsia" w:ascii="Times New Roman"/>
          <w:sz w:val="30"/>
        </w:rPr>
        <w:t>理财产品</w:t>
      </w:r>
      <w:r>
        <w:rPr>
          <w:rFonts w:ascii="Times New Roman"/>
          <w:sz w:val="30"/>
        </w:rPr>
        <w:t>的风险揭示</w:t>
      </w:r>
      <w:bookmarkEnd w:id="167"/>
      <w:bookmarkEnd w:id="168"/>
      <w:bookmarkEnd w:id="169"/>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bCs/>
          <w:sz w:val="18"/>
          <w:szCs w:val="18"/>
        </w:rPr>
      </w:pPr>
      <w:r>
        <w:rPr>
          <w:rFonts w:hint="eastAsia" w:ascii="宋体" w:hAnsi="宋体"/>
          <w:bCs/>
          <w:sz w:val="18"/>
          <w:szCs w:val="18"/>
        </w:rPr>
        <w:t>1.拟投资市场和资产的风险：</w:t>
      </w:r>
    </w:p>
    <w:p>
      <w:pPr>
        <w:spacing w:line="360" w:lineRule="auto"/>
        <w:ind w:firstLine="360" w:firstLineChars="200"/>
        <w:rPr>
          <w:rFonts w:ascii="宋体" w:hAnsi="宋体"/>
          <w:bCs/>
          <w:sz w:val="18"/>
          <w:szCs w:val="18"/>
        </w:rPr>
      </w:pPr>
      <w:r>
        <w:rPr>
          <w:rFonts w:hint="eastAsia" w:ascii="宋体" w:hAnsi="宋体"/>
          <w:bCs/>
          <w:sz w:val="18"/>
          <w:szCs w:val="18"/>
        </w:rPr>
        <w:t>（1）投资固定收益类资产的风险</w:t>
      </w:r>
    </w:p>
    <w:p>
      <w:pPr>
        <w:spacing w:line="360" w:lineRule="auto"/>
        <w:ind w:firstLine="360" w:firstLineChars="200"/>
        <w:rPr>
          <w:rFonts w:ascii="宋体" w:hAnsi="宋体"/>
          <w:bCs/>
          <w:sz w:val="18"/>
          <w:szCs w:val="18"/>
        </w:rPr>
      </w:pPr>
      <w:r>
        <w:rPr>
          <w:rFonts w:hint="eastAsia" w:ascii="宋体" w:hAnsi="宋体"/>
          <w:bCs/>
          <w:sz w:val="18"/>
          <w:szCs w:val="18"/>
        </w:rPr>
        <w:t>1）投资标准化债权类资产的风险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2）投资非标准化债权类资产的风险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（2）投资权益类资产的风险 </w:t>
      </w:r>
    </w:p>
    <w:p>
      <w:pPr>
        <w:spacing w:line="360" w:lineRule="auto"/>
        <w:ind w:firstLine="360" w:firstLineChars="200"/>
        <w:rPr>
          <w:rFonts w:ascii="宋体" w:hAnsi="宋体"/>
          <w:bCs/>
          <w:sz w:val="18"/>
          <w:szCs w:val="18"/>
        </w:rPr>
      </w:pPr>
      <w:r>
        <w:rPr>
          <w:rFonts w:hint="eastAsia" w:ascii="宋体" w:hAnsi="宋体"/>
          <w:bCs/>
          <w:sz w:val="18"/>
          <w:szCs w:val="18"/>
        </w:rPr>
        <w:t>1）投资股票类资产的风险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股票类资产时可能面临以下风险：国家政策、经济周期、利率、汇率、股票发行人经营情况等因素可能发生变化导致的市场风险；因市场、技术、竞争、管理、财务等导致公司盈利发生变化，其股票价格可能下跌，影响投资者收益；股票定向增发、上市公司优先股等可能的流通和转让限制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2）投资股权类资产的风险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未上市股权类资产时可能面临以下风险：国家政策、经济周期、行业政策等因素可能发生变化导致的市场风险；因市场、技术、竞争、管理、财务等导致公司盈利发生变化，其股权价值可能下跌，影响投资者收益；因股权未上市或存在相关限制股权转让的协议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（3）投资商品和金融衍生品类资产的风险 </w:t>
      </w:r>
    </w:p>
    <w:p>
      <w:pPr>
        <w:spacing w:line="360" w:lineRule="auto"/>
        <w:ind w:firstLine="360" w:firstLineChars="200"/>
        <w:rPr>
          <w:rFonts w:ascii="宋体" w:hAnsi="宋体"/>
          <w:bCs/>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spacing w:line="360" w:lineRule="auto"/>
        <w:ind w:firstLine="361" w:firstLineChars="200"/>
        <w:rPr>
          <w:rFonts w:ascii="宋体" w:hAnsi="宋体"/>
          <w:b/>
          <w:sz w:val="18"/>
          <w:szCs w:val="18"/>
        </w:rPr>
      </w:pPr>
      <w:r>
        <w:rPr>
          <w:rFonts w:hint="eastAsia" w:ascii="宋体" w:hAnsi="宋体"/>
          <w:b/>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.市场</w:t>
      </w:r>
      <w:r>
        <w:rPr>
          <w:rFonts w:ascii="宋体" w:hAnsi="宋体"/>
          <w:sz w:val="18"/>
          <w:szCs w:val="18"/>
        </w:rPr>
        <w:t>风险：</w:t>
      </w: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ascii="宋体" w:hAnsi="宋体"/>
          <w:sz w:val="18"/>
          <w:szCs w:val="18"/>
        </w:rPr>
        <w:t>5</w:t>
      </w:r>
      <w:r>
        <w:rPr>
          <w:rFonts w:hint="eastAsia" w:ascii="宋体" w:hAnsi="宋体"/>
          <w:sz w:val="18"/>
          <w:szCs w:val="18"/>
        </w:rPr>
        <w:t>.</w:t>
      </w:r>
      <w:r>
        <w:rPr>
          <w:rFonts w:ascii="宋体" w:hAnsi="宋体"/>
          <w:sz w:val="18"/>
          <w:szCs w:val="18"/>
        </w:rPr>
        <w:t>法律与政策风险：</w:t>
      </w: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w:t>
      </w:r>
      <w:r>
        <w:rPr>
          <w:rFonts w:ascii="宋体" w:hAnsi="宋体"/>
          <w:sz w:val="18"/>
          <w:szCs w:val="18"/>
        </w:rPr>
        <w:t>延期</w:t>
      </w:r>
      <w:r>
        <w:rPr>
          <w:rFonts w:hint="eastAsia" w:ascii="宋体" w:hAnsi="宋体"/>
          <w:sz w:val="18"/>
          <w:szCs w:val="18"/>
        </w:rPr>
        <w:t>分配</w:t>
      </w:r>
      <w:r>
        <w:rPr>
          <w:rFonts w:ascii="宋体" w:hAnsi="宋体"/>
          <w:sz w:val="18"/>
          <w:szCs w:val="18"/>
        </w:rPr>
        <w:t>风险：</w:t>
      </w: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w:t>
      </w:r>
      <w:r>
        <w:rPr>
          <w:rFonts w:ascii="宋体" w:hAnsi="宋体"/>
          <w:sz w:val="18"/>
          <w:szCs w:val="18"/>
        </w:rPr>
        <w:t>早偿风险：</w:t>
      </w:r>
      <w:r>
        <w:rPr>
          <w:rFonts w:hint="eastAsia" w:ascii="宋体" w:hAnsi="宋体"/>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ascii="黑体" w:hAnsi="黑体" w:eastAsia="黑体"/>
          <w:sz w:val="18"/>
          <w:szCs w:val="18"/>
        </w:rPr>
        <w:t>8. ★信息传递风险：</w:t>
      </w:r>
      <w:r>
        <w:rPr>
          <w:rFonts w:hint="eastAsia" w:ascii="黑体" w:hAnsi="黑体" w:eastAsia="黑体"/>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w:t>
      </w:r>
      <w:r>
        <w:rPr>
          <w:rFonts w:ascii="宋体" w:hAnsi="宋体"/>
          <w:sz w:val="18"/>
          <w:szCs w:val="18"/>
        </w:rPr>
        <w:t>不可抗力及意外事件风险：</w:t>
      </w: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bCs/>
          <w:sz w:val="18"/>
          <w:szCs w:val="18"/>
        </w:rPr>
      </w:pPr>
      <w:r>
        <w:rPr>
          <w:rFonts w:ascii="宋体" w:hAnsi="宋体"/>
          <w:sz w:val="18"/>
          <w:szCs w:val="18"/>
        </w:rPr>
        <w:t>10</w:t>
      </w:r>
      <w:r>
        <w:rPr>
          <w:rFonts w:hint="eastAsia" w:ascii="宋体" w:hAnsi="宋体"/>
          <w:sz w:val="18"/>
          <w:szCs w:val="18"/>
        </w:rPr>
        <w:t>.</w:t>
      </w:r>
      <w:r>
        <w:rPr>
          <w:rFonts w:ascii="宋体" w:hAnsi="宋体"/>
          <w:sz w:val="18"/>
          <w:szCs w:val="18"/>
        </w:rPr>
        <w:t>管理人风险：</w:t>
      </w:r>
      <w:r>
        <w:rPr>
          <w:rFonts w:hint="eastAsia" w:ascii="宋体" w:hAnsi="宋体"/>
          <w:sz w:val="18"/>
          <w:szCs w:val="18"/>
        </w:rPr>
        <w:t>理财产品管理人或理财投资资产相关服务机构受经验、技能等因素的限制，或者上述主体处理事务不当等，可能导致投资者遭受损失。</w:t>
      </w:r>
      <w:r>
        <w:rPr>
          <w:rFonts w:ascii="宋体" w:hAnsi="宋体"/>
          <w:bCs/>
          <w:sz w:val="18"/>
          <w:szCs w:val="18"/>
        </w:rPr>
        <w:t xml:space="preserve"> </w:t>
      </w:r>
    </w:p>
    <w:p>
      <w:pPr>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.理财产品不成立风险：如自本产品开始募集至认购期结束认购总金额未达到产品最小成立规模（如有约定），或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w:t>
      </w:r>
      <w:r>
        <w:rPr>
          <w:rFonts w:ascii="宋体" w:hAnsi="宋体"/>
          <w:sz w:val="18"/>
          <w:szCs w:val="18"/>
        </w:rPr>
        <w:t>操作风险：</w:t>
      </w: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13.估值</w:t>
      </w:r>
      <w:r>
        <w:rPr>
          <w:rFonts w:hint="eastAsia" w:ascii="宋体" w:hAnsi="宋体"/>
          <w:sz w:val="18"/>
          <w:szCs w:val="18"/>
        </w:rPr>
        <w:t>波动</w:t>
      </w:r>
      <w:r>
        <w:rPr>
          <w:rFonts w:ascii="宋体" w:hAnsi="宋体"/>
          <w:sz w:val="18"/>
          <w:szCs w:val="18"/>
        </w:rPr>
        <w:t>风险：</w:t>
      </w: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14</w:t>
      </w:r>
      <w:r>
        <w:rPr>
          <w:rFonts w:hint="eastAsia" w:ascii="宋体" w:hAnsi="宋体"/>
          <w:sz w:val="18"/>
          <w:szCs w:val="18"/>
        </w:rPr>
        <w:t>.</w:t>
      </w:r>
      <w:r>
        <w:rPr>
          <w:rFonts w:ascii="宋体" w:hAnsi="宋体"/>
          <w:sz w:val="18"/>
          <w:szCs w:val="18"/>
        </w:rPr>
        <w:t>估值差错风险：</w:t>
      </w: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宋体" w:hAnsi="宋体"/>
          <w:sz w:val="18"/>
          <w:szCs w:val="18"/>
        </w:rPr>
      </w:pPr>
      <w:r>
        <w:rPr>
          <w:rFonts w:ascii="宋体" w:hAnsi="宋体"/>
          <w:sz w:val="18"/>
          <w:szCs w:val="18"/>
        </w:rPr>
        <w:t>15</w:t>
      </w:r>
      <w:r>
        <w:rPr>
          <w:rFonts w:hint="eastAsia" w:ascii="宋体" w:hAnsi="宋体"/>
          <w:sz w:val="18"/>
          <w:szCs w:val="18"/>
        </w:rPr>
        <w:t>.★</w:t>
      </w:r>
      <w:r>
        <w:rPr>
          <w:rFonts w:hint="eastAsia" w:ascii="黑体" w:hAnsi="黑体" w:eastAsia="黑体"/>
          <w:sz w:val="18"/>
          <w:szCs w:val="18"/>
        </w:rPr>
        <w:t>代销风险：本理财产品若通过非产品管理人自有渠道进行销售的属于代理销售，认购</w:t>
      </w:r>
      <w:r>
        <w:rPr>
          <w:rFonts w:ascii="黑体" w:hAnsi="黑体" w:eastAsia="黑体"/>
          <w:sz w:val="18"/>
          <w:szCs w:val="18"/>
        </w:rPr>
        <w:t>/</w:t>
      </w:r>
      <w:r>
        <w:rPr>
          <w:rFonts w:hint="eastAsia" w:ascii="黑体" w:hAnsi="黑体" w:eastAsia="黑体"/>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hAnsi="黑体" w:eastAsia="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r>
        <w:rPr>
          <w:rFonts w:hint="eastAsia" w:ascii="黑体" w:hAnsi="黑体" w:eastAsia="黑体"/>
          <w:sz w:val="18"/>
          <w:szCs w:val="18"/>
        </w:rPr>
        <w:t>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16.</w:t>
      </w:r>
      <w:r>
        <w:rPr>
          <w:rFonts w:hint="eastAsia" w:ascii="黑体" w:hAnsi="黑体" w:eastAsia="黑体"/>
          <w:sz w:val="18"/>
          <w:szCs w:val="18"/>
        </w:rPr>
        <w:t>★不同理财产品份额类别存在差异的风险：理财产品管理人可根据投资者购买理财产品的金额、销售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17.</w:t>
      </w:r>
      <w:r>
        <w:rPr>
          <w:rFonts w:hint="eastAsia" w:ascii="黑体" w:hAnsi="黑体" w:eastAsia="黑体"/>
          <w:sz w:val="18"/>
          <w:szCs w:val="18"/>
        </w:rPr>
        <w:t xml:space="preserve"> 关联交易风险</w:t>
      </w: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1" w:firstLineChars="200"/>
        <w:rPr>
          <w:rFonts w:ascii="黑体" w:hAnsi="黑体" w:eastAsia="黑体"/>
          <w:b/>
          <w:sz w:val="18"/>
          <w:szCs w:val="18"/>
        </w:rPr>
      </w:pPr>
      <w:r>
        <w:rPr>
          <w:rFonts w:hint="eastAsia" w:ascii="黑体" w:hAnsi="黑体" w:eastAsia="黑体"/>
          <w:b/>
          <w:sz w:val="18"/>
          <w:szCs w:val="18"/>
        </w:rPr>
        <w:t>（</w:t>
      </w:r>
      <w:r>
        <w:rPr>
          <w:rFonts w:ascii="黑体" w:hAnsi="黑体" w:eastAsia="黑体"/>
          <w:b/>
          <w:sz w:val="18"/>
          <w:szCs w:val="18"/>
        </w:rPr>
        <w:t>三</w:t>
      </w:r>
      <w:r>
        <w:rPr>
          <w:rFonts w:hint="eastAsia" w:ascii="黑体" w:hAnsi="黑体" w:eastAsia="黑体"/>
          <w:b/>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b/>
          <w:sz w:val="18"/>
          <w:szCs w:val="18"/>
        </w:rPr>
        <w:t>，甚至投资者的投资本金将遭受损失，在最不利的极端情况下，投资者可能损失全部本金。</w:t>
      </w:r>
    </w:p>
    <w:p>
      <w:pPr>
        <w:spacing w:line="360" w:lineRule="auto"/>
        <w:ind w:firstLine="360" w:firstLineChars="200"/>
        <w:rPr>
          <w:rFonts w:ascii="宋体" w:hAnsi="宋体"/>
          <w:sz w:val="18"/>
          <w:szCs w:val="18"/>
        </w:rPr>
      </w:pPr>
    </w:p>
    <w:p>
      <w:pPr>
        <w:pStyle w:val="34"/>
        <w:spacing w:line="360" w:lineRule="auto"/>
        <w:rPr>
          <w:rFonts w:hAnsi="宋体"/>
          <w:sz w:val="18"/>
          <w:szCs w:val="18"/>
        </w:rPr>
      </w:pPr>
    </w:p>
    <w:sectPr>
      <w:footerReference r:id="rId7"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黑体" w:hAnsi="黑体" w:eastAsia="黑体"/>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黑体" w:hAnsi="黑体" w:eastAsia="黑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黑体" w:hAnsi="黑体" w:eastAsia="黑体"/>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15647"/>
    </w:sdtPr>
    <w:sdtContent>
      <w:p>
        <w:pPr>
          <w:pStyle w:val="15"/>
          <w:jc w:val="center"/>
        </w:pPr>
        <w:r>
          <w:fldChar w:fldCharType="begin"/>
        </w:r>
        <w:r>
          <w:instrText xml:space="preserve"> PAGE   \* MERGEFORMAT </w:instrText>
        </w:r>
        <w:r>
          <w:fldChar w:fldCharType="separate"/>
        </w:r>
        <w:r>
          <w:rPr>
            <w:lang w:val="zh-CN"/>
          </w:rPr>
          <w:t>36</w:t>
        </w:r>
        <w:r>
          <w:fldChar w:fldCharType="end"/>
        </w:r>
      </w:p>
    </w:sdtContent>
  </w:sdt>
  <w:p>
    <w:pPr>
      <w:pStyle w:val="7"/>
      <w:jc w:val="both"/>
      <w:rPr>
        <w:rFonts w:ascii="黑体" w:hAnsi="黑体" w:eastAsia="黑体"/>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thickThinLargeGap" w:color="auto" w:sz="24" w:space="0"/>
      </w:pBdr>
      <w:tabs>
        <w:tab w:val="right" w:pos="8280"/>
      </w:tabs>
      <w:wordWrap w:val="0"/>
      <w:adjustRightInd w:val="0"/>
      <w:jc w:val="right"/>
      <w:rPr>
        <w:b/>
      </w:rPr>
    </w:pPr>
    <w:r>
      <w:rPr>
        <w:rFonts w:hint="eastAsia"/>
      </w:rPr>
      <w:t xml:space="preserve"> </w:t>
    </w:r>
    <w:r>
      <w:rPr>
        <w:rFonts w:hint="eastAsia"/>
        <w:b/>
      </w:rPr>
      <w:t>产品说明书</w:t>
    </w:r>
  </w:p>
  <w:p>
    <w:pPr>
      <w:pStyle w:val="16"/>
      <w:pBdr>
        <w:bottom w:val="thickThinLargeGap" w:color="auto" w:sz="24" w:space="0"/>
      </w:pBdr>
      <w:tabs>
        <w:tab w:val="right" w:pos="8280"/>
      </w:tabs>
      <w:adjustRightInd w:val="0"/>
      <w:jc w:val="right"/>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E7124"/>
    <w:rsid w:val="0000208C"/>
    <w:rsid w:val="00002480"/>
    <w:rsid w:val="00006848"/>
    <w:rsid w:val="0001202B"/>
    <w:rsid w:val="000124BB"/>
    <w:rsid w:val="00014A51"/>
    <w:rsid w:val="000160F8"/>
    <w:rsid w:val="00020E26"/>
    <w:rsid w:val="00022093"/>
    <w:rsid w:val="000240C1"/>
    <w:rsid w:val="0002421F"/>
    <w:rsid w:val="00024B59"/>
    <w:rsid w:val="00024D52"/>
    <w:rsid w:val="000257FD"/>
    <w:rsid w:val="00026801"/>
    <w:rsid w:val="0002771C"/>
    <w:rsid w:val="00027CAD"/>
    <w:rsid w:val="000307FF"/>
    <w:rsid w:val="00030826"/>
    <w:rsid w:val="000310FD"/>
    <w:rsid w:val="00033D3E"/>
    <w:rsid w:val="000360AD"/>
    <w:rsid w:val="00036724"/>
    <w:rsid w:val="0004119D"/>
    <w:rsid w:val="0004124F"/>
    <w:rsid w:val="00042C76"/>
    <w:rsid w:val="00042CE7"/>
    <w:rsid w:val="000438E6"/>
    <w:rsid w:val="00044823"/>
    <w:rsid w:val="00045941"/>
    <w:rsid w:val="00050766"/>
    <w:rsid w:val="0005088E"/>
    <w:rsid w:val="00051DE2"/>
    <w:rsid w:val="00055773"/>
    <w:rsid w:val="000565A5"/>
    <w:rsid w:val="0005743B"/>
    <w:rsid w:val="00057BC6"/>
    <w:rsid w:val="0006031B"/>
    <w:rsid w:val="00061C70"/>
    <w:rsid w:val="00062695"/>
    <w:rsid w:val="000629DD"/>
    <w:rsid w:val="00063B03"/>
    <w:rsid w:val="000705EE"/>
    <w:rsid w:val="00073A90"/>
    <w:rsid w:val="000747D8"/>
    <w:rsid w:val="0007672E"/>
    <w:rsid w:val="0007760F"/>
    <w:rsid w:val="000776F7"/>
    <w:rsid w:val="00077A54"/>
    <w:rsid w:val="00077C13"/>
    <w:rsid w:val="00080277"/>
    <w:rsid w:val="0008037A"/>
    <w:rsid w:val="00081DC7"/>
    <w:rsid w:val="000826C9"/>
    <w:rsid w:val="00082E45"/>
    <w:rsid w:val="00085DD5"/>
    <w:rsid w:val="0009086F"/>
    <w:rsid w:val="00091121"/>
    <w:rsid w:val="00092A5F"/>
    <w:rsid w:val="00094CA6"/>
    <w:rsid w:val="00094DDA"/>
    <w:rsid w:val="00095235"/>
    <w:rsid w:val="00097047"/>
    <w:rsid w:val="000A0882"/>
    <w:rsid w:val="000A0CC9"/>
    <w:rsid w:val="000A0DC8"/>
    <w:rsid w:val="000A1E0C"/>
    <w:rsid w:val="000A3063"/>
    <w:rsid w:val="000A35E5"/>
    <w:rsid w:val="000A45C6"/>
    <w:rsid w:val="000A57AC"/>
    <w:rsid w:val="000A5A4A"/>
    <w:rsid w:val="000A5AAB"/>
    <w:rsid w:val="000B00D8"/>
    <w:rsid w:val="000B378B"/>
    <w:rsid w:val="000B6819"/>
    <w:rsid w:val="000B7F67"/>
    <w:rsid w:val="000C31AC"/>
    <w:rsid w:val="000C3B81"/>
    <w:rsid w:val="000C69CB"/>
    <w:rsid w:val="000C6BF4"/>
    <w:rsid w:val="000C7C96"/>
    <w:rsid w:val="000D0C3A"/>
    <w:rsid w:val="000D10B1"/>
    <w:rsid w:val="000D1473"/>
    <w:rsid w:val="000D19CF"/>
    <w:rsid w:val="000D2623"/>
    <w:rsid w:val="000D3E2A"/>
    <w:rsid w:val="000D4DAE"/>
    <w:rsid w:val="000D548F"/>
    <w:rsid w:val="000D591B"/>
    <w:rsid w:val="000E008C"/>
    <w:rsid w:val="000E10C7"/>
    <w:rsid w:val="000E181B"/>
    <w:rsid w:val="000E18C8"/>
    <w:rsid w:val="000E2054"/>
    <w:rsid w:val="000E5A74"/>
    <w:rsid w:val="000E7029"/>
    <w:rsid w:val="000E798C"/>
    <w:rsid w:val="000E7BB9"/>
    <w:rsid w:val="000F09FA"/>
    <w:rsid w:val="000F4322"/>
    <w:rsid w:val="000F556F"/>
    <w:rsid w:val="000F7FB5"/>
    <w:rsid w:val="00100295"/>
    <w:rsid w:val="00100789"/>
    <w:rsid w:val="00100D6E"/>
    <w:rsid w:val="00103221"/>
    <w:rsid w:val="001048D9"/>
    <w:rsid w:val="00104FAF"/>
    <w:rsid w:val="0010605A"/>
    <w:rsid w:val="0011092D"/>
    <w:rsid w:val="00111430"/>
    <w:rsid w:val="00112922"/>
    <w:rsid w:val="001139C8"/>
    <w:rsid w:val="001157E6"/>
    <w:rsid w:val="00115A4C"/>
    <w:rsid w:val="00116240"/>
    <w:rsid w:val="00121A98"/>
    <w:rsid w:val="00122AA4"/>
    <w:rsid w:val="00122E28"/>
    <w:rsid w:val="001232D0"/>
    <w:rsid w:val="0012639A"/>
    <w:rsid w:val="00127FAE"/>
    <w:rsid w:val="00134EC8"/>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59A"/>
    <w:rsid w:val="001852D8"/>
    <w:rsid w:val="001864AE"/>
    <w:rsid w:val="00186521"/>
    <w:rsid w:val="00187F37"/>
    <w:rsid w:val="0019010B"/>
    <w:rsid w:val="00190633"/>
    <w:rsid w:val="0019071D"/>
    <w:rsid w:val="00190B9A"/>
    <w:rsid w:val="0019134D"/>
    <w:rsid w:val="00191C98"/>
    <w:rsid w:val="0019285E"/>
    <w:rsid w:val="00192C78"/>
    <w:rsid w:val="00194E1F"/>
    <w:rsid w:val="0019519C"/>
    <w:rsid w:val="0019545E"/>
    <w:rsid w:val="00196469"/>
    <w:rsid w:val="00196E62"/>
    <w:rsid w:val="001A0033"/>
    <w:rsid w:val="001A141C"/>
    <w:rsid w:val="001A352E"/>
    <w:rsid w:val="001A434D"/>
    <w:rsid w:val="001B218F"/>
    <w:rsid w:val="001B21AE"/>
    <w:rsid w:val="001B5BBB"/>
    <w:rsid w:val="001C31CB"/>
    <w:rsid w:val="001C3B80"/>
    <w:rsid w:val="001C41C7"/>
    <w:rsid w:val="001C5E54"/>
    <w:rsid w:val="001C7184"/>
    <w:rsid w:val="001C730C"/>
    <w:rsid w:val="001C770D"/>
    <w:rsid w:val="001C7B1B"/>
    <w:rsid w:val="001D03C8"/>
    <w:rsid w:val="001D06D0"/>
    <w:rsid w:val="001D0990"/>
    <w:rsid w:val="001D1C72"/>
    <w:rsid w:val="001D1D5B"/>
    <w:rsid w:val="001D2824"/>
    <w:rsid w:val="001D3E8B"/>
    <w:rsid w:val="001D4AC9"/>
    <w:rsid w:val="001D4BC1"/>
    <w:rsid w:val="001D570A"/>
    <w:rsid w:val="001D688E"/>
    <w:rsid w:val="001E14FD"/>
    <w:rsid w:val="001E291D"/>
    <w:rsid w:val="001E461E"/>
    <w:rsid w:val="001E54CE"/>
    <w:rsid w:val="001E61BD"/>
    <w:rsid w:val="001E6C14"/>
    <w:rsid w:val="001E70FE"/>
    <w:rsid w:val="001E77D6"/>
    <w:rsid w:val="001E794F"/>
    <w:rsid w:val="001F00E4"/>
    <w:rsid w:val="001F08F9"/>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3E9"/>
    <w:rsid w:val="00217789"/>
    <w:rsid w:val="00220D74"/>
    <w:rsid w:val="002213EA"/>
    <w:rsid w:val="00223351"/>
    <w:rsid w:val="002237A8"/>
    <w:rsid w:val="00223B5B"/>
    <w:rsid w:val="00224505"/>
    <w:rsid w:val="002265AA"/>
    <w:rsid w:val="00226925"/>
    <w:rsid w:val="00226E60"/>
    <w:rsid w:val="00227359"/>
    <w:rsid w:val="00231FC0"/>
    <w:rsid w:val="002347F9"/>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790B"/>
    <w:rsid w:val="00264630"/>
    <w:rsid w:val="002653AC"/>
    <w:rsid w:val="00265722"/>
    <w:rsid w:val="00266037"/>
    <w:rsid w:val="00266978"/>
    <w:rsid w:val="00266DAB"/>
    <w:rsid w:val="00272C40"/>
    <w:rsid w:val="00273F65"/>
    <w:rsid w:val="00274DDB"/>
    <w:rsid w:val="00275526"/>
    <w:rsid w:val="00275757"/>
    <w:rsid w:val="00276ACE"/>
    <w:rsid w:val="00281B9A"/>
    <w:rsid w:val="002826EB"/>
    <w:rsid w:val="00282B2B"/>
    <w:rsid w:val="002869B1"/>
    <w:rsid w:val="002877ED"/>
    <w:rsid w:val="00290893"/>
    <w:rsid w:val="0029197D"/>
    <w:rsid w:val="00293329"/>
    <w:rsid w:val="002A1894"/>
    <w:rsid w:val="002A2964"/>
    <w:rsid w:val="002A3DA0"/>
    <w:rsid w:val="002A6688"/>
    <w:rsid w:val="002B0460"/>
    <w:rsid w:val="002B0A68"/>
    <w:rsid w:val="002B1C83"/>
    <w:rsid w:val="002B2349"/>
    <w:rsid w:val="002B389F"/>
    <w:rsid w:val="002B4AAF"/>
    <w:rsid w:val="002B5421"/>
    <w:rsid w:val="002B6616"/>
    <w:rsid w:val="002B75A8"/>
    <w:rsid w:val="002C0CF5"/>
    <w:rsid w:val="002C3DA6"/>
    <w:rsid w:val="002C3DD6"/>
    <w:rsid w:val="002C446D"/>
    <w:rsid w:val="002C6117"/>
    <w:rsid w:val="002C6DB5"/>
    <w:rsid w:val="002D1DEF"/>
    <w:rsid w:val="002D3AB7"/>
    <w:rsid w:val="002D3AEF"/>
    <w:rsid w:val="002D6AFD"/>
    <w:rsid w:val="002D7737"/>
    <w:rsid w:val="002E134B"/>
    <w:rsid w:val="002E25FC"/>
    <w:rsid w:val="002E393C"/>
    <w:rsid w:val="002E5F4C"/>
    <w:rsid w:val="002E6721"/>
    <w:rsid w:val="002E7C23"/>
    <w:rsid w:val="002F0CD5"/>
    <w:rsid w:val="002F11BA"/>
    <w:rsid w:val="002F29C4"/>
    <w:rsid w:val="002F389F"/>
    <w:rsid w:val="002F45BC"/>
    <w:rsid w:val="002F4C49"/>
    <w:rsid w:val="00301106"/>
    <w:rsid w:val="003029FF"/>
    <w:rsid w:val="0030325C"/>
    <w:rsid w:val="00304C4E"/>
    <w:rsid w:val="00304D9D"/>
    <w:rsid w:val="00306DA6"/>
    <w:rsid w:val="0031156D"/>
    <w:rsid w:val="003122D5"/>
    <w:rsid w:val="00313E17"/>
    <w:rsid w:val="00320153"/>
    <w:rsid w:val="003224C7"/>
    <w:rsid w:val="00327E26"/>
    <w:rsid w:val="00330DD8"/>
    <w:rsid w:val="00330E24"/>
    <w:rsid w:val="00331380"/>
    <w:rsid w:val="00331423"/>
    <w:rsid w:val="00331AA1"/>
    <w:rsid w:val="00332367"/>
    <w:rsid w:val="0033357B"/>
    <w:rsid w:val="003363E0"/>
    <w:rsid w:val="0033710A"/>
    <w:rsid w:val="00337172"/>
    <w:rsid w:val="00337AF2"/>
    <w:rsid w:val="00337EC3"/>
    <w:rsid w:val="003405D3"/>
    <w:rsid w:val="00341DFC"/>
    <w:rsid w:val="003444E9"/>
    <w:rsid w:val="00350B80"/>
    <w:rsid w:val="0035109F"/>
    <w:rsid w:val="0035299D"/>
    <w:rsid w:val="00356734"/>
    <w:rsid w:val="00356F2E"/>
    <w:rsid w:val="003601A7"/>
    <w:rsid w:val="00361109"/>
    <w:rsid w:val="00363191"/>
    <w:rsid w:val="00363504"/>
    <w:rsid w:val="0036433E"/>
    <w:rsid w:val="00370696"/>
    <w:rsid w:val="00371546"/>
    <w:rsid w:val="003727DA"/>
    <w:rsid w:val="00373305"/>
    <w:rsid w:val="003745A5"/>
    <w:rsid w:val="00375BC6"/>
    <w:rsid w:val="00380DB4"/>
    <w:rsid w:val="00381A67"/>
    <w:rsid w:val="003823A6"/>
    <w:rsid w:val="003838B9"/>
    <w:rsid w:val="00387E86"/>
    <w:rsid w:val="00391268"/>
    <w:rsid w:val="00391BBC"/>
    <w:rsid w:val="00392F32"/>
    <w:rsid w:val="0039407B"/>
    <w:rsid w:val="00396E72"/>
    <w:rsid w:val="003A403E"/>
    <w:rsid w:val="003A430B"/>
    <w:rsid w:val="003B00EC"/>
    <w:rsid w:val="003B016B"/>
    <w:rsid w:val="003B06BE"/>
    <w:rsid w:val="003B1841"/>
    <w:rsid w:val="003B32A0"/>
    <w:rsid w:val="003B343A"/>
    <w:rsid w:val="003B600B"/>
    <w:rsid w:val="003B72A3"/>
    <w:rsid w:val="003C2C6C"/>
    <w:rsid w:val="003C2FD0"/>
    <w:rsid w:val="003C4A62"/>
    <w:rsid w:val="003C4CEB"/>
    <w:rsid w:val="003C51FE"/>
    <w:rsid w:val="003C64E4"/>
    <w:rsid w:val="003C7EAF"/>
    <w:rsid w:val="003D26D0"/>
    <w:rsid w:val="003D5ED1"/>
    <w:rsid w:val="003D63E6"/>
    <w:rsid w:val="003E1094"/>
    <w:rsid w:val="003E1B2D"/>
    <w:rsid w:val="003E2F07"/>
    <w:rsid w:val="003E31AA"/>
    <w:rsid w:val="003E3D00"/>
    <w:rsid w:val="003F4B74"/>
    <w:rsid w:val="00400144"/>
    <w:rsid w:val="00400D54"/>
    <w:rsid w:val="0040151D"/>
    <w:rsid w:val="004043E5"/>
    <w:rsid w:val="00404A76"/>
    <w:rsid w:val="00404C4F"/>
    <w:rsid w:val="00406C36"/>
    <w:rsid w:val="00407912"/>
    <w:rsid w:val="00410860"/>
    <w:rsid w:val="00411594"/>
    <w:rsid w:val="004134C2"/>
    <w:rsid w:val="00413AD2"/>
    <w:rsid w:val="00416AC9"/>
    <w:rsid w:val="00416CB0"/>
    <w:rsid w:val="0042292D"/>
    <w:rsid w:val="00422B14"/>
    <w:rsid w:val="00424562"/>
    <w:rsid w:val="0042456A"/>
    <w:rsid w:val="00424897"/>
    <w:rsid w:val="004259CB"/>
    <w:rsid w:val="00426CB5"/>
    <w:rsid w:val="0042700C"/>
    <w:rsid w:val="00430DF1"/>
    <w:rsid w:val="00434DA3"/>
    <w:rsid w:val="004365C7"/>
    <w:rsid w:val="004369A7"/>
    <w:rsid w:val="0043725F"/>
    <w:rsid w:val="00440E4C"/>
    <w:rsid w:val="00441309"/>
    <w:rsid w:val="00441A1F"/>
    <w:rsid w:val="00441C87"/>
    <w:rsid w:val="004421A0"/>
    <w:rsid w:val="0044275F"/>
    <w:rsid w:val="00444B08"/>
    <w:rsid w:val="00444C05"/>
    <w:rsid w:val="00444E95"/>
    <w:rsid w:val="004451F2"/>
    <w:rsid w:val="00447A83"/>
    <w:rsid w:val="00450AE7"/>
    <w:rsid w:val="00452527"/>
    <w:rsid w:val="00453F94"/>
    <w:rsid w:val="0045405E"/>
    <w:rsid w:val="0045524D"/>
    <w:rsid w:val="00455720"/>
    <w:rsid w:val="00455EFB"/>
    <w:rsid w:val="00455FA5"/>
    <w:rsid w:val="00456516"/>
    <w:rsid w:val="00461E0D"/>
    <w:rsid w:val="00462328"/>
    <w:rsid w:val="00462D9E"/>
    <w:rsid w:val="00464878"/>
    <w:rsid w:val="00466864"/>
    <w:rsid w:val="00466F57"/>
    <w:rsid w:val="00467C9D"/>
    <w:rsid w:val="00470261"/>
    <w:rsid w:val="004711A9"/>
    <w:rsid w:val="00471ABA"/>
    <w:rsid w:val="00477510"/>
    <w:rsid w:val="00480985"/>
    <w:rsid w:val="00480CC1"/>
    <w:rsid w:val="00480FF7"/>
    <w:rsid w:val="004811BA"/>
    <w:rsid w:val="0048253E"/>
    <w:rsid w:val="00482F37"/>
    <w:rsid w:val="00483507"/>
    <w:rsid w:val="00485D45"/>
    <w:rsid w:val="00486239"/>
    <w:rsid w:val="00486A6C"/>
    <w:rsid w:val="00487444"/>
    <w:rsid w:val="00490E3D"/>
    <w:rsid w:val="004917FC"/>
    <w:rsid w:val="004922CC"/>
    <w:rsid w:val="004940D3"/>
    <w:rsid w:val="004960D3"/>
    <w:rsid w:val="004960F3"/>
    <w:rsid w:val="00497FEC"/>
    <w:rsid w:val="004A0C4A"/>
    <w:rsid w:val="004A0D93"/>
    <w:rsid w:val="004A12AC"/>
    <w:rsid w:val="004A2354"/>
    <w:rsid w:val="004A5AB0"/>
    <w:rsid w:val="004B0D40"/>
    <w:rsid w:val="004B1194"/>
    <w:rsid w:val="004B1599"/>
    <w:rsid w:val="004B3136"/>
    <w:rsid w:val="004B5526"/>
    <w:rsid w:val="004C036F"/>
    <w:rsid w:val="004C1BF8"/>
    <w:rsid w:val="004C2000"/>
    <w:rsid w:val="004C4C0A"/>
    <w:rsid w:val="004C4C12"/>
    <w:rsid w:val="004C4E6C"/>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355"/>
    <w:rsid w:val="004F45E5"/>
    <w:rsid w:val="004F483B"/>
    <w:rsid w:val="004F5319"/>
    <w:rsid w:val="004F58A4"/>
    <w:rsid w:val="004F75E3"/>
    <w:rsid w:val="00500B33"/>
    <w:rsid w:val="0050192C"/>
    <w:rsid w:val="00502068"/>
    <w:rsid w:val="005023E9"/>
    <w:rsid w:val="005030D1"/>
    <w:rsid w:val="00503239"/>
    <w:rsid w:val="005048A9"/>
    <w:rsid w:val="00504CD2"/>
    <w:rsid w:val="005058C6"/>
    <w:rsid w:val="00506FB3"/>
    <w:rsid w:val="005107A4"/>
    <w:rsid w:val="00512B61"/>
    <w:rsid w:val="00512E3B"/>
    <w:rsid w:val="00513143"/>
    <w:rsid w:val="005131E7"/>
    <w:rsid w:val="00517C1B"/>
    <w:rsid w:val="00521905"/>
    <w:rsid w:val="00521A8A"/>
    <w:rsid w:val="0052537A"/>
    <w:rsid w:val="005261C6"/>
    <w:rsid w:val="00526A8B"/>
    <w:rsid w:val="005306F5"/>
    <w:rsid w:val="00530EFC"/>
    <w:rsid w:val="0053145D"/>
    <w:rsid w:val="0053265E"/>
    <w:rsid w:val="00534837"/>
    <w:rsid w:val="00534ED6"/>
    <w:rsid w:val="005356DD"/>
    <w:rsid w:val="0054383E"/>
    <w:rsid w:val="00544067"/>
    <w:rsid w:val="00544689"/>
    <w:rsid w:val="005448AE"/>
    <w:rsid w:val="00544EBF"/>
    <w:rsid w:val="0054752F"/>
    <w:rsid w:val="005477FF"/>
    <w:rsid w:val="005514EA"/>
    <w:rsid w:val="00551E13"/>
    <w:rsid w:val="0055265D"/>
    <w:rsid w:val="00555FE5"/>
    <w:rsid w:val="00557F13"/>
    <w:rsid w:val="0056057A"/>
    <w:rsid w:val="005634A0"/>
    <w:rsid w:val="00564A34"/>
    <w:rsid w:val="00564BAA"/>
    <w:rsid w:val="005669ED"/>
    <w:rsid w:val="00566CE6"/>
    <w:rsid w:val="005715BF"/>
    <w:rsid w:val="00571676"/>
    <w:rsid w:val="0057386A"/>
    <w:rsid w:val="005745C2"/>
    <w:rsid w:val="00575575"/>
    <w:rsid w:val="005756EF"/>
    <w:rsid w:val="00580472"/>
    <w:rsid w:val="00583DB2"/>
    <w:rsid w:val="00583FFD"/>
    <w:rsid w:val="0058644F"/>
    <w:rsid w:val="00586B5E"/>
    <w:rsid w:val="0058793F"/>
    <w:rsid w:val="00587E86"/>
    <w:rsid w:val="005905CC"/>
    <w:rsid w:val="0059345F"/>
    <w:rsid w:val="005942B5"/>
    <w:rsid w:val="005964FC"/>
    <w:rsid w:val="00596640"/>
    <w:rsid w:val="005A0CDE"/>
    <w:rsid w:val="005A1A2E"/>
    <w:rsid w:val="005A2814"/>
    <w:rsid w:val="005A2F58"/>
    <w:rsid w:val="005A52CE"/>
    <w:rsid w:val="005A5694"/>
    <w:rsid w:val="005A60A3"/>
    <w:rsid w:val="005B1513"/>
    <w:rsid w:val="005B1F01"/>
    <w:rsid w:val="005B3D95"/>
    <w:rsid w:val="005B45B8"/>
    <w:rsid w:val="005B6567"/>
    <w:rsid w:val="005C1011"/>
    <w:rsid w:val="005C1A4B"/>
    <w:rsid w:val="005C2C22"/>
    <w:rsid w:val="005C3351"/>
    <w:rsid w:val="005C46BB"/>
    <w:rsid w:val="005C6C9D"/>
    <w:rsid w:val="005D0EC6"/>
    <w:rsid w:val="005D3EBA"/>
    <w:rsid w:val="005D3F7B"/>
    <w:rsid w:val="005D3F83"/>
    <w:rsid w:val="005D5021"/>
    <w:rsid w:val="005D6B6D"/>
    <w:rsid w:val="005E0304"/>
    <w:rsid w:val="005E1F5B"/>
    <w:rsid w:val="005E2522"/>
    <w:rsid w:val="005E34A7"/>
    <w:rsid w:val="005E3ECC"/>
    <w:rsid w:val="005E6FB7"/>
    <w:rsid w:val="005F0064"/>
    <w:rsid w:val="005F2F17"/>
    <w:rsid w:val="005F30D3"/>
    <w:rsid w:val="005F379A"/>
    <w:rsid w:val="005F4287"/>
    <w:rsid w:val="005F469C"/>
    <w:rsid w:val="005F7FD5"/>
    <w:rsid w:val="00600FE7"/>
    <w:rsid w:val="006016B4"/>
    <w:rsid w:val="006019D1"/>
    <w:rsid w:val="00605524"/>
    <w:rsid w:val="00605B31"/>
    <w:rsid w:val="00605C5D"/>
    <w:rsid w:val="006065FB"/>
    <w:rsid w:val="00607DDC"/>
    <w:rsid w:val="00611A33"/>
    <w:rsid w:val="00612869"/>
    <w:rsid w:val="006146BA"/>
    <w:rsid w:val="006172ED"/>
    <w:rsid w:val="00620063"/>
    <w:rsid w:val="00620D75"/>
    <w:rsid w:val="00621F2C"/>
    <w:rsid w:val="00624760"/>
    <w:rsid w:val="00624F2C"/>
    <w:rsid w:val="00626BC0"/>
    <w:rsid w:val="0063051C"/>
    <w:rsid w:val="00631736"/>
    <w:rsid w:val="006328AE"/>
    <w:rsid w:val="0064020E"/>
    <w:rsid w:val="0064076F"/>
    <w:rsid w:val="0064087A"/>
    <w:rsid w:val="00642A61"/>
    <w:rsid w:val="006451BF"/>
    <w:rsid w:val="006453CC"/>
    <w:rsid w:val="006468C6"/>
    <w:rsid w:val="00646E40"/>
    <w:rsid w:val="00647424"/>
    <w:rsid w:val="006476D3"/>
    <w:rsid w:val="00652FE7"/>
    <w:rsid w:val="0065431E"/>
    <w:rsid w:val="0065499A"/>
    <w:rsid w:val="00655124"/>
    <w:rsid w:val="00657909"/>
    <w:rsid w:val="00657E91"/>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1FD"/>
    <w:rsid w:val="006877C1"/>
    <w:rsid w:val="006904D3"/>
    <w:rsid w:val="0069132D"/>
    <w:rsid w:val="006929EA"/>
    <w:rsid w:val="00692BC9"/>
    <w:rsid w:val="0069501F"/>
    <w:rsid w:val="006961A8"/>
    <w:rsid w:val="00697C87"/>
    <w:rsid w:val="00697D22"/>
    <w:rsid w:val="006A1579"/>
    <w:rsid w:val="006A2FDF"/>
    <w:rsid w:val="006A4A8A"/>
    <w:rsid w:val="006A4B96"/>
    <w:rsid w:val="006A5309"/>
    <w:rsid w:val="006A5968"/>
    <w:rsid w:val="006A68DA"/>
    <w:rsid w:val="006A6C9E"/>
    <w:rsid w:val="006B3727"/>
    <w:rsid w:val="006B4BAA"/>
    <w:rsid w:val="006B5EEE"/>
    <w:rsid w:val="006B7BA8"/>
    <w:rsid w:val="006B7E76"/>
    <w:rsid w:val="006C19CF"/>
    <w:rsid w:val="006C3458"/>
    <w:rsid w:val="006C3815"/>
    <w:rsid w:val="006C4170"/>
    <w:rsid w:val="006C4A05"/>
    <w:rsid w:val="006C5ACD"/>
    <w:rsid w:val="006C7218"/>
    <w:rsid w:val="006C75F7"/>
    <w:rsid w:val="006C7E9B"/>
    <w:rsid w:val="006D0BDE"/>
    <w:rsid w:val="006D0F3C"/>
    <w:rsid w:val="006D160E"/>
    <w:rsid w:val="006D1E76"/>
    <w:rsid w:val="006D3D10"/>
    <w:rsid w:val="006D4093"/>
    <w:rsid w:val="006D4430"/>
    <w:rsid w:val="006D586E"/>
    <w:rsid w:val="006D6C20"/>
    <w:rsid w:val="006D7C06"/>
    <w:rsid w:val="006D7D05"/>
    <w:rsid w:val="006E011D"/>
    <w:rsid w:val="006E1A9B"/>
    <w:rsid w:val="006E2E41"/>
    <w:rsid w:val="006E535B"/>
    <w:rsid w:val="006E5D67"/>
    <w:rsid w:val="006E6ED0"/>
    <w:rsid w:val="006E7124"/>
    <w:rsid w:val="006E7FC7"/>
    <w:rsid w:val="006F2488"/>
    <w:rsid w:val="006F3519"/>
    <w:rsid w:val="006F356A"/>
    <w:rsid w:val="006F5923"/>
    <w:rsid w:val="006F6174"/>
    <w:rsid w:val="006F7A9E"/>
    <w:rsid w:val="006F7D4D"/>
    <w:rsid w:val="0070045F"/>
    <w:rsid w:val="007048B2"/>
    <w:rsid w:val="00706DCA"/>
    <w:rsid w:val="00707A7B"/>
    <w:rsid w:val="007123F2"/>
    <w:rsid w:val="0071321B"/>
    <w:rsid w:val="007143E3"/>
    <w:rsid w:val="0071446F"/>
    <w:rsid w:val="007165DC"/>
    <w:rsid w:val="007166B2"/>
    <w:rsid w:val="00717330"/>
    <w:rsid w:val="00720D3D"/>
    <w:rsid w:val="00720E8F"/>
    <w:rsid w:val="007210F9"/>
    <w:rsid w:val="00724416"/>
    <w:rsid w:val="0072773A"/>
    <w:rsid w:val="00727C00"/>
    <w:rsid w:val="007305B6"/>
    <w:rsid w:val="007319DA"/>
    <w:rsid w:val="00737C42"/>
    <w:rsid w:val="00741F90"/>
    <w:rsid w:val="007425D7"/>
    <w:rsid w:val="00742D00"/>
    <w:rsid w:val="00743AB2"/>
    <w:rsid w:val="00746AF7"/>
    <w:rsid w:val="00746FAD"/>
    <w:rsid w:val="0075016C"/>
    <w:rsid w:val="00752FA6"/>
    <w:rsid w:val="007530BD"/>
    <w:rsid w:val="00754168"/>
    <w:rsid w:val="00755570"/>
    <w:rsid w:val="00755F45"/>
    <w:rsid w:val="00757357"/>
    <w:rsid w:val="00760BF7"/>
    <w:rsid w:val="00762022"/>
    <w:rsid w:val="007630BD"/>
    <w:rsid w:val="0076459F"/>
    <w:rsid w:val="007648E8"/>
    <w:rsid w:val="00764E0B"/>
    <w:rsid w:val="00764FD2"/>
    <w:rsid w:val="00765862"/>
    <w:rsid w:val="0077274B"/>
    <w:rsid w:val="00775691"/>
    <w:rsid w:val="00775E75"/>
    <w:rsid w:val="00780770"/>
    <w:rsid w:val="00783025"/>
    <w:rsid w:val="00784BFC"/>
    <w:rsid w:val="0078739B"/>
    <w:rsid w:val="00793D9D"/>
    <w:rsid w:val="00794CF9"/>
    <w:rsid w:val="00794DBB"/>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1185"/>
    <w:rsid w:val="007D37FB"/>
    <w:rsid w:val="007D3AB0"/>
    <w:rsid w:val="007D3C57"/>
    <w:rsid w:val="007D6324"/>
    <w:rsid w:val="007D68C9"/>
    <w:rsid w:val="007D6F94"/>
    <w:rsid w:val="007D7B84"/>
    <w:rsid w:val="007E1F76"/>
    <w:rsid w:val="007E3453"/>
    <w:rsid w:val="007E3857"/>
    <w:rsid w:val="007E4180"/>
    <w:rsid w:val="007E4A3F"/>
    <w:rsid w:val="007E6E94"/>
    <w:rsid w:val="007E775F"/>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76A"/>
    <w:rsid w:val="00807C0F"/>
    <w:rsid w:val="00807F91"/>
    <w:rsid w:val="0081012C"/>
    <w:rsid w:val="0081039A"/>
    <w:rsid w:val="008103FD"/>
    <w:rsid w:val="00810570"/>
    <w:rsid w:val="00810605"/>
    <w:rsid w:val="00810BBC"/>
    <w:rsid w:val="0081517F"/>
    <w:rsid w:val="0081549F"/>
    <w:rsid w:val="008176FD"/>
    <w:rsid w:val="00820221"/>
    <w:rsid w:val="00820966"/>
    <w:rsid w:val="008216F7"/>
    <w:rsid w:val="00822153"/>
    <w:rsid w:val="00822FBD"/>
    <w:rsid w:val="00823AB7"/>
    <w:rsid w:val="00827113"/>
    <w:rsid w:val="00827169"/>
    <w:rsid w:val="00827DAF"/>
    <w:rsid w:val="008306A2"/>
    <w:rsid w:val="00830FAF"/>
    <w:rsid w:val="00831F70"/>
    <w:rsid w:val="00833134"/>
    <w:rsid w:val="00833713"/>
    <w:rsid w:val="00833D9B"/>
    <w:rsid w:val="008340FE"/>
    <w:rsid w:val="00835A40"/>
    <w:rsid w:val="00835AA0"/>
    <w:rsid w:val="00835FBF"/>
    <w:rsid w:val="00836DA8"/>
    <w:rsid w:val="00836ECE"/>
    <w:rsid w:val="008414B9"/>
    <w:rsid w:val="0084380A"/>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93A"/>
    <w:rsid w:val="00876C63"/>
    <w:rsid w:val="00876D94"/>
    <w:rsid w:val="0089069E"/>
    <w:rsid w:val="008912D3"/>
    <w:rsid w:val="008914CB"/>
    <w:rsid w:val="008937B1"/>
    <w:rsid w:val="00894A43"/>
    <w:rsid w:val="00895477"/>
    <w:rsid w:val="008A15AE"/>
    <w:rsid w:val="008A1DBB"/>
    <w:rsid w:val="008A2A18"/>
    <w:rsid w:val="008A4832"/>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5A6"/>
    <w:rsid w:val="008D4CB3"/>
    <w:rsid w:val="008D5CDB"/>
    <w:rsid w:val="008D643C"/>
    <w:rsid w:val="008D6554"/>
    <w:rsid w:val="008D7E71"/>
    <w:rsid w:val="008E0B20"/>
    <w:rsid w:val="008E584F"/>
    <w:rsid w:val="008E5E8B"/>
    <w:rsid w:val="008E6072"/>
    <w:rsid w:val="008E6640"/>
    <w:rsid w:val="008F2669"/>
    <w:rsid w:val="008F2710"/>
    <w:rsid w:val="008F432E"/>
    <w:rsid w:val="008F50BB"/>
    <w:rsid w:val="008F784B"/>
    <w:rsid w:val="008F7A01"/>
    <w:rsid w:val="00900322"/>
    <w:rsid w:val="00900AF7"/>
    <w:rsid w:val="00901909"/>
    <w:rsid w:val="00901ACE"/>
    <w:rsid w:val="00901B37"/>
    <w:rsid w:val="009043D1"/>
    <w:rsid w:val="0090500B"/>
    <w:rsid w:val="0090746E"/>
    <w:rsid w:val="0090771A"/>
    <w:rsid w:val="00907D44"/>
    <w:rsid w:val="009106C1"/>
    <w:rsid w:val="00910BA4"/>
    <w:rsid w:val="00912C9D"/>
    <w:rsid w:val="00913112"/>
    <w:rsid w:val="00915499"/>
    <w:rsid w:val="00916595"/>
    <w:rsid w:val="009169DE"/>
    <w:rsid w:val="00922E94"/>
    <w:rsid w:val="00924CB1"/>
    <w:rsid w:val="00925905"/>
    <w:rsid w:val="00925FC9"/>
    <w:rsid w:val="00926039"/>
    <w:rsid w:val="009275C5"/>
    <w:rsid w:val="00927772"/>
    <w:rsid w:val="00931E88"/>
    <w:rsid w:val="00933939"/>
    <w:rsid w:val="00934162"/>
    <w:rsid w:val="009342D4"/>
    <w:rsid w:val="00936818"/>
    <w:rsid w:val="009369EF"/>
    <w:rsid w:val="00936A52"/>
    <w:rsid w:val="00940B15"/>
    <w:rsid w:val="0094391C"/>
    <w:rsid w:val="00945661"/>
    <w:rsid w:val="00946996"/>
    <w:rsid w:val="0095322B"/>
    <w:rsid w:val="0095360A"/>
    <w:rsid w:val="009559EB"/>
    <w:rsid w:val="009604D5"/>
    <w:rsid w:val="009626CA"/>
    <w:rsid w:val="00962D06"/>
    <w:rsid w:val="00963402"/>
    <w:rsid w:val="00964835"/>
    <w:rsid w:val="00966868"/>
    <w:rsid w:val="00966917"/>
    <w:rsid w:val="00967387"/>
    <w:rsid w:val="009709AB"/>
    <w:rsid w:val="00971FD5"/>
    <w:rsid w:val="0097223A"/>
    <w:rsid w:val="009729E3"/>
    <w:rsid w:val="00974167"/>
    <w:rsid w:val="00974BED"/>
    <w:rsid w:val="00976143"/>
    <w:rsid w:val="009775A7"/>
    <w:rsid w:val="00980073"/>
    <w:rsid w:val="00980784"/>
    <w:rsid w:val="0098167D"/>
    <w:rsid w:val="00982041"/>
    <w:rsid w:val="00983099"/>
    <w:rsid w:val="009832E7"/>
    <w:rsid w:val="009836DB"/>
    <w:rsid w:val="009839EA"/>
    <w:rsid w:val="00984A57"/>
    <w:rsid w:val="00984EF3"/>
    <w:rsid w:val="00986062"/>
    <w:rsid w:val="009911A1"/>
    <w:rsid w:val="0099175F"/>
    <w:rsid w:val="00992322"/>
    <w:rsid w:val="00992A3A"/>
    <w:rsid w:val="00993261"/>
    <w:rsid w:val="00993578"/>
    <w:rsid w:val="00993EAC"/>
    <w:rsid w:val="00997E03"/>
    <w:rsid w:val="009A0770"/>
    <w:rsid w:val="009A0BA3"/>
    <w:rsid w:val="009A1A8B"/>
    <w:rsid w:val="009A2A56"/>
    <w:rsid w:val="009A418D"/>
    <w:rsid w:val="009A520C"/>
    <w:rsid w:val="009A75FE"/>
    <w:rsid w:val="009B137E"/>
    <w:rsid w:val="009B2144"/>
    <w:rsid w:val="009B2D08"/>
    <w:rsid w:val="009B6315"/>
    <w:rsid w:val="009B6C73"/>
    <w:rsid w:val="009C4645"/>
    <w:rsid w:val="009C59F9"/>
    <w:rsid w:val="009C63B1"/>
    <w:rsid w:val="009C6C6F"/>
    <w:rsid w:val="009D0173"/>
    <w:rsid w:val="009D0895"/>
    <w:rsid w:val="009D3283"/>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440F"/>
    <w:rsid w:val="009E5FD0"/>
    <w:rsid w:val="009E60EA"/>
    <w:rsid w:val="009E6590"/>
    <w:rsid w:val="009E7F8B"/>
    <w:rsid w:val="009F01CF"/>
    <w:rsid w:val="009F06C5"/>
    <w:rsid w:val="009F0C46"/>
    <w:rsid w:val="009F2505"/>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47E4F"/>
    <w:rsid w:val="00A513D2"/>
    <w:rsid w:val="00A51406"/>
    <w:rsid w:val="00A530A2"/>
    <w:rsid w:val="00A53E78"/>
    <w:rsid w:val="00A54A51"/>
    <w:rsid w:val="00A56887"/>
    <w:rsid w:val="00A60B29"/>
    <w:rsid w:val="00A60B80"/>
    <w:rsid w:val="00A61197"/>
    <w:rsid w:val="00A63267"/>
    <w:rsid w:val="00A635F0"/>
    <w:rsid w:val="00A64046"/>
    <w:rsid w:val="00A64535"/>
    <w:rsid w:val="00A71411"/>
    <w:rsid w:val="00A71C30"/>
    <w:rsid w:val="00A71EF1"/>
    <w:rsid w:val="00A72235"/>
    <w:rsid w:val="00A72A25"/>
    <w:rsid w:val="00A740D7"/>
    <w:rsid w:val="00A75555"/>
    <w:rsid w:val="00A759CD"/>
    <w:rsid w:val="00A763C4"/>
    <w:rsid w:val="00A7660D"/>
    <w:rsid w:val="00A776D2"/>
    <w:rsid w:val="00A836BF"/>
    <w:rsid w:val="00A83C4D"/>
    <w:rsid w:val="00A83D4C"/>
    <w:rsid w:val="00A84317"/>
    <w:rsid w:val="00A85490"/>
    <w:rsid w:val="00A85845"/>
    <w:rsid w:val="00A86707"/>
    <w:rsid w:val="00A86794"/>
    <w:rsid w:val="00A914E9"/>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3C76"/>
    <w:rsid w:val="00AA3E6B"/>
    <w:rsid w:val="00AA3FDF"/>
    <w:rsid w:val="00AA5D0C"/>
    <w:rsid w:val="00AA6B2C"/>
    <w:rsid w:val="00AB15E6"/>
    <w:rsid w:val="00AB1EE0"/>
    <w:rsid w:val="00AB2014"/>
    <w:rsid w:val="00AB234B"/>
    <w:rsid w:val="00AB23FC"/>
    <w:rsid w:val="00AB2493"/>
    <w:rsid w:val="00AB34BD"/>
    <w:rsid w:val="00AB3C03"/>
    <w:rsid w:val="00AB50AF"/>
    <w:rsid w:val="00AB52EA"/>
    <w:rsid w:val="00AB5EF6"/>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0F5"/>
    <w:rsid w:val="00AE68F6"/>
    <w:rsid w:val="00AF17F6"/>
    <w:rsid w:val="00AF2D24"/>
    <w:rsid w:val="00AF413F"/>
    <w:rsid w:val="00AF420A"/>
    <w:rsid w:val="00AF4465"/>
    <w:rsid w:val="00AF4901"/>
    <w:rsid w:val="00AF670F"/>
    <w:rsid w:val="00AF6E5B"/>
    <w:rsid w:val="00AF75AC"/>
    <w:rsid w:val="00AF766A"/>
    <w:rsid w:val="00B014BB"/>
    <w:rsid w:val="00B02826"/>
    <w:rsid w:val="00B045EC"/>
    <w:rsid w:val="00B058FF"/>
    <w:rsid w:val="00B07483"/>
    <w:rsid w:val="00B074D0"/>
    <w:rsid w:val="00B10CFD"/>
    <w:rsid w:val="00B158C3"/>
    <w:rsid w:val="00B22517"/>
    <w:rsid w:val="00B2293D"/>
    <w:rsid w:val="00B2353C"/>
    <w:rsid w:val="00B272BE"/>
    <w:rsid w:val="00B27737"/>
    <w:rsid w:val="00B27A14"/>
    <w:rsid w:val="00B32C84"/>
    <w:rsid w:val="00B33E5E"/>
    <w:rsid w:val="00B34D85"/>
    <w:rsid w:val="00B3567F"/>
    <w:rsid w:val="00B36270"/>
    <w:rsid w:val="00B3710C"/>
    <w:rsid w:val="00B37FE3"/>
    <w:rsid w:val="00B413CC"/>
    <w:rsid w:val="00B41521"/>
    <w:rsid w:val="00B415FE"/>
    <w:rsid w:val="00B42205"/>
    <w:rsid w:val="00B43502"/>
    <w:rsid w:val="00B445B9"/>
    <w:rsid w:val="00B44E97"/>
    <w:rsid w:val="00B46A08"/>
    <w:rsid w:val="00B46C4E"/>
    <w:rsid w:val="00B47DAA"/>
    <w:rsid w:val="00B504BE"/>
    <w:rsid w:val="00B506B0"/>
    <w:rsid w:val="00B52A04"/>
    <w:rsid w:val="00B53238"/>
    <w:rsid w:val="00B5343C"/>
    <w:rsid w:val="00B53EA7"/>
    <w:rsid w:val="00B55E5A"/>
    <w:rsid w:val="00B561E7"/>
    <w:rsid w:val="00B568BF"/>
    <w:rsid w:val="00B573CF"/>
    <w:rsid w:val="00B60383"/>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0C2A"/>
    <w:rsid w:val="00B916FF"/>
    <w:rsid w:val="00B9217D"/>
    <w:rsid w:val="00B92345"/>
    <w:rsid w:val="00B92C4F"/>
    <w:rsid w:val="00B95196"/>
    <w:rsid w:val="00B9530E"/>
    <w:rsid w:val="00B95B12"/>
    <w:rsid w:val="00BA02A3"/>
    <w:rsid w:val="00BA14BA"/>
    <w:rsid w:val="00BA17A9"/>
    <w:rsid w:val="00BA30F2"/>
    <w:rsid w:val="00BA3736"/>
    <w:rsid w:val="00BA4EAC"/>
    <w:rsid w:val="00BA617C"/>
    <w:rsid w:val="00BA68B2"/>
    <w:rsid w:val="00BA7C51"/>
    <w:rsid w:val="00BA7E1E"/>
    <w:rsid w:val="00BA7E21"/>
    <w:rsid w:val="00BB18C4"/>
    <w:rsid w:val="00BB4BBA"/>
    <w:rsid w:val="00BB505E"/>
    <w:rsid w:val="00BB7324"/>
    <w:rsid w:val="00BB78A6"/>
    <w:rsid w:val="00BC0543"/>
    <w:rsid w:val="00BC11E8"/>
    <w:rsid w:val="00BC15FB"/>
    <w:rsid w:val="00BC16FF"/>
    <w:rsid w:val="00BC1721"/>
    <w:rsid w:val="00BC22CF"/>
    <w:rsid w:val="00BC3D6F"/>
    <w:rsid w:val="00BC4C6A"/>
    <w:rsid w:val="00BC57F5"/>
    <w:rsid w:val="00BC782B"/>
    <w:rsid w:val="00BD1D4D"/>
    <w:rsid w:val="00BD498B"/>
    <w:rsid w:val="00BD604B"/>
    <w:rsid w:val="00BD65CD"/>
    <w:rsid w:val="00BD6A7C"/>
    <w:rsid w:val="00BD768A"/>
    <w:rsid w:val="00BD7AFF"/>
    <w:rsid w:val="00BD7CA7"/>
    <w:rsid w:val="00BE13B9"/>
    <w:rsid w:val="00BE4FCF"/>
    <w:rsid w:val="00BE5827"/>
    <w:rsid w:val="00BE5DA9"/>
    <w:rsid w:val="00BE69FF"/>
    <w:rsid w:val="00BF0872"/>
    <w:rsid w:val="00BF1745"/>
    <w:rsid w:val="00BF19FA"/>
    <w:rsid w:val="00BF4C3E"/>
    <w:rsid w:val="00BF757A"/>
    <w:rsid w:val="00C017FF"/>
    <w:rsid w:val="00C01FBD"/>
    <w:rsid w:val="00C02090"/>
    <w:rsid w:val="00C022E9"/>
    <w:rsid w:val="00C03970"/>
    <w:rsid w:val="00C04AA0"/>
    <w:rsid w:val="00C060B9"/>
    <w:rsid w:val="00C06806"/>
    <w:rsid w:val="00C0746C"/>
    <w:rsid w:val="00C07ED9"/>
    <w:rsid w:val="00C11341"/>
    <w:rsid w:val="00C15A5E"/>
    <w:rsid w:val="00C17352"/>
    <w:rsid w:val="00C17507"/>
    <w:rsid w:val="00C17BFA"/>
    <w:rsid w:val="00C22767"/>
    <w:rsid w:val="00C22C2F"/>
    <w:rsid w:val="00C25992"/>
    <w:rsid w:val="00C267E3"/>
    <w:rsid w:val="00C27B64"/>
    <w:rsid w:val="00C30167"/>
    <w:rsid w:val="00C308DC"/>
    <w:rsid w:val="00C31AC5"/>
    <w:rsid w:val="00C31CE3"/>
    <w:rsid w:val="00C3206E"/>
    <w:rsid w:val="00C365F1"/>
    <w:rsid w:val="00C36EA2"/>
    <w:rsid w:val="00C37F27"/>
    <w:rsid w:val="00C40CC6"/>
    <w:rsid w:val="00C41E59"/>
    <w:rsid w:val="00C449B4"/>
    <w:rsid w:val="00C4510D"/>
    <w:rsid w:val="00C471D2"/>
    <w:rsid w:val="00C4754D"/>
    <w:rsid w:val="00C50A1C"/>
    <w:rsid w:val="00C514CD"/>
    <w:rsid w:val="00C5311E"/>
    <w:rsid w:val="00C5343D"/>
    <w:rsid w:val="00C54A52"/>
    <w:rsid w:val="00C5641F"/>
    <w:rsid w:val="00C60A5E"/>
    <w:rsid w:val="00C61028"/>
    <w:rsid w:val="00C61954"/>
    <w:rsid w:val="00C62B36"/>
    <w:rsid w:val="00C63219"/>
    <w:rsid w:val="00C632D8"/>
    <w:rsid w:val="00C64182"/>
    <w:rsid w:val="00C66EA0"/>
    <w:rsid w:val="00C70604"/>
    <w:rsid w:val="00C7392F"/>
    <w:rsid w:val="00C74920"/>
    <w:rsid w:val="00C7610F"/>
    <w:rsid w:val="00C773F9"/>
    <w:rsid w:val="00C775A1"/>
    <w:rsid w:val="00C77B0A"/>
    <w:rsid w:val="00C8091E"/>
    <w:rsid w:val="00C80EE0"/>
    <w:rsid w:val="00C8162B"/>
    <w:rsid w:val="00C816BA"/>
    <w:rsid w:val="00C81CA2"/>
    <w:rsid w:val="00C8291D"/>
    <w:rsid w:val="00C833B1"/>
    <w:rsid w:val="00C913EF"/>
    <w:rsid w:val="00C91C9D"/>
    <w:rsid w:val="00C939B9"/>
    <w:rsid w:val="00C93A2E"/>
    <w:rsid w:val="00C95F0B"/>
    <w:rsid w:val="00C96435"/>
    <w:rsid w:val="00C96BF3"/>
    <w:rsid w:val="00C97AFD"/>
    <w:rsid w:val="00CA17E1"/>
    <w:rsid w:val="00CA1E0F"/>
    <w:rsid w:val="00CA2484"/>
    <w:rsid w:val="00CA2910"/>
    <w:rsid w:val="00CA296D"/>
    <w:rsid w:val="00CA32BF"/>
    <w:rsid w:val="00CA32DC"/>
    <w:rsid w:val="00CA5D88"/>
    <w:rsid w:val="00CA5EA6"/>
    <w:rsid w:val="00CA6433"/>
    <w:rsid w:val="00CA647F"/>
    <w:rsid w:val="00CA69D7"/>
    <w:rsid w:val="00CA70D9"/>
    <w:rsid w:val="00CA79F7"/>
    <w:rsid w:val="00CB00DA"/>
    <w:rsid w:val="00CB32A6"/>
    <w:rsid w:val="00CB5291"/>
    <w:rsid w:val="00CB644D"/>
    <w:rsid w:val="00CB7517"/>
    <w:rsid w:val="00CC016D"/>
    <w:rsid w:val="00CC01F2"/>
    <w:rsid w:val="00CC07FA"/>
    <w:rsid w:val="00CC0B97"/>
    <w:rsid w:val="00CC174B"/>
    <w:rsid w:val="00CC2B30"/>
    <w:rsid w:val="00CC3532"/>
    <w:rsid w:val="00CC5AC0"/>
    <w:rsid w:val="00CC6554"/>
    <w:rsid w:val="00CD00BC"/>
    <w:rsid w:val="00CD1954"/>
    <w:rsid w:val="00CD1F12"/>
    <w:rsid w:val="00CD34FF"/>
    <w:rsid w:val="00CD36CA"/>
    <w:rsid w:val="00CD37B5"/>
    <w:rsid w:val="00CD3B65"/>
    <w:rsid w:val="00CD3CB1"/>
    <w:rsid w:val="00CD43FA"/>
    <w:rsid w:val="00CD608D"/>
    <w:rsid w:val="00CD7616"/>
    <w:rsid w:val="00CD795A"/>
    <w:rsid w:val="00CE11DD"/>
    <w:rsid w:val="00CE30E7"/>
    <w:rsid w:val="00CE3283"/>
    <w:rsid w:val="00CE35FD"/>
    <w:rsid w:val="00CE4D95"/>
    <w:rsid w:val="00CE629D"/>
    <w:rsid w:val="00CF07E6"/>
    <w:rsid w:val="00CF226E"/>
    <w:rsid w:val="00CF2562"/>
    <w:rsid w:val="00CF33B6"/>
    <w:rsid w:val="00CF406F"/>
    <w:rsid w:val="00CF5521"/>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787"/>
    <w:rsid w:val="00D17B1C"/>
    <w:rsid w:val="00D20593"/>
    <w:rsid w:val="00D22406"/>
    <w:rsid w:val="00D2384D"/>
    <w:rsid w:val="00D25869"/>
    <w:rsid w:val="00D25AC0"/>
    <w:rsid w:val="00D25C0A"/>
    <w:rsid w:val="00D25D86"/>
    <w:rsid w:val="00D263F1"/>
    <w:rsid w:val="00D26487"/>
    <w:rsid w:val="00D265C8"/>
    <w:rsid w:val="00D323C4"/>
    <w:rsid w:val="00D33F2B"/>
    <w:rsid w:val="00D340DB"/>
    <w:rsid w:val="00D34189"/>
    <w:rsid w:val="00D34CE8"/>
    <w:rsid w:val="00D34E19"/>
    <w:rsid w:val="00D3593A"/>
    <w:rsid w:val="00D36139"/>
    <w:rsid w:val="00D375D6"/>
    <w:rsid w:val="00D4001C"/>
    <w:rsid w:val="00D438F0"/>
    <w:rsid w:val="00D44372"/>
    <w:rsid w:val="00D443D4"/>
    <w:rsid w:val="00D4603C"/>
    <w:rsid w:val="00D5206B"/>
    <w:rsid w:val="00D52ADB"/>
    <w:rsid w:val="00D53161"/>
    <w:rsid w:val="00D5508F"/>
    <w:rsid w:val="00D55786"/>
    <w:rsid w:val="00D55EC2"/>
    <w:rsid w:val="00D55F02"/>
    <w:rsid w:val="00D60812"/>
    <w:rsid w:val="00D60A30"/>
    <w:rsid w:val="00D623DD"/>
    <w:rsid w:val="00D62D39"/>
    <w:rsid w:val="00D62FA0"/>
    <w:rsid w:val="00D632DB"/>
    <w:rsid w:val="00D63708"/>
    <w:rsid w:val="00D63B83"/>
    <w:rsid w:val="00D6481B"/>
    <w:rsid w:val="00D66900"/>
    <w:rsid w:val="00D67371"/>
    <w:rsid w:val="00D70935"/>
    <w:rsid w:val="00D724FE"/>
    <w:rsid w:val="00D759E5"/>
    <w:rsid w:val="00D77706"/>
    <w:rsid w:val="00D77A2F"/>
    <w:rsid w:val="00D80219"/>
    <w:rsid w:val="00D8128F"/>
    <w:rsid w:val="00D82717"/>
    <w:rsid w:val="00D82D31"/>
    <w:rsid w:val="00D82E17"/>
    <w:rsid w:val="00D83283"/>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22"/>
    <w:rsid w:val="00DA6E7B"/>
    <w:rsid w:val="00DA7022"/>
    <w:rsid w:val="00DB0AED"/>
    <w:rsid w:val="00DB10AB"/>
    <w:rsid w:val="00DB1F0A"/>
    <w:rsid w:val="00DB2B34"/>
    <w:rsid w:val="00DB3CCC"/>
    <w:rsid w:val="00DB53CB"/>
    <w:rsid w:val="00DB67F3"/>
    <w:rsid w:val="00DC11F9"/>
    <w:rsid w:val="00DC2867"/>
    <w:rsid w:val="00DC2BC4"/>
    <w:rsid w:val="00DC343A"/>
    <w:rsid w:val="00DD130F"/>
    <w:rsid w:val="00DD4131"/>
    <w:rsid w:val="00DD4387"/>
    <w:rsid w:val="00DD5B36"/>
    <w:rsid w:val="00DD7C42"/>
    <w:rsid w:val="00DE0C12"/>
    <w:rsid w:val="00DE295D"/>
    <w:rsid w:val="00DE2B95"/>
    <w:rsid w:val="00DE45E9"/>
    <w:rsid w:val="00DE51F9"/>
    <w:rsid w:val="00DE52FB"/>
    <w:rsid w:val="00DE56BC"/>
    <w:rsid w:val="00DE7F8F"/>
    <w:rsid w:val="00DF03B9"/>
    <w:rsid w:val="00DF0C4B"/>
    <w:rsid w:val="00DF0F34"/>
    <w:rsid w:val="00DF1657"/>
    <w:rsid w:val="00DF36FD"/>
    <w:rsid w:val="00DF38F5"/>
    <w:rsid w:val="00DF6462"/>
    <w:rsid w:val="00DF6D4A"/>
    <w:rsid w:val="00E00B6A"/>
    <w:rsid w:val="00E01C2C"/>
    <w:rsid w:val="00E020B4"/>
    <w:rsid w:val="00E023F7"/>
    <w:rsid w:val="00E028E3"/>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165C"/>
    <w:rsid w:val="00E3244D"/>
    <w:rsid w:val="00E32751"/>
    <w:rsid w:val="00E33895"/>
    <w:rsid w:val="00E3398B"/>
    <w:rsid w:val="00E33A3B"/>
    <w:rsid w:val="00E367DC"/>
    <w:rsid w:val="00E36D70"/>
    <w:rsid w:val="00E377C9"/>
    <w:rsid w:val="00E37B82"/>
    <w:rsid w:val="00E37D59"/>
    <w:rsid w:val="00E42E68"/>
    <w:rsid w:val="00E44A20"/>
    <w:rsid w:val="00E44C2A"/>
    <w:rsid w:val="00E453B2"/>
    <w:rsid w:val="00E46571"/>
    <w:rsid w:val="00E501E2"/>
    <w:rsid w:val="00E51651"/>
    <w:rsid w:val="00E550CC"/>
    <w:rsid w:val="00E55672"/>
    <w:rsid w:val="00E5616A"/>
    <w:rsid w:val="00E56FEA"/>
    <w:rsid w:val="00E60196"/>
    <w:rsid w:val="00E61F8D"/>
    <w:rsid w:val="00E63C2D"/>
    <w:rsid w:val="00E67590"/>
    <w:rsid w:val="00E67F1D"/>
    <w:rsid w:val="00E703B0"/>
    <w:rsid w:val="00E709FC"/>
    <w:rsid w:val="00E71ADD"/>
    <w:rsid w:val="00E73876"/>
    <w:rsid w:val="00E74575"/>
    <w:rsid w:val="00E74AD8"/>
    <w:rsid w:val="00E76CEE"/>
    <w:rsid w:val="00E77115"/>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5C4"/>
    <w:rsid w:val="00E95C4B"/>
    <w:rsid w:val="00E965EE"/>
    <w:rsid w:val="00E9683E"/>
    <w:rsid w:val="00E96ECC"/>
    <w:rsid w:val="00E9744A"/>
    <w:rsid w:val="00E97657"/>
    <w:rsid w:val="00EA2A51"/>
    <w:rsid w:val="00EA3F51"/>
    <w:rsid w:val="00EA536C"/>
    <w:rsid w:val="00EA7696"/>
    <w:rsid w:val="00EA7A63"/>
    <w:rsid w:val="00EB0052"/>
    <w:rsid w:val="00EB0FBB"/>
    <w:rsid w:val="00EB215C"/>
    <w:rsid w:val="00EB3768"/>
    <w:rsid w:val="00EB3A44"/>
    <w:rsid w:val="00EB5817"/>
    <w:rsid w:val="00EB5D26"/>
    <w:rsid w:val="00EB7522"/>
    <w:rsid w:val="00EB7D69"/>
    <w:rsid w:val="00EC223C"/>
    <w:rsid w:val="00EC2870"/>
    <w:rsid w:val="00EC2AC1"/>
    <w:rsid w:val="00EC4184"/>
    <w:rsid w:val="00EC7BA7"/>
    <w:rsid w:val="00ED0CB1"/>
    <w:rsid w:val="00ED230B"/>
    <w:rsid w:val="00ED3570"/>
    <w:rsid w:val="00ED368F"/>
    <w:rsid w:val="00ED3B71"/>
    <w:rsid w:val="00ED4A3F"/>
    <w:rsid w:val="00ED4FDE"/>
    <w:rsid w:val="00ED6D87"/>
    <w:rsid w:val="00EE1DB5"/>
    <w:rsid w:val="00EE3357"/>
    <w:rsid w:val="00EF00C9"/>
    <w:rsid w:val="00EF0C29"/>
    <w:rsid w:val="00EF30E2"/>
    <w:rsid w:val="00EF3119"/>
    <w:rsid w:val="00EF3282"/>
    <w:rsid w:val="00EF6C64"/>
    <w:rsid w:val="00F002AB"/>
    <w:rsid w:val="00F00F89"/>
    <w:rsid w:val="00F013B9"/>
    <w:rsid w:val="00F016BB"/>
    <w:rsid w:val="00F0237A"/>
    <w:rsid w:val="00F039CF"/>
    <w:rsid w:val="00F05335"/>
    <w:rsid w:val="00F0536E"/>
    <w:rsid w:val="00F05D39"/>
    <w:rsid w:val="00F06333"/>
    <w:rsid w:val="00F10E47"/>
    <w:rsid w:val="00F12F6E"/>
    <w:rsid w:val="00F13CBC"/>
    <w:rsid w:val="00F14855"/>
    <w:rsid w:val="00F21417"/>
    <w:rsid w:val="00F21E4B"/>
    <w:rsid w:val="00F22A72"/>
    <w:rsid w:val="00F231CE"/>
    <w:rsid w:val="00F2385F"/>
    <w:rsid w:val="00F247C8"/>
    <w:rsid w:val="00F25BF4"/>
    <w:rsid w:val="00F2635E"/>
    <w:rsid w:val="00F278B9"/>
    <w:rsid w:val="00F30AFD"/>
    <w:rsid w:val="00F318C5"/>
    <w:rsid w:val="00F3199A"/>
    <w:rsid w:val="00F319A5"/>
    <w:rsid w:val="00F33B1D"/>
    <w:rsid w:val="00F343E0"/>
    <w:rsid w:val="00F360B3"/>
    <w:rsid w:val="00F40A28"/>
    <w:rsid w:val="00F41232"/>
    <w:rsid w:val="00F41319"/>
    <w:rsid w:val="00F421E6"/>
    <w:rsid w:val="00F4303A"/>
    <w:rsid w:val="00F44BC3"/>
    <w:rsid w:val="00F475D0"/>
    <w:rsid w:val="00F5118A"/>
    <w:rsid w:val="00F555B0"/>
    <w:rsid w:val="00F6162A"/>
    <w:rsid w:val="00F66759"/>
    <w:rsid w:val="00F67967"/>
    <w:rsid w:val="00F67CF6"/>
    <w:rsid w:val="00F72651"/>
    <w:rsid w:val="00F7301E"/>
    <w:rsid w:val="00F8175E"/>
    <w:rsid w:val="00F81B05"/>
    <w:rsid w:val="00F81F15"/>
    <w:rsid w:val="00F82049"/>
    <w:rsid w:val="00F82C9F"/>
    <w:rsid w:val="00F8388A"/>
    <w:rsid w:val="00F84E80"/>
    <w:rsid w:val="00F87537"/>
    <w:rsid w:val="00F947DC"/>
    <w:rsid w:val="00F9781A"/>
    <w:rsid w:val="00FA057C"/>
    <w:rsid w:val="00FA086F"/>
    <w:rsid w:val="00FA0D16"/>
    <w:rsid w:val="00FA185B"/>
    <w:rsid w:val="00FA60BF"/>
    <w:rsid w:val="00FA6883"/>
    <w:rsid w:val="00FA7405"/>
    <w:rsid w:val="00FB0D12"/>
    <w:rsid w:val="00FB1CB4"/>
    <w:rsid w:val="00FB23B5"/>
    <w:rsid w:val="00FB3D40"/>
    <w:rsid w:val="00FB44EB"/>
    <w:rsid w:val="00FB675F"/>
    <w:rsid w:val="00FC11A3"/>
    <w:rsid w:val="00FC1300"/>
    <w:rsid w:val="00FC1C93"/>
    <w:rsid w:val="00FC3307"/>
    <w:rsid w:val="00FC42A3"/>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1ADC"/>
    <w:rsid w:val="00FE225D"/>
    <w:rsid w:val="00FE4989"/>
    <w:rsid w:val="00FE5C3E"/>
    <w:rsid w:val="00FF0A2F"/>
    <w:rsid w:val="00FF1B04"/>
    <w:rsid w:val="00FF22F8"/>
    <w:rsid w:val="01654C82"/>
    <w:rsid w:val="01A31AE7"/>
    <w:rsid w:val="020A6A96"/>
    <w:rsid w:val="0356786B"/>
    <w:rsid w:val="03C96CBB"/>
    <w:rsid w:val="043A3FD8"/>
    <w:rsid w:val="046E31C1"/>
    <w:rsid w:val="04D02CE5"/>
    <w:rsid w:val="056C4F65"/>
    <w:rsid w:val="06F4696E"/>
    <w:rsid w:val="07245E56"/>
    <w:rsid w:val="096812AC"/>
    <w:rsid w:val="0C023D8C"/>
    <w:rsid w:val="0C225D7B"/>
    <w:rsid w:val="0E94232E"/>
    <w:rsid w:val="0F1306D5"/>
    <w:rsid w:val="11295396"/>
    <w:rsid w:val="163E2FB7"/>
    <w:rsid w:val="17622796"/>
    <w:rsid w:val="19B81368"/>
    <w:rsid w:val="1A48157B"/>
    <w:rsid w:val="1BD70953"/>
    <w:rsid w:val="1BF87698"/>
    <w:rsid w:val="1D73517C"/>
    <w:rsid w:val="1E585AB7"/>
    <w:rsid w:val="1EB160C2"/>
    <w:rsid w:val="1FF145B9"/>
    <w:rsid w:val="2193546F"/>
    <w:rsid w:val="26F50BA9"/>
    <w:rsid w:val="27BD5E26"/>
    <w:rsid w:val="285E4249"/>
    <w:rsid w:val="29026D00"/>
    <w:rsid w:val="293556EA"/>
    <w:rsid w:val="2AAC6EE9"/>
    <w:rsid w:val="2EA644DF"/>
    <w:rsid w:val="2FB532A0"/>
    <w:rsid w:val="319C4BEA"/>
    <w:rsid w:val="34C829B2"/>
    <w:rsid w:val="35381804"/>
    <w:rsid w:val="358D60A8"/>
    <w:rsid w:val="386A3F56"/>
    <w:rsid w:val="38D50832"/>
    <w:rsid w:val="39B27394"/>
    <w:rsid w:val="3A810EF7"/>
    <w:rsid w:val="3ACF0F3F"/>
    <w:rsid w:val="3C3802E9"/>
    <w:rsid w:val="3E586AB8"/>
    <w:rsid w:val="3E5C1B1D"/>
    <w:rsid w:val="3EAE14E9"/>
    <w:rsid w:val="3FD261A6"/>
    <w:rsid w:val="42EB2F9C"/>
    <w:rsid w:val="43F76571"/>
    <w:rsid w:val="4407698D"/>
    <w:rsid w:val="45226963"/>
    <w:rsid w:val="4D39606F"/>
    <w:rsid w:val="4F8E3D4D"/>
    <w:rsid w:val="53063B85"/>
    <w:rsid w:val="533C1961"/>
    <w:rsid w:val="53B3493A"/>
    <w:rsid w:val="5418588F"/>
    <w:rsid w:val="5537323C"/>
    <w:rsid w:val="555A43BF"/>
    <w:rsid w:val="55855837"/>
    <w:rsid w:val="56503211"/>
    <w:rsid w:val="598B567E"/>
    <w:rsid w:val="5C624734"/>
    <w:rsid w:val="5C7C0704"/>
    <w:rsid w:val="5FE91ABC"/>
    <w:rsid w:val="61386B66"/>
    <w:rsid w:val="61732124"/>
    <w:rsid w:val="628E734C"/>
    <w:rsid w:val="6580603B"/>
    <w:rsid w:val="6811538A"/>
    <w:rsid w:val="68C7223A"/>
    <w:rsid w:val="68EF6886"/>
    <w:rsid w:val="6BC34FBB"/>
    <w:rsid w:val="6EAA7DFD"/>
    <w:rsid w:val="6FDD1093"/>
    <w:rsid w:val="709C0126"/>
    <w:rsid w:val="76022652"/>
    <w:rsid w:val="768501BE"/>
    <w:rsid w:val="76C8601E"/>
    <w:rsid w:val="785F6471"/>
    <w:rsid w:val="78AB3944"/>
    <w:rsid w:val="79952C43"/>
    <w:rsid w:val="7BEA1CFE"/>
    <w:rsid w:val="7D803772"/>
    <w:rsid w:val="7D80556D"/>
    <w:rsid w:val="7E3713F1"/>
    <w:rsid w:val="7E9D5B85"/>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30">
    <w:name w:val="Normal Table"/>
    <w:semiHidden/>
    <w:unhideWhenUsed/>
    <w:uiPriority w:val="99"/>
    <w:tblPr>
      <w:tblLayout w:type="fixed"/>
      <w:tblCellMar>
        <w:top w:w="0" w:type="dxa"/>
        <w:left w:w="108" w:type="dxa"/>
        <w:bottom w:w="0" w:type="dxa"/>
        <w:right w:w="108" w:type="dxa"/>
      </w:tblCellMar>
    </w:tblPr>
  </w:style>
  <w:style w:type="paragraph" w:styleId="6">
    <w:name w:val="annotation subject"/>
    <w:basedOn w:val="7"/>
    <w:next w:val="7"/>
    <w:link w:val="42"/>
    <w:qFormat/>
    <w:uiPriority w:val="0"/>
    <w:pPr>
      <w:widowControl w:val="0"/>
    </w:pPr>
    <w:rPr>
      <w:rFonts w:ascii="Calibri" w:hAnsi="Calibri"/>
      <w:b/>
      <w:bCs/>
      <w:kern w:val="2"/>
      <w:sz w:val="21"/>
      <w:szCs w:val="22"/>
    </w:rPr>
  </w:style>
  <w:style w:type="paragraph" w:styleId="7">
    <w:name w:val="annotation text"/>
    <w:basedOn w:val="1"/>
    <w:link w:val="36"/>
    <w:qFormat/>
    <w:uiPriority w:val="99"/>
    <w:pPr>
      <w:widowControl/>
      <w:jc w:val="left"/>
    </w:pPr>
    <w:rPr>
      <w:rFonts w:ascii="宋体" w:hAnsi="宋体"/>
      <w:kern w:val="0"/>
      <w:sz w:val="24"/>
      <w:szCs w:val="24"/>
    </w:rPr>
  </w:style>
  <w:style w:type="paragraph" w:styleId="8">
    <w:name w:val="Normal Indent"/>
    <w:basedOn w:val="1"/>
    <w:qFormat/>
    <w:uiPriority w:val="0"/>
    <w:pPr>
      <w:ind w:firstLine="420" w:firstLineChars="200"/>
    </w:pPr>
    <w:rPr>
      <w:rFonts w:ascii="Times New Roman" w:hAnsi="Times New Roman" w:cs="Times New Roman"/>
      <w:szCs w:val="20"/>
    </w:rPr>
  </w:style>
  <w:style w:type="paragraph" w:styleId="9">
    <w:name w:val="Document Map"/>
    <w:basedOn w:val="1"/>
    <w:link w:val="62"/>
    <w:qFormat/>
    <w:uiPriority w:val="0"/>
    <w:pPr>
      <w:shd w:val="clear" w:color="auto" w:fill="000080"/>
    </w:pPr>
    <w:rPr>
      <w:rFonts w:ascii="Times New Roman" w:hAnsi="Times New Roman" w:cs="Times New Roman"/>
      <w:szCs w:val="20"/>
    </w:rPr>
  </w:style>
  <w:style w:type="paragraph" w:styleId="10">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1">
    <w:name w:val="toc 3"/>
    <w:basedOn w:val="1"/>
    <w:next w:val="1"/>
    <w:qFormat/>
    <w:uiPriority w:val="39"/>
    <w:pPr>
      <w:widowControl/>
      <w:spacing w:after="100" w:line="276" w:lineRule="auto"/>
      <w:ind w:left="440"/>
      <w:jc w:val="left"/>
    </w:pPr>
    <w:rPr>
      <w:kern w:val="0"/>
      <w:sz w:val="22"/>
    </w:rPr>
  </w:style>
  <w:style w:type="paragraph" w:styleId="12">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3">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4">
    <w:name w:val="Balloon Text"/>
    <w:basedOn w:val="1"/>
    <w:link w:val="37"/>
    <w:qFormat/>
    <w:uiPriority w:val="99"/>
    <w:rPr>
      <w:sz w:val="18"/>
      <w:szCs w:val="18"/>
    </w:rPr>
  </w:style>
  <w:style w:type="paragraph" w:styleId="15">
    <w:name w:val="footer"/>
    <w:basedOn w:val="1"/>
    <w:link w:val="33"/>
    <w:qFormat/>
    <w:uiPriority w:val="99"/>
    <w:pPr>
      <w:tabs>
        <w:tab w:val="center" w:pos="4153"/>
        <w:tab w:val="right" w:pos="8306"/>
      </w:tabs>
      <w:snapToGrid w:val="0"/>
      <w:jc w:val="left"/>
    </w:pPr>
    <w:rPr>
      <w:sz w:val="18"/>
      <w:szCs w:val="18"/>
    </w:rPr>
  </w:style>
  <w:style w:type="paragraph" w:styleId="16">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76" w:lineRule="auto"/>
      <w:jc w:val="left"/>
    </w:pPr>
    <w:rPr>
      <w:kern w:val="0"/>
      <w:sz w:val="22"/>
    </w:rPr>
  </w:style>
  <w:style w:type="paragraph" w:styleId="18">
    <w:name w:val="footnote text"/>
    <w:basedOn w:val="1"/>
    <w:link w:val="71"/>
    <w:qFormat/>
    <w:uiPriority w:val="0"/>
    <w:pPr>
      <w:snapToGrid w:val="0"/>
      <w:jc w:val="left"/>
    </w:pPr>
    <w:rPr>
      <w:rFonts w:ascii="Times New Roman" w:hAnsi="Times New Roman" w:cs="Times New Roman"/>
      <w:sz w:val="18"/>
      <w:szCs w:val="20"/>
    </w:rPr>
  </w:style>
  <w:style w:type="paragraph" w:styleId="19">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0">
    <w:name w:val="toc 2"/>
    <w:basedOn w:val="1"/>
    <w:next w:val="1"/>
    <w:qFormat/>
    <w:uiPriority w:val="39"/>
    <w:pPr>
      <w:widowControl/>
      <w:spacing w:after="100" w:line="276" w:lineRule="auto"/>
      <w:ind w:left="220"/>
      <w:jc w:val="left"/>
    </w:pPr>
    <w:rPr>
      <w:kern w:val="0"/>
      <w:sz w:val="22"/>
    </w:rPr>
  </w:style>
  <w:style w:type="paragraph" w:styleId="21">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2">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3">
    <w:name w:val="Title"/>
    <w:basedOn w:val="1"/>
    <w:next w:val="1"/>
    <w:link w:val="54"/>
    <w:qFormat/>
    <w:uiPriority w:val="0"/>
    <w:pPr>
      <w:spacing w:before="240" w:after="60"/>
      <w:jc w:val="center"/>
      <w:outlineLvl w:val="0"/>
    </w:pPr>
    <w:rPr>
      <w:rFonts w:ascii="Cambria" w:hAnsi="Cambria"/>
      <w:b/>
      <w:sz w:val="32"/>
      <w:szCs w:val="20"/>
    </w:rPr>
  </w:style>
  <w:style w:type="character" w:styleId="25">
    <w:name w:val="Strong"/>
    <w:qFormat/>
    <w:uiPriority w:val="22"/>
    <w:rPr>
      <w:b/>
      <w:bCs/>
    </w:rPr>
  </w:style>
  <w:style w:type="character" w:styleId="26">
    <w:name w:val="page number"/>
    <w:basedOn w:val="24"/>
    <w:qFormat/>
    <w:uiPriority w:val="0"/>
  </w:style>
  <w:style w:type="character" w:styleId="27">
    <w:name w:val="Hyperlink"/>
    <w:basedOn w:val="24"/>
    <w:unhideWhenUsed/>
    <w:qFormat/>
    <w:uiPriority w:val="99"/>
    <w:rPr>
      <w:color w:val="0000FF" w:themeColor="hyperlink"/>
      <w:u w:val="single"/>
    </w:rPr>
  </w:style>
  <w:style w:type="character" w:styleId="28">
    <w:name w:val="annotation reference"/>
    <w:qFormat/>
    <w:uiPriority w:val="99"/>
    <w:rPr>
      <w:sz w:val="21"/>
      <w:szCs w:val="21"/>
    </w:rPr>
  </w:style>
  <w:style w:type="character" w:styleId="29">
    <w:name w:val="footnote reference"/>
    <w:qFormat/>
    <w:uiPriority w:val="0"/>
    <w:rPr>
      <w:vertAlign w:val="superscript"/>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2">
    <w:name w:val="页眉 Char"/>
    <w:basedOn w:val="24"/>
    <w:link w:val="16"/>
    <w:qFormat/>
    <w:uiPriority w:val="99"/>
    <w:rPr>
      <w:sz w:val="18"/>
      <w:szCs w:val="18"/>
    </w:rPr>
  </w:style>
  <w:style w:type="character" w:customStyle="1" w:styleId="33">
    <w:name w:val="页脚 Char"/>
    <w:basedOn w:val="24"/>
    <w:link w:val="15"/>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4"/>
    <w:link w:val="7"/>
    <w:qFormat/>
    <w:uiPriority w:val="99"/>
    <w:rPr>
      <w:rFonts w:ascii="宋体" w:hAnsi="宋体" w:eastAsia="宋体" w:cs="宋体"/>
      <w:kern w:val="0"/>
      <w:sz w:val="24"/>
      <w:szCs w:val="24"/>
    </w:rPr>
  </w:style>
  <w:style w:type="character" w:customStyle="1" w:styleId="37">
    <w:name w:val="批注框文本 Char"/>
    <w:basedOn w:val="24"/>
    <w:link w:val="14"/>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4"/>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6"/>
    <w:qFormat/>
    <w:uiPriority w:val="99"/>
    <w:rPr>
      <w:rFonts w:ascii="宋体" w:hAnsi="宋体" w:eastAsia="宋体" w:cs="宋体"/>
      <w:b/>
      <w:bCs/>
      <w:kern w:val="0"/>
      <w:sz w:val="24"/>
      <w:szCs w:val="24"/>
    </w:rPr>
  </w:style>
  <w:style w:type="character" w:customStyle="1" w:styleId="43">
    <w:name w:val="HTML 预设格式 Char"/>
    <w:basedOn w:val="24"/>
    <w:link w:val="21"/>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4"/>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49">
    <w:name w:val="标题 2 Char"/>
    <w:basedOn w:val="24"/>
    <w:link w:val="3"/>
    <w:qFormat/>
    <w:uiPriority w:val="0"/>
    <w:rPr>
      <w:rFonts w:ascii="Arial" w:hAnsi="Arial" w:eastAsia="黑体" w:cs="Times New Roman"/>
      <w:b/>
      <w:kern w:val="2"/>
      <w:sz w:val="32"/>
    </w:rPr>
  </w:style>
  <w:style w:type="character" w:customStyle="1" w:styleId="50">
    <w:name w:val="标题 3 Char"/>
    <w:basedOn w:val="24"/>
    <w:link w:val="4"/>
    <w:qFormat/>
    <w:uiPriority w:val="0"/>
    <w:rPr>
      <w:rFonts w:ascii="Times New Roman" w:hAnsi="Times New Roman" w:cs="Times New Roman"/>
      <w:b/>
      <w:kern w:val="2"/>
      <w:sz w:val="32"/>
    </w:rPr>
  </w:style>
  <w:style w:type="character" w:customStyle="1" w:styleId="51">
    <w:name w:val="标题 4 Char"/>
    <w:basedOn w:val="24"/>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4"/>
    <w:qFormat/>
    <w:uiPriority w:val="0"/>
  </w:style>
  <w:style w:type="character" w:customStyle="1" w:styleId="54">
    <w:name w:val="标题 Char"/>
    <w:link w:val="23"/>
    <w:qFormat/>
    <w:uiPriority w:val="0"/>
    <w:rPr>
      <w:rFonts w:ascii="Cambria" w:hAnsi="Cambria"/>
      <w:b/>
      <w:kern w:val="2"/>
      <w:sz w:val="32"/>
    </w:rPr>
  </w:style>
  <w:style w:type="character" w:customStyle="1" w:styleId="55">
    <w:name w:val="正文文本 Char"/>
    <w:link w:val="10"/>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4"/>
    <w:link w:val="9"/>
    <w:qFormat/>
    <w:uiPriority w:val="0"/>
    <w:rPr>
      <w:rFonts w:ascii="Times New Roman" w:hAnsi="Times New Roman" w:cs="Times New Roman"/>
      <w:kern w:val="2"/>
      <w:sz w:val="21"/>
      <w:shd w:val="clear" w:color="auto" w:fill="000080"/>
    </w:rPr>
  </w:style>
  <w:style w:type="character" w:customStyle="1" w:styleId="63">
    <w:name w:val="纯文本 Char"/>
    <w:basedOn w:val="24"/>
    <w:link w:val="12"/>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4"/>
    <w:semiHidden/>
    <w:qFormat/>
    <w:uiPriority w:val="99"/>
    <w:rPr>
      <w:kern w:val="2"/>
      <w:sz w:val="21"/>
      <w:szCs w:val="22"/>
    </w:rPr>
  </w:style>
  <w:style w:type="character" w:customStyle="1" w:styleId="66">
    <w:name w:val="标题 Char1"/>
    <w:basedOn w:val="24"/>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4"/>
    <w:link w:val="19"/>
    <w:qFormat/>
    <w:uiPriority w:val="0"/>
    <w:rPr>
      <w:rFonts w:ascii="Times New Roman" w:hAnsi="Times New Roman" w:cs="Times New Roman"/>
      <w:color w:val="0000FF"/>
      <w:kern w:val="2"/>
      <w:sz w:val="21"/>
    </w:rPr>
  </w:style>
  <w:style w:type="character" w:customStyle="1" w:styleId="70">
    <w:name w:val="正文文本缩进 2 Char"/>
    <w:basedOn w:val="24"/>
    <w:link w:val="13"/>
    <w:qFormat/>
    <w:uiPriority w:val="0"/>
    <w:rPr>
      <w:rFonts w:ascii="仿宋_GB2312" w:hAnsi="Times New Roman" w:eastAsia="仿宋_GB2312" w:cs="Times New Roman"/>
      <w:kern w:val="2"/>
      <w:sz w:val="28"/>
    </w:rPr>
  </w:style>
  <w:style w:type="character" w:customStyle="1" w:styleId="71">
    <w:name w:val="脚注文本 Char"/>
    <w:basedOn w:val="24"/>
    <w:link w:val="18"/>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10"/>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85">
    <w:name w:val="修订4"/>
    <w:hidden/>
    <w:semiHidden/>
    <w:qFormat/>
    <w:uiPriority w:val="99"/>
    <w:rPr>
      <w:rFonts w:ascii="Calibri" w:hAnsi="Calibri" w:eastAsia="宋体" w:cs="宋体"/>
      <w:kern w:val="2"/>
      <w:sz w:val="21"/>
      <w:szCs w:val="22"/>
      <w:lang w:val="en-US" w:eastAsia="zh-CN" w:bidi="ar-SA"/>
    </w:rPr>
  </w:style>
  <w:style w:type="paragraph" w:customStyle="1" w:styleId="86">
    <w:name w:val="修订5"/>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18.xml"/><Relationship Id="rId27" Type="http://schemas.openxmlformats.org/officeDocument/2006/relationships/customXml" Target="../customXml/item17.xml"/><Relationship Id="rId26" Type="http://schemas.openxmlformats.org/officeDocument/2006/relationships/customXml" Target="../customXml/item16.xml"/><Relationship Id="rId25" Type="http://schemas.openxmlformats.org/officeDocument/2006/relationships/customXml" Target="../customXml/item15.xml"/><Relationship Id="rId24" Type="http://schemas.openxmlformats.org/officeDocument/2006/relationships/customXml" Target="../customXml/item14.xml"/><Relationship Id="rId23" Type="http://schemas.openxmlformats.org/officeDocument/2006/relationships/customXml" Target="../customXml/item13.xml"/><Relationship Id="rId22" Type="http://schemas.openxmlformats.org/officeDocument/2006/relationships/customXml" Target="../customXml/item12.xml"/><Relationship Id="rId21" Type="http://schemas.openxmlformats.org/officeDocument/2006/relationships/customXml" Target="../customXml/item11.xml"/><Relationship Id="rId20" Type="http://schemas.openxmlformats.org/officeDocument/2006/relationships/customXml" Target="../customXml/item10.xml"/><Relationship Id="rId2" Type="http://schemas.openxmlformats.org/officeDocument/2006/relationships/settings" Target="settings.xml"/><Relationship Id="rId19" Type="http://schemas.openxmlformats.org/officeDocument/2006/relationships/customXml" Target="../customXml/item9.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990A2D8-324F-45D5-B9CD-07245ED2860B}">
  <ds:schemaRefs/>
</ds:datastoreItem>
</file>

<file path=customXml/itemProps11.xml><?xml version="1.0" encoding="utf-8"?>
<ds:datastoreItem xmlns:ds="http://schemas.openxmlformats.org/officeDocument/2006/customXml" ds:itemID="{8DF0E1CB-81EB-4AB5-9DD4-93231FF04BBC}">
  <ds:schemaRefs/>
</ds:datastoreItem>
</file>

<file path=customXml/itemProps12.xml><?xml version="1.0" encoding="utf-8"?>
<ds:datastoreItem xmlns:ds="http://schemas.openxmlformats.org/officeDocument/2006/customXml" ds:itemID="{509BA638-9D3A-4AA3-A169-FF78BC0E4BE9}">
  <ds:schemaRefs/>
</ds:datastoreItem>
</file>

<file path=customXml/itemProps13.xml><?xml version="1.0" encoding="utf-8"?>
<ds:datastoreItem xmlns:ds="http://schemas.openxmlformats.org/officeDocument/2006/customXml" ds:itemID="{9114D43D-ED98-4C7B-A3AE-26D78B80CA82}">
  <ds:schemaRefs/>
</ds:datastoreItem>
</file>

<file path=customXml/itemProps14.xml><?xml version="1.0" encoding="utf-8"?>
<ds:datastoreItem xmlns:ds="http://schemas.openxmlformats.org/officeDocument/2006/customXml" ds:itemID="{E6D3D55C-3DD8-4C31-8069-E5508DD844FB}">
  <ds:schemaRefs/>
</ds:datastoreItem>
</file>

<file path=customXml/itemProps15.xml><?xml version="1.0" encoding="utf-8"?>
<ds:datastoreItem xmlns:ds="http://schemas.openxmlformats.org/officeDocument/2006/customXml" ds:itemID="{A06CD169-7F5C-4082-81B2-6ECAA9AF6149}">
  <ds:schemaRefs/>
</ds:datastoreItem>
</file>

<file path=customXml/itemProps16.xml><?xml version="1.0" encoding="utf-8"?>
<ds:datastoreItem xmlns:ds="http://schemas.openxmlformats.org/officeDocument/2006/customXml" ds:itemID="{7E5C9D84-6DB6-48FB-8632-D5279FC233C8}">
  <ds:schemaRefs/>
</ds:datastoreItem>
</file>

<file path=customXml/itemProps17.xml><?xml version="1.0" encoding="utf-8"?>
<ds:datastoreItem xmlns:ds="http://schemas.openxmlformats.org/officeDocument/2006/customXml" ds:itemID="{79B37214-9E52-4241-8DD2-9E9CD9442006}">
  <ds:schemaRefs/>
</ds:datastoreItem>
</file>

<file path=customXml/itemProps18.xml><?xml version="1.0" encoding="utf-8"?>
<ds:datastoreItem xmlns:ds="http://schemas.openxmlformats.org/officeDocument/2006/customXml" ds:itemID="{BEEE0313-55EB-45FA-BBBD-C0232D367255}">
  <ds:schemaRefs/>
</ds:datastoreItem>
</file>

<file path=customXml/itemProps2.xml><?xml version="1.0" encoding="utf-8"?>
<ds:datastoreItem xmlns:ds="http://schemas.openxmlformats.org/officeDocument/2006/customXml" ds:itemID="{0A7AA9EF-3B8C-4BAA-9155-A6E3E5337D3C}">
  <ds:schemaRefs/>
</ds:datastoreItem>
</file>

<file path=customXml/itemProps3.xml><?xml version="1.0" encoding="utf-8"?>
<ds:datastoreItem xmlns:ds="http://schemas.openxmlformats.org/officeDocument/2006/customXml" ds:itemID="{CF487381-D648-48A1-B1E4-A4540B0D3650}">
  <ds:schemaRefs/>
</ds:datastoreItem>
</file>

<file path=customXml/itemProps4.xml><?xml version="1.0" encoding="utf-8"?>
<ds:datastoreItem xmlns:ds="http://schemas.openxmlformats.org/officeDocument/2006/customXml" ds:itemID="{2108FF18-8EC8-4170-A536-1AA8E39CC797}">
  <ds:schemaRefs/>
</ds:datastoreItem>
</file>

<file path=customXml/itemProps5.xml><?xml version="1.0" encoding="utf-8"?>
<ds:datastoreItem xmlns:ds="http://schemas.openxmlformats.org/officeDocument/2006/customXml" ds:itemID="{1A3BDF38-4832-4575-A8AB-7A1679738229}">
  <ds:schemaRefs/>
</ds:datastoreItem>
</file>

<file path=customXml/itemProps6.xml><?xml version="1.0" encoding="utf-8"?>
<ds:datastoreItem xmlns:ds="http://schemas.openxmlformats.org/officeDocument/2006/customXml" ds:itemID="{D902962D-C8CC-43BF-804A-CD60AE6D7475}">
  <ds:schemaRefs/>
</ds:datastoreItem>
</file>

<file path=customXml/itemProps7.xml><?xml version="1.0" encoding="utf-8"?>
<ds:datastoreItem xmlns:ds="http://schemas.openxmlformats.org/officeDocument/2006/customXml" ds:itemID="{AC86F3EB-DB57-4B60-8A7E-BBB67A22EE0B}">
  <ds:schemaRefs/>
</ds:datastoreItem>
</file>

<file path=customXml/itemProps8.xml><?xml version="1.0" encoding="utf-8"?>
<ds:datastoreItem xmlns:ds="http://schemas.openxmlformats.org/officeDocument/2006/customXml" ds:itemID="{EC45DDBE-A426-47CA-BC62-D025DE29F1BC}">
  <ds:schemaRefs/>
</ds:datastoreItem>
</file>

<file path=customXml/itemProps9.xml><?xml version="1.0" encoding="utf-8"?>
<ds:datastoreItem xmlns:ds="http://schemas.openxmlformats.org/officeDocument/2006/customXml" ds:itemID="{3A3C3A8D-C5E4-45AF-8B48-C3BF528808A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4659</Words>
  <Characters>26557</Characters>
  <Lines>221</Lines>
  <Paragraphs>62</Paragraphs>
  <TotalTime>26</TotalTime>
  <ScaleCrop>false</ScaleCrop>
  <LinksUpToDate>false</LinksUpToDate>
  <CharactersWithSpaces>31154</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2021-09-06T06:01:00Z</dcterms:created>
  <dc:creator>张淼雯</dc:creator>
  <cp:lastModifiedBy>罗钦</cp:lastModifiedBy>
  <cp:lastPrinted>2022-01-18T08:37:00Z</cp:lastPrinted>
  <dcterms:modified xsi:type="dcterms:W3CDTF">2022-06-10T06:12:41Z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5466F5ED04264CD88390FDC4DDCA6BAE</vt:lpwstr>
  </property>
</Properties>
</file>