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0"/>
          <w:szCs w:val="30"/>
          <w:shd w:val="pct10" w:color="auto" w:fill="FFFFFF"/>
        </w:rPr>
      </w:pPr>
      <w:r>
        <w:rPr>
          <w:rFonts w:hint="eastAsia" w:ascii="微软雅黑" w:hAnsi="微软雅黑" w:eastAsia="微软雅黑"/>
          <w:b/>
          <w:sz w:val="28"/>
          <w:szCs w:val="28"/>
          <w:shd w:val="pct10" w:color="auto" w:fill="FFFFFF"/>
        </w:rPr>
        <w:t>理财产品说明书、风险揭示书及客户权益须知</w:t>
      </w:r>
    </w:p>
    <w:p>
      <w:pPr>
        <w:snapToGrid w:val="0"/>
        <w:jc w:val="center"/>
        <w:rPr>
          <w:rFonts w:ascii="微软雅黑" w:hAnsi="微软雅黑" w:eastAsia="微软雅黑"/>
          <w:b/>
          <w:sz w:val="24"/>
        </w:rPr>
      </w:pPr>
      <w:r>
        <w:rPr>
          <w:rFonts w:ascii="微软雅黑" w:hAnsi="微软雅黑" w:eastAsia="微软雅黑"/>
          <w:b/>
          <w:sz w:val="24"/>
        </w:rPr>
        <w:pict>
          <v:shape id="AutoShape 2" o:spid="_x0000_s1026" o:spt="32" type="#_x0000_t32" style="position:absolute;left:0pt;margin-left:1.3pt;margin-top:1.7pt;height:0pt;width:484.7pt;z-index:251658240;mso-width-relative:page;mso-height-relative:page;" filled="f" coordsize="21600,21600" o:gfxdata="UEsDBAoAAAAAAIdO4kAAAAAAAAAAAAAAAAAEAAAAZHJzL1BLAwQUAAAACACHTuJAD82MD9MAAAAF&#10;AQAADwAAAGRycy9kb3ducmV2LnhtbE2PzU7DMBCE70i8g7VI3KjTgAqEOD0UkDhVUFArbtt4SSLi&#10;dRQ7P7w9Cxc4jmY0802+nl2rRupD49nAcpGAIi69bbgy8Pb6eHEDKkRki61nMvBFAdbF6UmOmfUT&#10;v9C4i5WSEg4ZGqhj7DKtQ1mTw7DwHbF4H753GEX2lbY9TlLuWp0myUo7bFgWauxoU1P5uRucAYdP&#10;fkjrzbjdz/fPdnrncvtwMOb8bJncgYo0x78w/OALOhTCdPQD26BaA+lKggYur0CJe3udyrPjr9ZF&#10;rv/TF99QSwMEFAAAAAgAh07iQB/3SozUAQAAsgMAAA4AAABkcnMvZTJvRG9jLnhtbK1TTW/bMAy9&#10;D9h/EHRfHGdLsBlxiiFBd+m2AO1+gCLLtjBZFEglTv79KOWjXXfpYT4Ikki+x/coL++OgxMHg2TB&#10;17KcTKUwXkNjfVfLX0/3Hz5LQVH5RjnwppYnQ/Ju9f7dcgyVmUEPrjEoGMRTNYZa9jGGqihI92ZQ&#10;NIFgPAdbwEFFPmJXNKhGRh9cMZtOF8UI2AQEbYj4dnMOygsivgUQ2tZqswG9H4yPZ1Q0TkWWRL0N&#10;JFe527Y1Ov5sWzJRuFqy0phXJuH9Lq3FaqmqDlXorb60oN7SwitNg7KeSW9QGxWV2KP9B2qwGoGg&#10;jRMNQ3EWkh1hFeX0lTePvQoma2GrKdxMp/8Hq38ctihsU8tPUng18MC/7iNkZjFL9oyBKs5a+y0m&#10;gfroH8MD6N8kPKx75TuTk59OgWvLVFH8VZIOFJhkN36HhnMU42evji0OCZJdEMc8ktNtJOYYhebL&#10;RTmfL77wtPQ1VqjqWhiQ4jcDg0ibWlJEZbs+rsF7HjxgmWnU4YFiaktV14LE6uHeOpfn77wYmerj&#10;fJoLCJxtUjClEXa7tUNxUOkF5S9r5MjLNIS9b84kzl8sSKrP/u2gOW3xag2PMndzeXbprbw85+rn&#10;X23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NjA/TAAAABQEAAA8AAAAAAAAAAQAgAAAAIgAA&#10;AGRycy9kb3ducmV2LnhtbFBLAQIUABQAAAAIAIdO4kAf90qM1AEAALIDAAAOAAAAAAAAAAEAIAAA&#10;ACIBAABkcnMvZTJvRG9jLnhtbFBLBQYAAAAABgAGAFkBAABoBQAAAAA=&#10;">
            <v:path arrowok="t"/>
            <v:fill on="f" focussize="0,0"/>
            <v:stroke weight="0.5pt"/>
            <v:imagedata o:title=""/>
            <o:lock v:ext="edit"/>
          </v:shape>
        </w:pict>
      </w:r>
      <w:r>
        <w:rPr>
          <w:rFonts w:hint="eastAsia" w:ascii="微软雅黑" w:hAnsi="微软雅黑" w:eastAsia="微软雅黑"/>
          <w:b/>
          <w:sz w:val="24"/>
        </w:rPr>
        <w:t>瑞丰银行禧瑞尊赢</w:t>
      </w:r>
      <w:r>
        <w:rPr>
          <w:rFonts w:hint="eastAsia" w:ascii="微软雅黑" w:hAnsi="微软雅黑" w:eastAsia="微软雅黑"/>
          <w:b/>
          <w:sz w:val="24"/>
          <w:lang w:val="en-US" w:eastAsia="zh-CN"/>
        </w:rPr>
        <w:t>22036</w:t>
      </w:r>
      <w:r>
        <w:rPr>
          <w:rFonts w:hint="eastAsia" w:ascii="微软雅黑" w:hAnsi="微软雅黑" w:eastAsia="微软雅黑"/>
          <w:b/>
          <w:sz w:val="24"/>
        </w:rPr>
        <w:t>期封闭式净值型</w:t>
      </w:r>
    </w:p>
    <w:p>
      <w:pPr>
        <w:snapToGrid w:val="0"/>
        <w:jc w:val="center"/>
        <w:rPr>
          <w:rFonts w:ascii="微软雅黑" w:hAnsi="微软雅黑" w:eastAsia="微软雅黑"/>
          <w:b/>
          <w:sz w:val="24"/>
        </w:rPr>
      </w:pPr>
      <w:r>
        <w:rPr>
          <w:rFonts w:hint="eastAsia" w:ascii="微软雅黑" w:hAnsi="微软雅黑" w:eastAsia="微软雅黑"/>
          <w:b/>
          <w:sz w:val="24"/>
        </w:rPr>
        <w:t>理财产品说明书、风险揭示书及客户权益须知</w:t>
      </w:r>
    </w:p>
    <w:p>
      <w:pPr>
        <w:snapToGrid w:val="0"/>
        <w:spacing w:line="240" w:lineRule="exact"/>
        <w:jc w:val="left"/>
        <w:rPr>
          <w:rFonts w:ascii="微软雅黑" w:hAnsi="微软雅黑" w:eastAsia="微软雅黑"/>
        </w:rPr>
      </w:pPr>
    </w:p>
    <w:tbl>
      <w:tblPr>
        <w:tblStyle w:val="7"/>
        <w:tblW w:w="9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Layout w:type="fixed"/>
        <w:tblCellMar>
          <w:top w:w="0" w:type="dxa"/>
          <w:left w:w="108" w:type="dxa"/>
          <w:bottom w:w="0" w:type="dxa"/>
          <w:right w:w="108" w:type="dxa"/>
        </w:tblCellMar>
      </w:tblPr>
      <w:tblGrid>
        <w:gridCol w:w="1952"/>
        <w:gridCol w:w="3686"/>
        <w:gridCol w:w="1700"/>
        <w:gridCol w:w="2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napToGrid w:val="0"/>
              <w:spacing w:line="220" w:lineRule="exact"/>
              <w:jc w:val="center"/>
              <w:textAlignment w:val="baseline"/>
              <w:rPr>
                <w:rFonts w:ascii="微软雅黑" w:hAnsi="微软雅黑" w:eastAsia="微软雅黑"/>
                <w:b/>
                <w:szCs w:val="18"/>
              </w:rPr>
            </w:pPr>
            <w:r>
              <w:rPr>
                <w:rFonts w:hint="eastAsia" w:ascii="微软雅黑" w:hAnsi="微软雅黑" w:eastAsia="微软雅黑"/>
                <w:b/>
                <w:szCs w:val="18"/>
              </w:rPr>
              <w:t>风险揭示书部分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top w:val="single" w:color="auto" w:sz="4" w:space="0"/>
            </w:tcBorders>
            <w:shd w:val="clear" w:color="auto" w:fill="auto"/>
          </w:tcPr>
          <w:p>
            <w:pPr>
              <w:rPr>
                <w:rFonts w:ascii="微软雅黑" w:hAnsi="微软雅黑" w:eastAsia="微软雅黑"/>
                <w:kern w:val="0"/>
                <w:sz w:val="18"/>
                <w:szCs w:val="18"/>
              </w:rPr>
            </w:pPr>
            <w:r>
              <w:rPr>
                <w:rFonts w:hint="eastAsia" w:ascii="微软雅黑" w:hAnsi="微软雅黑" w:eastAsia="微软雅黑"/>
                <w:kern w:val="0"/>
                <w:sz w:val="18"/>
                <w:szCs w:val="18"/>
              </w:rPr>
              <w:t>尊敬的客户：</w:t>
            </w:r>
          </w:p>
          <w:p>
            <w:pPr>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理财产品存在各种风险，不被视为一般储蓄存款的替代品。投资人可能会承担下列风险，请仔细阅读风险揭示书，充分认识投资风险，基于自身判断谨慎投资。</w:t>
            </w:r>
          </w:p>
          <w:p>
            <w:pPr>
              <w:ind w:firstLine="360" w:firstLineChars="200"/>
              <w:rPr>
                <w:rFonts w:ascii="微软雅黑" w:hAnsi="微软雅黑" w:eastAsia="微软雅黑"/>
                <w:b/>
                <w:kern w:val="0"/>
                <w:sz w:val="18"/>
                <w:szCs w:val="18"/>
              </w:rPr>
            </w:pPr>
            <w:r>
              <w:rPr>
                <w:rFonts w:hint="eastAsia" w:ascii="微软雅黑" w:hAnsi="微软雅黑" w:eastAsia="微软雅黑"/>
                <w:b/>
                <w:kern w:val="0"/>
                <w:sz w:val="18"/>
                <w:szCs w:val="18"/>
              </w:rPr>
              <w:t>理财非存款、产品有风险、投资须谨慎</w:t>
            </w:r>
          </w:p>
          <w:p>
            <w:pPr>
              <w:ind w:firstLine="360" w:firstLineChars="200"/>
              <w:rPr>
                <w:rFonts w:ascii="微软雅黑" w:hAnsi="微软雅黑" w:eastAsia="微软雅黑"/>
                <w:b/>
                <w:kern w:val="0"/>
                <w:sz w:val="18"/>
                <w:szCs w:val="18"/>
              </w:rPr>
            </w:pPr>
            <w:r>
              <w:rPr>
                <w:rFonts w:ascii="微软雅黑" w:hAnsi="微软雅黑" w:eastAsia="微软雅黑"/>
                <w:b/>
                <w:kern w:val="0"/>
                <w:sz w:val="18"/>
                <w:szCs w:val="18"/>
              </w:rPr>
              <w:t>理财产品过往业绩不代表其未来表现，不等于理财产品实际收益，投资须谨慎</w:t>
            </w:r>
          </w:p>
          <w:p>
            <w:pPr>
              <w:ind w:firstLine="360" w:firstLineChars="200"/>
              <w:rPr>
                <w:rFonts w:ascii="微软雅黑" w:hAnsi="微软雅黑" w:eastAsia="微软雅黑"/>
                <w:b/>
                <w:kern w:val="0"/>
                <w:sz w:val="18"/>
                <w:szCs w:val="18"/>
              </w:rPr>
            </w:pPr>
            <w:r>
              <w:rPr>
                <w:rFonts w:hint="eastAsia" w:ascii="微软雅黑" w:hAnsi="微软雅黑" w:eastAsia="微软雅黑"/>
                <w:b/>
                <w:kern w:val="0"/>
                <w:sz w:val="18"/>
                <w:szCs w:val="18"/>
              </w:rPr>
              <w:t>如影响您风险承受能力的因素发生变化，请及时完成风险承受能力评估</w:t>
            </w:r>
          </w:p>
          <w:p>
            <w:pPr>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本揭示书旨在向您揭示投资本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客户投资本产品可能面临的风险主要包括(但不限于)：</w:t>
            </w:r>
          </w:p>
          <w:p>
            <w:pPr>
              <w:snapToGrid w:val="0"/>
              <w:ind w:firstLine="360"/>
              <w:textAlignment w:val="baseline"/>
              <w:rPr>
                <w:rFonts w:ascii="宋体" w:hAnsi="宋体"/>
                <w:kern w:val="0"/>
                <w:sz w:val="18"/>
                <w:szCs w:val="18"/>
              </w:rPr>
            </w:pPr>
            <w:r>
              <w:rPr>
                <w:rFonts w:hint="eastAsia" w:ascii="微软雅黑" w:hAnsi="微软雅黑" w:eastAsia="微软雅黑"/>
                <w:kern w:val="0"/>
                <w:sz w:val="18"/>
                <w:szCs w:val="18"/>
              </w:rPr>
              <w:t>1.理财资金损失风险：本产品是</w:t>
            </w:r>
            <w:r>
              <w:rPr>
                <w:rFonts w:hint="eastAsia" w:ascii="微软雅黑" w:hAnsi="微软雅黑" w:eastAsia="微软雅黑"/>
                <w:b/>
                <w:kern w:val="0"/>
                <w:sz w:val="18"/>
                <w:szCs w:val="18"/>
              </w:rPr>
              <w:t>净值型理财产品</w:t>
            </w:r>
            <w:r>
              <w:rPr>
                <w:rFonts w:hint="eastAsia" w:ascii="微软雅黑" w:hAnsi="微软雅黑" w:eastAsia="微软雅黑"/>
                <w:kern w:val="0"/>
                <w:sz w:val="18"/>
                <w:szCs w:val="18"/>
              </w:rPr>
              <w:t>，有投资风险，不保障理财资金本金，不保证理财收益，最终收益以实际支付为准。客户存在损失全部本金和收益的风险。</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2.流动性风险：本产品不允许客户提前终止，客户需要资金时不能随时变现，可能使客户丧失其他投资机会。本理财产品到期前客户无权提前终止或赎回。</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3.提前终止及再投资风险：理财期限内，如果本行认为有必要，有权随时提前终止本产品，一旦本产品被提前终止，则本产品的实际理财天数可能小于预定的理财天数，客户无法实现期初预期的全部收益，并且可能届时面临较差的再投资环境和机会。</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4.产品不成立的风险：发生下述任一情形，本行有权宣布本产品不成立，客户将承担本产品不成立的风险：①符合产品合约约定的产品不成立的条件(如有)；②本产品募集期结束时募集资金总额未达到必要的规模上限或/及下限；③国家相关法律、法规、监管规定、政策或要求出现重大变更，或者金融市场情况出现重大变化，经本行谨慎合理判断难以按照本合同规定向客户提供本产品。如果本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5.延期风险：如因理财产品项下对应的理财财产不能及时变现等原因造成理财产品不能按时偿还本金及收益，理财产品将面临期限相应延长或进行二次清算的可能。</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6.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7.市场风险：由于金融市场内在波动性，市场利率可能发生变化，关联标的价格走势可能对产品结构不利，本产品所投资的金融工具/资产的市场价格也可能发生不利变化，可能使客户收益低于以定期存款或其他方式运用资金而产生的收益。</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8. 法令和政策风险：本产品是针对当前的相关法律法规、监管要求和政策设计的，如国家宏观政策以及相关法律法规、监管要求发生变化，将影响本产品发行、投资、兑付等工作的正常进行。</w:t>
            </w:r>
          </w:p>
          <w:p>
            <w:pPr>
              <w:snapToGrid w:val="0"/>
              <w:spacing w:line="276" w:lineRule="auto"/>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9. 信息传递风险：由于客户原因所致联系信息有误、客户未及时查询，或由于通讯故障、系统故障以及其他不可抗力等因素的影响使得客户无法及时了解本产品信息，因此而产生的责任和风险由客户自行承担；另外，客户预留在本行的有效联系方式变更的，应及时通知本行；如客户未能及时告知，本行很可能在需要时无法及时联系客户，由此产生的责任和风险由客户自行承担。</w:t>
            </w:r>
          </w:p>
          <w:p>
            <w:pPr>
              <w:spacing w:line="276" w:lineRule="auto"/>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10. 不可抗力及意外事件风险：战争、自然灾害等不能预见、不能避免并不能克服的不可抗力事件，金融市场危机、法律法规及国家政策变化、重大政治事件、银行系统故障、投资市场停止交易、网络故障、通讯故障、电力故障、计算机病毒攻击及其它非本行故意造成的意外事件的出现，可能对本产品的成立、投资运作、资金返还、信息披露、公告通知造成影响。对于由不可抗力及意外事件风险导致的任何损失，客户须自行承担，本行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napToGrid w:val="0"/>
              <w:spacing w:line="220" w:lineRule="exact"/>
              <w:jc w:val="center"/>
              <w:textAlignment w:val="baseline"/>
              <w:rPr>
                <w:rFonts w:ascii="微软雅黑" w:hAnsi="微软雅黑" w:eastAsia="微软雅黑"/>
                <w:kern w:val="0"/>
                <w:sz w:val="18"/>
                <w:szCs w:val="18"/>
              </w:rPr>
            </w:pPr>
            <w:r>
              <w:rPr>
                <w:rFonts w:hint="eastAsia" w:ascii="微软雅黑" w:hAnsi="微软雅黑" w:eastAsia="微软雅黑"/>
                <w:b/>
                <w:szCs w:val="18"/>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FFFFFF"/>
            <w:vAlign w:val="center"/>
          </w:tcPr>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本期理财属于封闭式净值型理财产品，投资类型为固定收益类，风险评级为中低风险级理财产品，适合购买的客户为风险评级谨慎型（含）以上的客户。本理财产品不保证本金及收益，例如市场发生重大变动或突发性事件时，在最不利投资情形下，有可能损失全部本金及收益。</w:t>
            </w:r>
          </w:p>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该产品如通过代理销售机构渠道销售的，理财产品评级以代理销售机构最终披露的评级结果为准。</w:t>
            </w:r>
          </w:p>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客户在客户签名栏签字的行为即表示客户已详细阅知《理财产品说明书、风险揭示书及客户权益须知》、《瑞丰银行理财产品总协议书》。瑞丰银行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tbl>
            <w:tblPr>
              <w:tblStyle w:val="7"/>
              <w:tblpPr w:leftFromText="180" w:rightFromText="180" w:vertAnchor="text" w:horzAnchor="margin" w:tblpY="4"/>
              <w:tblW w:w="9967" w:type="dxa"/>
              <w:tblInd w:w="0" w:type="dxa"/>
              <w:tblLayout w:type="fixed"/>
              <w:tblCellMar>
                <w:top w:w="0" w:type="dxa"/>
                <w:left w:w="108" w:type="dxa"/>
                <w:bottom w:w="0" w:type="dxa"/>
                <w:right w:w="108" w:type="dxa"/>
              </w:tblCellMar>
            </w:tblPr>
            <w:tblGrid>
              <w:gridCol w:w="9967"/>
            </w:tblGrid>
            <w:tr>
              <w:tblPrEx>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客户确认（个人客户填写）</w:t>
                  </w:r>
                </w:p>
              </w:tc>
            </w:tr>
            <w:tr>
              <w:tblPrEx>
                <w:tblCellMar>
                  <w:top w:w="0" w:type="dxa"/>
                  <w:left w:w="108" w:type="dxa"/>
                  <w:bottom w:w="0" w:type="dxa"/>
                  <w:right w:w="108" w:type="dxa"/>
                </w:tblCellMar>
              </w:tblPrEx>
              <w:trPr>
                <w:trHeight w:val="3245" w:hRule="atLeast"/>
              </w:trPr>
              <w:tc>
                <w:tcPr>
                  <w:tcW w:w="9967" w:type="dxa"/>
                  <w:shd w:val="clear" w:color="auto" w:fill="FFFFFF"/>
                </w:tcPr>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1. 您已经知晓您所要购买的理财产品的种类为净值型产品，且知晓银行不对您的本金和收益提供任何承诺。□是□否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2. 您已充分知晓您将认购的理财产品所面临的风险，且已经对可能产生的不利结果有充分的心理准备。□是□否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3. 您已经详细阅读了理财产品说明书、风险揭示书、</w:t>
                  </w:r>
                  <w:r>
                    <w:rPr>
                      <w:rFonts w:hint="eastAsia" w:ascii="微软雅黑" w:hAnsi="微软雅黑" w:eastAsia="微软雅黑"/>
                      <w:kern w:val="0"/>
                      <w:sz w:val="18"/>
                      <w:szCs w:val="18"/>
                    </w:rPr>
                    <w:t>客户</w:t>
                  </w:r>
                  <w:r>
                    <w:rPr>
                      <w:rFonts w:hint="eastAsia" w:ascii="微软雅黑" w:hAnsi="微软雅黑" w:eastAsia="微软雅黑" w:cs="Times New Roman"/>
                      <w:kern w:val="0"/>
                      <w:sz w:val="18"/>
                      <w:szCs w:val="18"/>
                    </w:rPr>
                    <w:t>权益须知等相关材料，对此您已经不再有疑问。□是□否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4. 您已经知晓认购本次理财产品您需要承担的各项费用情况。□是□否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5. 您已经了解该产品不能提前赎回，以及产品提前到期可能产生的不利后果，且该后果需要由您来承担。□是□否</w:t>
                  </w:r>
                </w:p>
                <w:p>
                  <w:pPr>
                    <w:spacing w:line="400" w:lineRule="exact"/>
                    <w:rPr>
                      <w:rFonts w:ascii="微软雅黑" w:hAnsi="微软雅黑" w:eastAsia="微软雅黑"/>
                      <w:kern w:val="0"/>
                      <w:szCs w:val="21"/>
                    </w:rPr>
                  </w:pPr>
                  <w:r>
                    <w:rPr>
                      <w:rFonts w:hint="eastAsia" w:ascii="微软雅黑" w:hAnsi="微软雅黑" w:eastAsia="微软雅黑"/>
                      <w:kern w:val="0"/>
                      <w:sz w:val="18"/>
                      <w:szCs w:val="18"/>
                    </w:rPr>
                    <w:t>6. 您已经确认您的风险承受能力适合购买本产品。□是□否</w:t>
                  </w:r>
                </w:p>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b/>
                      <w:kern w:val="0"/>
                      <w:sz w:val="18"/>
                      <w:szCs w:val="18"/>
                    </w:rPr>
                    <w:t>客户确认：本人已仔细阅读了本</w:t>
                  </w:r>
                  <w:r>
                    <w:rPr>
                      <w:rFonts w:hint="eastAsia" w:ascii="微软雅黑" w:hAnsi="微软雅黑" w:eastAsia="微软雅黑"/>
                      <w:b/>
                      <w:bCs/>
                      <w:sz w:val="18"/>
                      <w:szCs w:val="18"/>
                    </w:rPr>
                    <w:t>《</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b/>
                      <w:bCs/>
                      <w:sz w:val="18"/>
                      <w:szCs w:val="18"/>
                    </w:rPr>
                    <w:t>》</w:t>
                  </w:r>
                  <w:r>
                    <w:rPr>
                      <w:rFonts w:hint="eastAsia" w:ascii="微软雅黑" w:hAnsi="微软雅黑" w:eastAsia="微软雅黑"/>
                      <w:b/>
                      <w:kern w:val="0"/>
                      <w:sz w:val="18"/>
                      <w:szCs w:val="18"/>
                    </w:rPr>
                    <w:t>以及《瑞丰银行理财产品总协议书》，瑞丰银行向本人说明了本理财产品所涉及到的各种风险。认购、申购本理财产品是经过本人独立判断之后所做出的符合本人真</w:t>
                  </w:r>
                  <w:r>
                    <w:rPr>
                      <w:rFonts w:hint="eastAsia" w:ascii="微软雅黑" w:hAnsi="微软雅黑" w:eastAsia="微软雅黑" w:cs="Times New Roman"/>
                      <w:b/>
                      <w:kern w:val="0"/>
                      <w:sz w:val="18"/>
                      <w:szCs w:val="18"/>
                    </w:rPr>
                    <w:t>实意愿的决定。本人同意和接受上述销售文件的条款和内容。</w:t>
                  </w:r>
                </w:p>
                <w:p>
                  <w:pPr>
                    <w:pStyle w:val="14"/>
                    <w:spacing w:line="340" w:lineRule="exact"/>
                    <w:ind w:firstLine="36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个人客户请全文抄录以下文字以完成确认：</w:t>
                  </w:r>
                  <w:r>
                    <w:rPr>
                      <w:rFonts w:hint="eastAsia" w:ascii="微软雅黑" w:hAnsi="微软雅黑" w:eastAsia="微软雅黑" w:cs="Times New Roman"/>
                      <w:b/>
                      <w:kern w:val="0"/>
                      <w:sz w:val="18"/>
                      <w:szCs w:val="18"/>
                    </w:rPr>
                    <w:t>“本人已经阅读风险揭示，愿意承担投资风险”</w:t>
                  </w:r>
                  <w:r>
                    <w:rPr>
                      <w:rFonts w:hint="eastAsia" w:ascii="微软雅黑" w:hAnsi="微软雅黑" w:eastAsia="微软雅黑" w:cs="Times New Roman"/>
                      <w:kern w:val="0"/>
                      <w:sz w:val="18"/>
                      <w:szCs w:val="18"/>
                    </w:rPr>
                    <w:t>。</w:t>
                  </w:r>
                </w:p>
                <w:p>
                  <w:pPr>
                    <w:spacing w:line="400" w:lineRule="exact"/>
                    <w:ind w:firstLine="420" w:firstLineChars="200"/>
                    <w:rPr>
                      <w:rFonts w:ascii="微软雅黑" w:hAnsi="微软雅黑" w:eastAsia="微软雅黑"/>
                      <w:b/>
                      <w:kern w:val="0"/>
                      <w:szCs w:val="21"/>
                      <w:u w:val="single"/>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u w:val="single"/>
                    </w:rPr>
                    <w:t>本人的风险承受能力评级结果为：（保守型、谨慎型、稳健型、进取型、激进型）</w:t>
                  </w:r>
                </w:p>
                <w:p>
                  <w:pPr>
                    <w:spacing w:line="400" w:lineRule="exact"/>
                    <w:ind w:firstLine="405"/>
                    <w:rPr>
                      <w:rFonts w:ascii="微软雅黑" w:hAnsi="微软雅黑" w:eastAsia="微软雅黑"/>
                      <w:kern w:val="0"/>
                      <w:szCs w:val="21"/>
                      <w:u w:val="single"/>
                    </w:rPr>
                  </w:pPr>
                  <w:r>
                    <w:rPr>
                      <w:rFonts w:hint="eastAsia" w:ascii="微软雅黑" w:hAnsi="微软雅黑" w:eastAsia="微软雅黑"/>
                      <w:kern w:val="0"/>
                      <w:sz w:val="18"/>
                      <w:szCs w:val="18"/>
                    </w:rPr>
                    <w:t>客户签名：银行经办人签名：日期：</w:t>
                  </w:r>
                </w:p>
              </w:tc>
            </w:tr>
            <w:tr>
              <w:tblPrEx>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客户确认（机</w:t>
                  </w:r>
                  <w:r>
                    <w:rPr>
                      <w:rFonts w:hint="eastAsia" w:ascii="微软雅黑" w:hAnsi="微软雅黑" w:eastAsia="微软雅黑"/>
                      <w:b/>
                      <w:szCs w:val="18"/>
                      <w:lang w:val="en-US" w:eastAsia="zh-CN"/>
                    </w:rPr>
                    <w:t>构</w:t>
                  </w:r>
                  <w:r>
                    <w:rPr>
                      <w:rFonts w:hint="eastAsia" w:ascii="微软雅黑" w:hAnsi="微软雅黑" w:eastAsia="微软雅黑"/>
                      <w:b/>
                      <w:szCs w:val="18"/>
                    </w:rPr>
                    <w:t>客户填写）</w:t>
                  </w:r>
                </w:p>
              </w:tc>
            </w:tr>
            <w:tr>
              <w:tblPrEx>
                <w:tblCellMar>
                  <w:top w:w="0" w:type="dxa"/>
                  <w:left w:w="108" w:type="dxa"/>
                  <w:bottom w:w="0" w:type="dxa"/>
                  <w:right w:w="108" w:type="dxa"/>
                </w:tblCellMar>
              </w:tblPrEx>
              <w:trPr>
                <w:trHeight w:val="2830" w:hRule="atLeast"/>
              </w:trPr>
              <w:tc>
                <w:tcPr>
                  <w:tcW w:w="9967" w:type="dxa"/>
                  <w:shd w:val="clear" w:color="auto" w:fill="FFFFFF"/>
                </w:tcPr>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cs="Times New Roman"/>
                      <w:b/>
                      <w:kern w:val="0"/>
                      <w:sz w:val="18"/>
                      <w:szCs w:val="18"/>
                    </w:rPr>
                    <w:t>本人为公司授权签字人。本授权签字人已阅读了产品风险提示。瑞丰银行向本授权签字人说明了本产品所涉及到的各种风险。认购本产品是经过我公司独立判断之后所做出的符合本公司意愿的决定。</w:t>
                  </w:r>
                </w:p>
                <w:p>
                  <w:pPr>
                    <w:spacing w:line="400" w:lineRule="exact"/>
                    <w:ind w:firstLine="420" w:firstLineChars="200"/>
                    <w:rPr>
                      <w:rFonts w:ascii="微软雅黑" w:hAnsi="微软雅黑" w:eastAsia="微软雅黑"/>
                      <w:kern w:val="0"/>
                      <w:szCs w:val="21"/>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rPr>
                    <w:t>机构公章：公司授权人签名：</w:t>
                  </w:r>
                </w:p>
                <w:p>
                  <w:pPr>
                    <w:spacing w:line="400" w:lineRule="exact"/>
                    <w:ind w:firstLine="360" w:firstLineChars="200"/>
                    <w:rPr>
                      <w:rFonts w:ascii="微软雅黑" w:hAnsi="微软雅黑" w:eastAsia="微软雅黑"/>
                      <w:kern w:val="0"/>
                      <w:szCs w:val="21"/>
                    </w:rPr>
                  </w:pPr>
                  <w:r>
                    <w:rPr>
                      <w:rFonts w:hint="eastAsia" w:ascii="微软雅黑" w:hAnsi="微软雅黑" w:eastAsia="微软雅黑"/>
                      <w:kern w:val="0"/>
                      <w:sz w:val="18"/>
                      <w:szCs w:val="18"/>
                    </w:rPr>
                    <w:t>银行经办人签名：日期：</w:t>
                  </w:r>
                </w:p>
              </w:tc>
            </w:tr>
          </w:tbl>
          <w:p>
            <w:pPr>
              <w:autoSpaceDE w:val="0"/>
              <w:autoSpaceDN w:val="0"/>
              <w:adjustRightInd w:val="0"/>
              <w:snapToGrid w:val="0"/>
              <w:spacing w:line="240" w:lineRule="exact"/>
              <w:jc w:val="center"/>
              <w:textAlignment w:val="baseline"/>
              <w:rPr>
                <w:rFonts w:ascii="微软雅黑" w:hAnsi="微软雅黑" w:eastAsia="微软雅黑"/>
                <w:b/>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产品基本信息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运作模式</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封闭式净值型理财产品</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发行币种</w:t>
            </w:r>
          </w:p>
        </w:tc>
        <w:tc>
          <w:tcPr>
            <w:tcW w:w="2630"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投资性质</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固定收益类产品</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风险等级</w:t>
            </w:r>
          </w:p>
        </w:tc>
        <w:tc>
          <w:tcPr>
            <w:tcW w:w="2630"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PR2级，中低风险级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适合投资者</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风险评级谨慎型（含）以上的客户</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是否分级</w:t>
            </w:r>
          </w:p>
        </w:tc>
        <w:tc>
          <w:tcPr>
            <w:tcW w:w="2630" w:type="dxa"/>
            <w:shd w:val="clear" w:color="auto" w:fill="auto"/>
            <w:vAlign w:val="center"/>
          </w:tcPr>
          <w:p>
            <w:pPr>
              <w:autoSpaceDE w:val="0"/>
              <w:autoSpaceDN w:val="0"/>
              <w:adjustRightInd w:val="0"/>
              <w:snapToGrid w:val="0"/>
              <w:spacing w:line="240" w:lineRule="exact"/>
              <w:ind w:firstLine="720" w:firstLineChars="40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color w:val="000000"/>
                <w:sz w:val="18"/>
                <w:szCs w:val="18"/>
              </w:rPr>
              <w:t>募集方式</w:t>
            </w:r>
          </w:p>
        </w:tc>
        <w:tc>
          <w:tcPr>
            <w:tcW w:w="3686" w:type="dxa"/>
            <w:shd w:val="clear" w:color="auto" w:fill="auto"/>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公募发行</w:t>
            </w:r>
          </w:p>
        </w:tc>
        <w:tc>
          <w:tcPr>
            <w:tcW w:w="1700" w:type="dxa"/>
            <w:shd w:val="clear" w:color="auto" w:fill="D9D9D9"/>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销售渠道</w:t>
            </w:r>
          </w:p>
        </w:tc>
        <w:tc>
          <w:tcPr>
            <w:tcW w:w="2630" w:type="dxa"/>
            <w:shd w:val="clear" w:color="auto" w:fill="auto"/>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柜面及电子渠道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产品名称</w:t>
            </w:r>
          </w:p>
        </w:tc>
        <w:tc>
          <w:tcPr>
            <w:tcW w:w="8016" w:type="dxa"/>
            <w:gridSpan w:val="3"/>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禧瑞尊赢</w:t>
            </w:r>
            <w:r>
              <w:rPr>
                <w:rFonts w:hint="eastAsia" w:ascii="微软雅黑" w:hAnsi="微软雅黑" w:eastAsia="微软雅黑"/>
                <w:sz w:val="18"/>
                <w:szCs w:val="18"/>
                <w:lang w:val="en-US" w:eastAsia="zh-CN"/>
              </w:rPr>
              <w:t>22036</w:t>
            </w:r>
            <w:r>
              <w:rPr>
                <w:rFonts w:hint="eastAsia" w:ascii="微软雅黑" w:hAnsi="微软雅黑" w:eastAsia="微软雅黑"/>
                <w:sz w:val="18"/>
                <w:szCs w:val="18"/>
              </w:rPr>
              <w:t>期封闭式净值型理财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产品编码</w:t>
            </w:r>
          </w:p>
        </w:tc>
        <w:tc>
          <w:tcPr>
            <w:tcW w:w="8016" w:type="dxa"/>
            <w:gridSpan w:val="3"/>
            <w:shd w:val="clear" w:color="auto" w:fill="auto"/>
            <w:vAlign w:val="center"/>
          </w:tcPr>
          <w:p>
            <w:pPr>
              <w:adjustRightInd w:val="0"/>
              <w:snapToGrid w:val="0"/>
              <w:spacing w:line="240" w:lineRule="exact"/>
              <w:jc w:val="center"/>
              <w:textAlignment w:val="baseline"/>
              <w:rPr>
                <w:rFonts w:ascii="微软雅黑" w:hAnsi="微软雅黑" w:eastAsia="微软雅黑"/>
                <w:b w:val="0"/>
                <w:kern w:val="0"/>
                <w:sz w:val="18"/>
                <w:szCs w:val="18"/>
              </w:rPr>
            </w:pPr>
            <w:r>
              <w:rPr>
                <w:rFonts w:hint="eastAsia" w:ascii="微软雅黑" w:hAnsi="微软雅黑" w:eastAsia="微软雅黑"/>
                <w:b/>
                <w:kern w:val="0"/>
                <w:sz w:val="18"/>
                <w:szCs w:val="18"/>
                <w:lang w:val="en-US" w:eastAsia="zh-CN"/>
              </w:rPr>
              <w:t>C1124822000075</w:t>
            </w:r>
            <w:r>
              <w:rPr>
                <w:rFonts w:hint="eastAsia" w:ascii="微软雅黑" w:hAnsi="微软雅黑" w:eastAsia="微软雅黑"/>
                <w:b w:val="0"/>
                <w:kern w:val="0"/>
                <w:sz w:val="18"/>
                <w:szCs w:val="18"/>
              </w:rPr>
              <w:t>（客户可依据编码在中国理财网查询产品信息）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hint="eastAsia"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管理人</w:t>
            </w:r>
          </w:p>
        </w:tc>
        <w:tc>
          <w:tcPr>
            <w:tcW w:w="8016" w:type="dxa"/>
            <w:gridSpan w:val="3"/>
            <w:shd w:val="clear" w:color="auto" w:fill="auto"/>
            <w:vAlign w:val="center"/>
          </w:tcPr>
          <w:p>
            <w:pPr>
              <w:adjustRightInd w:val="0"/>
              <w:snapToGrid w:val="0"/>
              <w:jc w:val="center"/>
              <w:textAlignment w:val="baseline"/>
              <w:rPr>
                <w:rFonts w:hint="eastAsia" w:ascii="微软雅黑" w:hAnsi="微软雅黑" w:eastAsia="微软雅黑"/>
                <w:b w:val="0"/>
                <w:sz w:val="18"/>
                <w:szCs w:val="18"/>
              </w:rPr>
            </w:pPr>
            <w:r>
              <w:rPr>
                <w:rFonts w:hint="eastAsia" w:ascii="微软雅黑" w:hAnsi="微软雅黑" w:eastAsia="微软雅黑"/>
                <w:sz w:val="18"/>
                <w:szCs w:val="18"/>
              </w:rPr>
              <w:t>浙江绍兴瑞丰农村商业银行股份有限公司（或瑞丰银行）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hint="eastAsia"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托管人</w:t>
            </w:r>
          </w:p>
        </w:tc>
        <w:tc>
          <w:tcPr>
            <w:tcW w:w="8016" w:type="dxa"/>
            <w:gridSpan w:val="3"/>
            <w:shd w:val="clear" w:color="auto" w:fill="auto"/>
            <w:vAlign w:val="center"/>
          </w:tcPr>
          <w:p>
            <w:pPr>
              <w:adjustRightInd w:val="0"/>
              <w:snapToGrid w:val="0"/>
              <w:jc w:val="center"/>
              <w:textAlignment w:val="baseline"/>
              <w:rPr>
                <w:rFonts w:hint="eastAsia" w:ascii="微软雅黑" w:hAnsi="微软雅黑" w:eastAsia="微软雅黑"/>
                <w:b w:val="0"/>
                <w:sz w:val="18"/>
                <w:szCs w:val="18"/>
              </w:rPr>
            </w:pPr>
            <w:r>
              <w:rPr>
                <w:rFonts w:hint="eastAsia" w:ascii="微软雅黑" w:hAnsi="微软雅黑" w:eastAsia="微软雅黑"/>
                <w:sz w:val="18"/>
                <w:szCs w:val="18"/>
              </w:rPr>
              <w:t>招商银行股份有限公司杭州分行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规模</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rPr>
              <w:t>不超过</w:t>
            </w:r>
            <w:r>
              <w:rPr>
                <w:rFonts w:ascii="微软雅黑" w:hAnsi="微软雅黑" w:eastAsia="微软雅黑"/>
                <w:b w:val="0"/>
                <w:sz w:val="18"/>
                <w:szCs w:val="18"/>
              </w:rPr>
              <w:t>5</w:t>
            </w:r>
            <w:r>
              <w:rPr>
                <w:rFonts w:hint="eastAsia" w:ascii="微软雅黑" w:hAnsi="微软雅黑" w:eastAsia="微软雅黑"/>
                <w:b w:val="0"/>
                <w:sz w:val="18"/>
                <w:szCs w:val="18"/>
              </w:rPr>
              <w:t>亿元，最终以具体募集为准。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期限</w:t>
            </w:r>
          </w:p>
        </w:tc>
        <w:tc>
          <w:tcPr>
            <w:tcW w:w="8016" w:type="dxa"/>
            <w:gridSpan w:val="3"/>
            <w:shd w:val="clear" w:color="auto" w:fill="auto"/>
            <w:vAlign w:val="center"/>
          </w:tcPr>
          <w:p>
            <w:pPr>
              <w:autoSpaceDE w:val="0"/>
              <w:autoSpaceDN w:val="0"/>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563</w:t>
            </w:r>
            <w:r>
              <w:rPr>
                <w:rFonts w:hint="eastAsia" w:ascii="微软雅黑" w:hAnsi="微软雅黑" w:eastAsia="微软雅黑"/>
                <w:b w:val="0"/>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认购期</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6</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1</w:t>
            </w:r>
            <w:r>
              <w:rPr>
                <w:rFonts w:hint="eastAsia" w:ascii="微软雅黑" w:hAnsi="微软雅黑" w:eastAsia="微软雅黑"/>
                <w:b w:val="0"/>
                <w:sz w:val="18"/>
                <w:szCs w:val="18"/>
              </w:rPr>
              <w:t>日至</w:t>
            </w: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6</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13</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产品成立运作期</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6</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14</w:t>
            </w:r>
            <w:r>
              <w:rPr>
                <w:rFonts w:hint="eastAsia" w:ascii="微软雅黑" w:hAnsi="微软雅黑" w:eastAsia="微软雅黑"/>
                <w:b w:val="0"/>
                <w:sz w:val="18"/>
                <w:szCs w:val="18"/>
              </w:rPr>
              <w:t>日至</w:t>
            </w:r>
            <w:r>
              <w:rPr>
                <w:rFonts w:hint="eastAsia" w:ascii="微软雅黑" w:hAnsi="微软雅黑" w:eastAsia="微软雅黑"/>
                <w:b w:val="0"/>
                <w:sz w:val="18"/>
                <w:szCs w:val="18"/>
                <w:lang w:val="en-US" w:eastAsia="zh-CN"/>
              </w:rPr>
              <w:t>2023</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12</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29</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产品到期日</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2023</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12</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29</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业绩比较基准</w:t>
            </w:r>
          </w:p>
        </w:tc>
        <w:tc>
          <w:tcPr>
            <w:tcW w:w="8016" w:type="dxa"/>
            <w:gridSpan w:val="3"/>
            <w:shd w:val="clear" w:color="auto" w:fill="auto"/>
            <w:vAlign w:val="center"/>
          </w:tcPr>
          <w:p>
            <w:pPr>
              <w:adjustRightInd w:val="0"/>
              <w:snapToGrid w:val="0"/>
              <w:ind w:firstLine="360" w:firstLineChars="200"/>
              <w:textAlignment w:val="baseline"/>
              <w:rPr>
                <w:rFonts w:ascii="微软雅黑" w:hAnsi="微软雅黑" w:eastAsia="微软雅黑" w:cs="宋体"/>
                <w:sz w:val="18"/>
                <w:szCs w:val="18"/>
              </w:rPr>
            </w:pPr>
            <w:r>
              <w:rPr>
                <w:rFonts w:hint="eastAsia" w:ascii="微软雅黑" w:hAnsi="微软雅黑" w:eastAsia="微软雅黑" w:cs="宋体"/>
                <w:sz w:val="18"/>
                <w:szCs w:val="18"/>
              </w:rPr>
              <w:t>1、本理财产品为净值型产品，其业绩表现将随市场波动，具有不确定性。</w:t>
            </w:r>
          </w:p>
          <w:p>
            <w:pPr>
              <w:adjustRightInd w:val="0"/>
              <w:snapToGrid w:val="0"/>
              <w:ind w:firstLine="360" w:firstLineChars="200"/>
              <w:textAlignment w:val="baseline"/>
              <w:rPr>
                <w:rFonts w:ascii="微软雅黑" w:hAnsi="微软雅黑" w:eastAsia="微软雅黑" w:cs="宋体"/>
                <w:sz w:val="18"/>
                <w:szCs w:val="18"/>
              </w:rPr>
            </w:pPr>
            <w:r>
              <w:rPr>
                <w:rFonts w:hint="eastAsia" w:ascii="微软雅黑" w:hAnsi="微软雅黑" w:eastAsia="微软雅黑" w:cs="宋体"/>
                <w:sz w:val="18"/>
                <w:szCs w:val="18"/>
              </w:rPr>
              <w:t>2、本理财产品根据产品说明书约定的投资范围内各类资产的收益率水平、投资比例、市场情况进行静态测算和情景分析，本运作周期业绩比较基准为年化</w:t>
            </w:r>
            <w:r>
              <w:rPr>
                <w:rFonts w:hint="eastAsia" w:ascii="微软雅黑" w:hAnsi="微软雅黑" w:eastAsia="微软雅黑" w:cs="宋体"/>
                <w:sz w:val="18"/>
                <w:szCs w:val="18"/>
                <w:lang w:val="en-US" w:eastAsia="zh-CN"/>
              </w:rPr>
              <w:t>4.15</w:t>
            </w:r>
            <w:r>
              <w:rPr>
                <w:rFonts w:hint="eastAsia" w:ascii="微软雅黑" w:hAnsi="微软雅黑" w:eastAsia="微软雅黑" w:cs="宋体"/>
                <w:sz w:val="18"/>
                <w:szCs w:val="18"/>
              </w:rPr>
              <w:t>%。</w:t>
            </w:r>
          </w:p>
          <w:p>
            <w:pPr>
              <w:adjustRightInd w:val="0"/>
              <w:snapToGrid w:val="0"/>
              <w:ind w:firstLine="360" w:firstLineChars="200"/>
              <w:textAlignment w:val="baseline"/>
              <w:rPr>
                <w:rFonts w:ascii="微软雅黑" w:hAnsi="微软雅黑" w:eastAsia="微软雅黑"/>
                <w:b/>
                <w:sz w:val="18"/>
                <w:szCs w:val="18"/>
              </w:rPr>
            </w:pPr>
            <w:r>
              <w:rPr>
                <w:rFonts w:hint="eastAsia" w:ascii="微软雅黑" w:hAnsi="微软雅黑" w:eastAsia="微软雅黑" w:cs="宋体"/>
                <w:sz w:val="18"/>
                <w:szCs w:val="18"/>
              </w:rPr>
              <w:t>任何业绩比较基准或类似表述均属不具有法律约束力的用语，不代表投资者可能获得的实际收益，亦不构成瑞丰银行对本理财产品的任何收益承诺。瑞丰银行将根据市场情况调整业绩比较基准，并将提前2个工作日公告。理财产品过往业绩亦不代表其未来表现，不等于理财产品实际收益，投资需谨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产品说明书部分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autoSpaceDE w:val="0"/>
              <w:autoSpaceDN w:val="0"/>
              <w:adjustRightInd w:val="0"/>
              <w:snapToGrid w:val="0"/>
              <w:spacing w:line="240" w:lineRule="exact"/>
              <w:ind w:firstLine="4097" w:firstLineChars="1950"/>
              <w:jc w:val="both"/>
              <w:textAlignment w:val="baseline"/>
              <w:rPr>
                <w:rFonts w:ascii="微软雅黑" w:hAnsi="微软雅黑" w:eastAsia="微软雅黑"/>
                <w:sz w:val="18"/>
                <w:szCs w:val="18"/>
              </w:rPr>
            </w:pPr>
            <w:r>
              <w:rPr>
                <w:rFonts w:hint="eastAsia" w:ascii="微软雅黑" w:hAnsi="微软雅黑" w:eastAsia="微软雅黑"/>
                <w:b/>
                <w:color w:val="000000"/>
                <w:szCs w:val="18"/>
              </w:rPr>
              <w:t>产品运作方式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认购起点金额</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both"/>
              <w:textAlignment w:val="baseline"/>
              <w:rPr>
                <w:rFonts w:ascii="微软雅黑" w:hAnsi="微软雅黑" w:eastAsia="微软雅黑"/>
                <w:sz w:val="18"/>
                <w:szCs w:val="18"/>
              </w:rPr>
            </w:pPr>
            <w:r>
              <w:rPr>
                <w:rFonts w:hint="eastAsia" w:ascii="微软雅黑" w:hAnsi="微软雅黑" w:eastAsia="微软雅黑"/>
                <w:color w:val="000000"/>
                <w:sz w:val="18"/>
                <w:szCs w:val="18"/>
              </w:rPr>
              <w:t>认购起点金额为5万元，高于认购起点金额以人民币1万</w:t>
            </w:r>
            <w:r>
              <w:rPr>
                <w:rFonts w:hint="eastAsia" w:ascii="微软雅黑" w:hAnsi="微软雅黑" w:eastAsia="微软雅黑"/>
                <w:sz w:val="18"/>
                <w:szCs w:val="18"/>
              </w:rPr>
              <w:t>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认购安排</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textAlignment w:val="baseline"/>
              <w:rPr>
                <w:rFonts w:ascii="微软雅黑" w:hAnsi="微软雅黑" w:eastAsia="微软雅黑"/>
                <w:sz w:val="18"/>
                <w:szCs w:val="18"/>
              </w:rPr>
            </w:pPr>
            <w:r>
              <w:rPr>
                <w:rFonts w:hint="eastAsia" w:ascii="微软雅黑" w:hAnsi="微软雅黑" w:eastAsia="微软雅黑"/>
                <w:sz w:val="18"/>
                <w:szCs w:val="18"/>
              </w:rPr>
              <w:t>1、认购期内客户先到先得，认购期届满或募集资金达到5亿或银行认可的规模，则认购停止；瑞丰银行有权提前结束认购。</w:t>
            </w:r>
          </w:p>
          <w:p>
            <w:pPr>
              <w:autoSpaceDE w:val="0"/>
              <w:autoSpaceDN w:val="0"/>
              <w:adjustRightInd w:val="0"/>
              <w:snapToGrid w:val="0"/>
              <w:ind w:firstLine="360" w:firstLineChars="200"/>
              <w:textAlignment w:val="baseline"/>
              <w:rPr>
                <w:rFonts w:ascii="微软雅黑" w:hAnsi="微软雅黑" w:eastAsia="微软雅黑"/>
                <w:sz w:val="18"/>
                <w:szCs w:val="18"/>
              </w:rPr>
            </w:pPr>
            <w:r>
              <w:rPr>
                <w:rFonts w:hint="eastAsia" w:ascii="微软雅黑" w:hAnsi="微软雅黑" w:eastAsia="微软雅黑"/>
                <w:sz w:val="18"/>
                <w:szCs w:val="18"/>
              </w:rPr>
              <w:t>2、本理财产品认购期结束后至到期日之前，不办理认购。客户无权追加投资。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认购价格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sz w:val="18"/>
                <w:szCs w:val="18"/>
              </w:rPr>
              <w:t>每份理财份额人民币1元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份额认购</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sz w:val="18"/>
                <w:szCs w:val="18"/>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理财产品单位净值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理财产品单位份额净值=理财产品净值/理财产品份额</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cs="宋体"/>
                <w:sz w:val="18"/>
                <w:szCs w:val="18"/>
              </w:rPr>
              <w:t>理财产品单位份额净值为提取相关费用后的净值，客户按该单位份额净值进行到期、提前终止时的分配。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产品成立</w:t>
            </w:r>
          </w:p>
        </w:tc>
        <w:tc>
          <w:tcPr>
            <w:tcW w:w="8016" w:type="dxa"/>
            <w:gridSpan w:val="3"/>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1、认购期届满，累计募集金额达到5亿元或银行认可的规模，理财产品成立。</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2、认购期结束时，若认购期内募集资金累计金额低于1000万元，或未达到银行认可的规模，则本理财产品不成立。此种情况下，将客户认购资金在认购期结束后2个工作日内(如遇国家法定节假日顺延)退还客户。</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3、适用的节假日调整惯例：如遇国家法定节假日，理财产品成立日延后至节假日后2个工作日内。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投资范围及投资比例</w:t>
            </w:r>
          </w:p>
        </w:tc>
        <w:tc>
          <w:tcPr>
            <w:tcW w:w="8016" w:type="dxa"/>
            <w:gridSpan w:val="3"/>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投资范围及投资比例如下：</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逆回购、同业存款、同业拆借、货币市场基金、现金资产、国债、地方政府债、央行票据、政府机构债券、金融债、企业债、中期票据、短期融资债券、资产支持证券、公司债、可转换公司债、可交换公司债、定向债务融资工具、理财直融工具、债券类基金、信托计划、资产管理计划等固定收益类资产：80%-100%；</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2、直接或间接投资于挂钩沪深300指数或中证500指数的场外期权等衍生金融工具：0%-5%；</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ascii="微软雅黑" w:hAnsi="微软雅黑" w:eastAsia="微软雅黑" w:cs="宋体"/>
                <w:sz w:val="18"/>
                <w:szCs w:val="18"/>
              </w:rPr>
              <w:t>3</w:t>
            </w:r>
            <w:r>
              <w:rPr>
                <w:rFonts w:hint="eastAsia" w:ascii="微软雅黑" w:hAnsi="微软雅黑" w:eastAsia="微软雅黑" w:cs="宋体"/>
                <w:sz w:val="18"/>
                <w:szCs w:val="18"/>
              </w:rPr>
              <w:t>、股票、公募证券投资基金等权益类资产及国务院银行业监督管理机构认可的其他资产：0%-20%；</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本理财产品杠杆水平不超过200%。</w:t>
            </w:r>
          </w:p>
          <w:p>
            <w:pPr>
              <w:autoSpaceDE w:val="0"/>
              <w:autoSpaceDN w:val="0"/>
              <w:adjustRightInd w:val="0"/>
              <w:snapToGrid w:val="0"/>
              <w:ind w:firstLine="360" w:firstLineChars="200"/>
              <w:outlineLvl w:val="0"/>
              <w:rPr>
                <w:rFonts w:ascii="微软雅黑" w:hAnsi="微软雅黑" w:eastAsia="微软雅黑" w:cs="宋体"/>
                <w:b/>
                <w:sz w:val="18"/>
                <w:szCs w:val="18"/>
              </w:rPr>
            </w:pPr>
            <w:r>
              <w:rPr>
                <w:rFonts w:hint="eastAsia" w:ascii="微软雅黑" w:hAnsi="微软雅黑" w:eastAsia="微软雅黑" w:cs="宋体"/>
                <w:b/>
                <w:sz w:val="18"/>
                <w:szCs w:val="18"/>
              </w:rPr>
              <w:t>特别提示：瑞丰银行将本着诚实信用、谨慎勤勉的原则，在规定的范围内运用理财资金进行投资，投资比例可在不影响客户权益、产品风险评级的前提下合理浮动。本产品投资市场存在一定市场风险及投资风险，瑞丰银行将采取谨慎中性的投资策略进行管理。因市场变化和投资周期理财资金大幅变化等情况可能在短期内使投资比例暂时突破上述投资比例配置限制且可能对理财产品收益产生重大影响的，瑞丰银行将在</w:t>
            </w:r>
            <w:r>
              <w:rPr>
                <w:rFonts w:ascii="微软雅黑" w:hAnsi="微软雅黑" w:eastAsia="微软雅黑" w:cs="宋体"/>
                <w:b/>
                <w:sz w:val="18"/>
                <w:szCs w:val="18"/>
              </w:rPr>
              <w:t>3</w:t>
            </w:r>
            <w:r>
              <w:rPr>
                <w:rFonts w:hint="eastAsia" w:ascii="微软雅黑" w:hAnsi="微软雅黑" w:eastAsia="微软雅黑" w:cs="宋体"/>
                <w:b/>
                <w:sz w:val="18"/>
                <w:szCs w:val="18"/>
              </w:rPr>
              <w:t>个工作日内及时进行公告，并在合理期限内进行及时调整，使之符合投资配置策略要求。</w:t>
            </w:r>
          </w:p>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b/>
                <w:sz w:val="18"/>
                <w:szCs w:val="18"/>
              </w:rPr>
              <w:t>瑞丰银行按照法律法规、产品说明书及其他相关约定，诚实信用、谨慎勤勉地实施投资管理行为，以专业技能管理理财产品资产，依法维护理财产品全体客户的利益。瑞丰银行不对本理财产品的收益情况作出承诺或保证，亦不会承诺或保证最低收益或本金安全。瑞丰银行按照本产品说明书及其他相关规定进行投资运作，由此所产生的损失，瑞丰银行不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资金划转</w:t>
            </w:r>
          </w:p>
        </w:tc>
        <w:tc>
          <w:tcPr>
            <w:tcW w:w="8016" w:type="dxa"/>
            <w:gridSpan w:val="3"/>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客户签署或确认认购委托后，瑞丰银行将依据约定划款。划款时将不与客户再次进行确认。</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客户认购风险较高或单笔金额较大的理财产品时，也适用前述操作规则。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产品估值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1、估值对象：本产品所持有的各类证券和银行存款本息及其他投资等资产。</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2、估值方法：</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1）</w:t>
            </w:r>
            <w:r>
              <w:rPr>
                <w:rFonts w:hint="eastAsia" w:ascii="微软雅黑" w:hAnsi="微软雅黑" w:eastAsia="微软雅黑"/>
                <w:color w:val="000000"/>
                <w:sz w:val="18"/>
                <w:szCs w:val="18"/>
              </w:rPr>
              <w:t>持有的银行定期存款或协议存款以本金列示，按协议或合同利率逐日确认利息收入。</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（2）债券、资产支持证券等债权类资产的估值方法：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s="微软雅黑"/>
                <w:color w:val="000000"/>
                <w:sz w:val="18"/>
                <w:szCs w:val="18"/>
              </w:rPr>
            </w:pPr>
            <w:r>
              <w:rPr>
                <w:rFonts w:ascii="微软雅黑" w:hAnsi="微软雅黑" w:eastAsia="微软雅黑"/>
                <w:color w:val="000000"/>
                <w:sz w:val="18"/>
                <w:szCs w:val="18"/>
              </w:rPr>
              <w:fldChar w:fldCharType="begin"/>
            </w:r>
            <w:r>
              <w:rPr>
                <w:rFonts w:hint="eastAsia" w:ascii="微软雅黑" w:hAnsi="微软雅黑" w:eastAsia="微软雅黑"/>
                <w:color w:val="000000"/>
                <w:sz w:val="18"/>
                <w:szCs w:val="18"/>
              </w:rPr>
              <w:instrText xml:space="preserve">= 1 \* GB3</w:instrText>
            </w:r>
            <w:r>
              <w:rPr>
                <w:rFonts w:ascii="微软雅黑" w:hAnsi="微软雅黑" w:eastAsia="微软雅黑"/>
                <w:color w:val="000000"/>
                <w:sz w:val="18"/>
                <w:szCs w:val="18"/>
              </w:rPr>
              <w:fldChar w:fldCharType="separate"/>
            </w:r>
            <w:r>
              <w:rPr>
                <w:rFonts w:hint="eastAsia" w:ascii="微软雅黑" w:hAnsi="微软雅黑" w:eastAsia="微软雅黑"/>
                <w:color w:val="000000"/>
                <w:sz w:val="18"/>
                <w:szCs w:val="18"/>
              </w:rPr>
              <w:t>①</w:t>
            </w:r>
            <w:r>
              <w:rPr>
                <w:rFonts w:ascii="微软雅黑" w:hAnsi="微软雅黑" w:eastAsia="微软雅黑"/>
                <w:color w:val="000000"/>
                <w:sz w:val="18"/>
                <w:szCs w:val="18"/>
              </w:rPr>
              <w:fldChar w:fldCharType="end"/>
            </w:r>
            <w:r>
              <w:rPr>
                <w:rFonts w:hint="eastAsia" w:ascii="微软雅黑" w:hAnsi="微软雅黑" w:eastAsia="微软雅黑"/>
                <w:color w:val="000000"/>
                <w:sz w:val="18"/>
                <w:szCs w:val="18"/>
              </w:rPr>
              <w:t>以交易为持有</w:t>
            </w:r>
            <w:r>
              <w:rPr>
                <w:rFonts w:ascii="微软雅黑" w:hAnsi="微软雅黑" w:eastAsia="微软雅黑"/>
                <w:color w:val="000000"/>
                <w:sz w:val="18"/>
                <w:szCs w:val="18"/>
              </w:rPr>
              <w:t>目的的债权类资产采用公允价值进行估值</w:t>
            </w:r>
            <w:r>
              <w:rPr>
                <w:rFonts w:hint="eastAsia" w:ascii="微软雅黑" w:hAnsi="微软雅黑" w:eastAsia="微软雅黑"/>
                <w:color w:val="000000"/>
                <w:sz w:val="18"/>
                <w:szCs w:val="18"/>
              </w:rPr>
              <w:t>；</w:t>
            </w:r>
            <w:r>
              <w:rPr>
                <w:rFonts w:ascii="微软雅黑" w:hAnsi="微软雅黑" w:eastAsia="微软雅黑"/>
                <w:color w:val="000000"/>
                <w:sz w:val="18"/>
                <w:szCs w:val="18"/>
              </w:rPr>
              <w:fldChar w:fldCharType="begin"/>
            </w:r>
            <w:r>
              <w:rPr>
                <w:rFonts w:hint="eastAsia" w:ascii="微软雅黑" w:hAnsi="微软雅黑" w:eastAsia="微软雅黑"/>
                <w:color w:val="000000"/>
                <w:sz w:val="18"/>
                <w:szCs w:val="18"/>
              </w:rPr>
              <w:instrText xml:space="preserve">= 2 \* GB3</w:instrText>
            </w:r>
            <w:r>
              <w:rPr>
                <w:rFonts w:ascii="微软雅黑" w:hAnsi="微软雅黑" w:eastAsia="微软雅黑"/>
                <w:color w:val="000000"/>
                <w:sz w:val="18"/>
                <w:szCs w:val="18"/>
              </w:rPr>
              <w:fldChar w:fldCharType="separate"/>
            </w:r>
            <w:r>
              <w:rPr>
                <w:rFonts w:hint="eastAsia" w:ascii="微软雅黑" w:hAnsi="微软雅黑" w:eastAsia="微软雅黑"/>
                <w:color w:val="000000"/>
                <w:sz w:val="18"/>
                <w:szCs w:val="18"/>
              </w:rPr>
              <w:t>②</w:t>
            </w:r>
            <w:r>
              <w:rPr>
                <w:rFonts w:ascii="微软雅黑" w:hAnsi="微软雅黑" w:eastAsia="微软雅黑"/>
                <w:color w:val="000000"/>
                <w:sz w:val="18"/>
                <w:szCs w:val="18"/>
              </w:rPr>
              <w:fldChar w:fldCharType="end"/>
            </w:r>
            <w:r>
              <w:rPr>
                <w:rFonts w:hint="eastAsia" w:ascii="微软雅黑" w:hAnsi="微软雅黑" w:eastAsia="微软雅黑"/>
                <w:color w:val="000000"/>
                <w:sz w:val="18"/>
                <w:szCs w:val="18"/>
              </w:rPr>
              <w:t>以</w:t>
            </w:r>
            <w:r>
              <w:rPr>
                <w:rFonts w:ascii="微软雅黑" w:hAnsi="微软雅黑" w:eastAsia="微软雅黑"/>
                <w:color w:val="000000"/>
                <w:sz w:val="18"/>
                <w:szCs w:val="18"/>
              </w:rPr>
              <w:t>收取合同现金流量为目的</w:t>
            </w:r>
            <w:r>
              <w:rPr>
                <w:rFonts w:hint="eastAsia" w:ascii="微软雅黑" w:hAnsi="微软雅黑" w:eastAsia="微软雅黑"/>
                <w:color w:val="000000"/>
                <w:sz w:val="18"/>
                <w:szCs w:val="18"/>
              </w:rPr>
              <w:t>、能通过SPPI测试</w:t>
            </w:r>
            <w:r>
              <w:rPr>
                <w:rFonts w:ascii="微软雅黑" w:hAnsi="微软雅黑" w:eastAsia="微软雅黑"/>
                <w:color w:val="000000"/>
                <w:sz w:val="18"/>
                <w:szCs w:val="18"/>
              </w:rPr>
              <w:t>并持有到期</w:t>
            </w:r>
            <w:r>
              <w:rPr>
                <w:rFonts w:hint="eastAsia" w:ascii="微软雅黑" w:hAnsi="微软雅黑" w:eastAsia="微软雅黑"/>
                <w:color w:val="000000"/>
                <w:sz w:val="18"/>
                <w:szCs w:val="18"/>
              </w:rPr>
              <w:t>的</w:t>
            </w:r>
            <w:r>
              <w:rPr>
                <w:rFonts w:ascii="微软雅黑" w:hAnsi="微软雅黑" w:eastAsia="微软雅黑"/>
                <w:color w:val="000000"/>
                <w:sz w:val="18"/>
                <w:szCs w:val="18"/>
              </w:rPr>
              <w:t>债权类资产</w:t>
            </w:r>
            <w:r>
              <w:rPr>
                <w:rFonts w:hint="eastAsia" w:ascii="微软雅黑" w:hAnsi="微软雅黑" w:eastAsia="微软雅黑"/>
                <w:color w:val="000000"/>
                <w:sz w:val="18"/>
                <w:szCs w:val="18"/>
              </w:rPr>
              <w:t>，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ascii="Calibri" w:hAnsi="Calibri" w:eastAsia="微软雅黑" w:cs="Calibri"/>
                <w:color w:val="000000"/>
                <w:sz w:val="18"/>
                <w:szCs w:val="18"/>
              </w:rPr>
              <w:t>③</w:t>
            </w:r>
            <w:r>
              <w:rPr>
                <w:rFonts w:hint="eastAsia" w:ascii="Calibri" w:hAnsi="Calibri" w:eastAsia="微软雅黑" w:cs="Calibri"/>
                <w:color w:val="000000"/>
                <w:sz w:val="18"/>
                <w:szCs w:val="18"/>
              </w:rPr>
              <w:t>无法通过SPPI测试的债权类资产，采用公允价值进行估值。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（3）权益类</w:t>
            </w:r>
            <w:r>
              <w:rPr>
                <w:rFonts w:ascii="微软雅黑" w:hAnsi="微软雅黑" w:eastAsia="微软雅黑"/>
                <w:color w:val="000000"/>
                <w:sz w:val="18"/>
                <w:szCs w:val="18"/>
              </w:rPr>
              <w:t>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权益类</w:t>
            </w:r>
            <w:r>
              <w:rPr>
                <w:rFonts w:ascii="微软雅黑" w:hAnsi="微软雅黑" w:eastAsia="微软雅黑"/>
                <w:color w:val="000000"/>
                <w:sz w:val="18"/>
                <w:szCs w:val="18"/>
              </w:rPr>
              <w:t>资产</w:t>
            </w:r>
            <w:r>
              <w:rPr>
                <w:rFonts w:hint="eastAsia" w:ascii="微软雅黑" w:hAnsi="微软雅黑" w:eastAsia="微软雅黑"/>
                <w:color w:val="000000"/>
                <w:sz w:val="18"/>
                <w:szCs w:val="18"/>
              </w:rPr>
              <w:t>采用</w:t>
            </w:r>
            <w:r>
              <w:rPr>
                <w:rFonts w:ascii="微软雅黑" w:hAnsi="微软雅黑" w:eastAsia="微软雅黑"/>
                <w:color w:val="000000"/>
                <w:sz w:val="18"/>
                <w:szCs w:val="18"/>
              </w:rPr>
              <w:t>公允价值进行估值；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4</w:t>
            </w:r>
            <w:r>
              <w:rPr>
                <w:rFonts w:hint="eastAsia" w:ascii="微软雅黑" w:hAnsi="微软雅黑" w:eastAsia="微软雅黑"/>
                <w:color w:val="000000"/>
                <w:sz w:val="18"/>
                <w:szCs w:val="18"/>
              </w:rPr>
              <w:t>）公募证券投资基金的</w:t>
            </w:r>
            <w:r>
              <w:rPr>
                <w:rFonts w:ascii="微软雅黑" w:hAnsi="微软雅黑" w:eastAsia="微软雅黑"/>
                <w:color w:val="000000"/>
                <w:sz w:val="18"/>
                <w:szCs w:val="18"/>
              </w:rPr>
              <w:t>估值方法</w:t>
            </w:r>
            <w:r>
              <w:rPr>
                <w:rFonts w:hint="eastAsia" w:ascii="微软雅黑" w:hAnsi="微软雅黑" w:eastAsia="微软雅黑"/>
                <w:color w:val="000000"/>
                <w:sz w:val="18"/>
                <w:szCs w:val="18"/>
              </w:rPr>
              <w:t>：</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对于场外开放式</w:t>
            </w:r>
            <w:r>
              <w:rPr>
                <w:rFonts w:ascii="微软雅黑" w:hAnsi="微软雅黑" w:eastAsia="微软雅黑"/>
                <w:color w:val="000000"/>
                <w:sz w:val="18"/>
                <w:szCs w:val="18"/>
              </w:rPr>
              <w:t>非货币</w:t>
            </w:r>
            <w:r>
              <w:rPr>
                <w:rFonts w:hint="eastAsia" w:ascii="微软雅黑" w:hAnsi="微软雅黑" w:eastAsia="微软雅黑"/>
                <w:color w:val="000000"/>
                <w:sz w:val="18"/>
                <w:szCs w:val="18"/>
              </w:rPr>
              <w:t>基金，按估值日前一交易日的基金份额净值估值，对于未</w:t>
            </w:r>
            <w:r>
              <w:rPr>
                <w:rFonts w:ascii="微软雅黑" w:hAnsi="微软雅黑" w:eastAsia="微软雅黑"/>
                <w:color w:val="000000"/>
                <w:sz w:val="18"/>
                <w:szCs w:val="18"/>
              </w:rPr>
              <w:t>在交易所上市的</w:t>
            </w:r>
            <w:r>
              <w:rPr>
                <w:rFonts w:hint="eastAsia" w:ascii="微软雅黑" w:hAnsi="微软雅黑" w:eastAsia="微软雅黑"/>
                <w:color w:val="000000"/>
                <w:sz w:val="18"/>
                <w:szCs w:val="18"/>
              </w:rPr>
              <w:t>货币市场基金，按基金管理公司披露的估值日前一交易日的每万份收益计提收益，</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5</w:t>
            </w:r>
            <w:r>
              <w:rPr>
                <w:rFonts w:hint="eastAsia" w:ascii="微软雅黑" w:hAnsi="微软雅黑" w:eastAsia="微软雅黑"/>
                <w:color w:val="000000"/>
                <w:sz w:val="18"/>
                <w:szCs w:val="18"/>
              </w:rPr>
              <w:t>）资产管理计划类估值方法：</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有明确预期收益率的，按实际持有期间进行逐日计提收益；如公布净值，按照最新净值估值（该日无交易的，以最近一交易日的净值计算）；</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（6）其他资产的估值方法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存在公允价值的，按照公允价值估值，公允价值不能确定的按照摊余成本法进行估值。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3、其他</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银行理财管理人最新的约定估值。</w:t>
            </w:r>
          </w:p>
          <w:p>
            <w:pPr>
              <w:autoSpaceDE w:val="0"/>
              <w:autoSpaceDN w:val="0"/>
              <w:adjustRightInd w:val="0"/>
              <w:snapToGrid w:val="0"/>
              <w:spacing w:line="240" w:lineRule="exact"/>
              <w:textAlignment w:val="baseline"/>
              <w:outlineLvl w:val="0"/>
              <w:rPr>
                <w:rFonts w:ascii="微软雅黑" w:hAnsi="微软雅黑" w:eastAsia="微软雅黑"/>
                <w:color w:val="000000"/>
                <w:sz w:val="18"/>
                <w:szCs w:val="18"/>
              </w:rPr>
            </w:pPr>
            <w:r>
              <w:rPr>
                <w:rFonts w:hint="eastAsia" w:ascii="微软雅黑" w:hAnsi="微软雅黑" w:eastAsia="微软雅黑"/>
                <w:color w:val="000000"/>
                <w:sz w:val="18"/>
                <w:szCs w:val="18"/>
              </w:rPr>
              <w:t>4、估值错误处理</w:t>
            </w:r>
          </w:p>
          <w:p>
            <w:pPr>
              <w:autoSpaceDE w:val="0"/>
              <w:autoSpaceDN w:val="0"/>
              <w:adjustRightInd w:val="0"/>
              <w:snapToGrid w:val="0"/>
              <w:spacing w:line="240" w:lineRule="exact"/>
              <w:textAlignment w:val="baseline"/>
              <w:outlineLvl w:val="0"/>
              <w:rPr>
                <w:rFonts w:ascii="微软雅黑" w:hAnsi="微软雅黑" w:eastAsia="微软雅黑"/>
                <w:color w:val="000000"/>
                <w:sz w:val="18"/>
                <w:szCs w:val="18"/>
              </w:rPr>
            </w:pPr>
            <w:r>
              <w:rPr>
                <w:rFonts w:hint="eastAsia" w:ascii="微软雅黑" w:hAnsi="微软雅黑" w:eastAsia="微软雅黑"/>
                <w:color w:val="000000"/>
                <w:sz w:val="18"/>
                <w:szCs w:val="18"/>
              </w:rPr>
              <w:t>在任何情况下，瑞丰银行如采用上述规定的方法对理财财产进行估值，均应被认为采用了适当的估值方法。由于本产品估值所用的价格来源出现错误，或由于其他不可抗力原因，理财产品管理人（或其授权人）虽已采取必要、适当合理的措施进行检查，但未能发现错误的，由此造成的产品资产估值错误，理财产品管理人（或其授权人）可以免除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理财产品费用</w:t>
            </w:r>
          </w:p>
        </w:tc>
        <w:tc>
          <w:tcPr>
            <w:tcW w:w="8016" w:type="dxa"/>
            <w:gridSpan w:val="3"/>
            <w:tcBorders>
              <w:bottom w:val="single" w:color="auto" w:sz="4" w:space="0"/>
            </w:tcBorders>
            <w:shd w:val="clear" w:color="auto" w:fill="auto"/>
            <w:vAlign w:val="center"/>
          </w:tcPr>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1、产品的费用</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（1）托管费；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2</w:t>
            </w:r>
            <w:r>
              <w:rPr>
                <w:rFonts w:hint="eastAsia" w:ascii="微软雅黑" w:hAnsi="微软雅黑" w:eastAsia="微软雅黑" w:cs="宋体"/>
                <w:sz w:val="18"/>
                <w:szCs w:val="18"/>
              </w:rPr>
              <w:t>）浮动</w:t>
            </w:r>
            <w:r>
              <w:rPr>
                <w:rFonts w:ascii="微软雅黑" w:hAnsi="微软雅黑" w:eastAsia="微软雅黑" w:cs="宋体"/>
                <w:sz w:val="18"/>
                <w:szCs w:val="18"/>
              </w:rPr>
              <w:t>管理费</w:t>
            </w:r>
            <w:r>
              <w:rPr>
                <w:rFonts w:hint="eastAsia" w:ascii="微软雅黑" w:hAnsi="微软雅黑" w:eastAsia="微软雅黑" w:cs="宋体"/>
                <w:sz w:val="18"/>
                <w:szCs w:val="18"/>
              </w:rPr>
              <w:t>;</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3</w:t>
            </w:r>
            <w:r>
              <w:rPr>
                <w:rFonts w:hint="eastAsia" w:ascii="微软雅黑" w:hAnsi="微软雅黑" w:eastAsia="微软雅黑" w:cs="宋体"/>
                <w:sz w:val="18"/>
                <w:szCs w:val="18"/>
              </w:rPr>
              <w:t>）增值税及增值税附加税费；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4</w:t>
            </w:r>
            <w:r>
              <w:rPr>
                <w:rFonts w:hint="eastAsia" w:ascii="微软雅黑" w:hAnsi="微软雅黑" w:eastAsia="微软雅黑" w:cs="宋体"/>
                <w:sz w:val="18"/>
                <w:szCs w:val="18"/>
              </w:rPr>
              <w:t>）应当由本理财产品承担的其他费用。</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2、理财产品费用计提方法、计提标准和支付方式</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（1）托管费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按前一自然日结束时资产净值的 0.0</w:t>
            </w:r>
            <w:r>
              <w:rPr>
                <w:rFonts w:ascii="微软雅黑" w:hAnsi="微软雅黑" w:eastAsia="微软雅黑" w:cs="宋体"/>
                <w:sz w:val="18"/>
                <w:szCs w:val="18"/>
              </w:rPr>
              <w:t>1</w:t>
            </w:r>
            <w:r>
              <w:rPr>
                <w:rFonts w:hint="eastAsia" w:ascii="微软雅黑" w:hAnsi="微软雅黑" w:eastAsia="微软雅黑" w:cs="宋体"/>
                <w:sz w:val="18"/>
                <w:szCs w:val="18"/>
              </w:rPr>
              <w:t>%年费率计算，每日计提。</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（2）浮动</w:t>
            </w:r>
            <w:r>
              <w:rPr>
                <w:rFonts w:ascii="微软雅黑" w:hAnsi="微软雅黑" w:eastAsia="微软雅黑" w:cs="宋体"/>
                <w:sz w:val="18"/>
                <w:szCs w:val="18"/>
              </w:rPr>
              <w:t>管理费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w:t>
            </w:r>
            <w:r>
              <w:rPr>
                <w:rFonts w:ascii="微软雅黑" w:hAnsi="微软雅黑" w:eastAsia="微软雅黑" w:cs="宋体"/>
                <w:sz w:val="18"/>
                <w:szCs w:val="18"/>
              </w:rPr>
              <w:t>投资收益扣除理财产品应承担的费用后，年化收益率</w:t>
            </w:r>
            <w:r>
              <w:rPr>
                <w:rFonts w:hint="eastAsia" w:ascii="微软雅黑" w:hAnsi="微软雅黑" w:eastAsia="微软雅黑" w:cs="宋体"/>
                <w:sz w:val="18"/>
                <w:szCs w:val="18"/>
              </w:rPr>
              <w:t>超过</w:t>
            </w:r>
            <w:r>
              <w:rPr>
                <w:rFonts w:ascii="微软雅黑" w:hAnsi="微软雅黑" w:eastAsia="微软雅黑" w:cs="宋体"/>
                <w:sz w:val="18"/>
                <w:szCs w:val="18"/>
              </w:rPr>
              <w:t>约定的业绩比较基准</w:t>
            </w:r>
            <w:r>
              <w:rPr>
                <w:rFonts w:hint="eastAsia" w:ascii="微软雅黑" w:hAnsi="微软雅黑" w:eastAsia="微软雅黑" w:cs="宋体"/>
                <w:sz w:val="18"/>
                <w:szCs w:val="18"/>
              </w:rPr>
              <w:t>，</w:t>
            </w:r>
            <w:r>
              <w:rPr>
                <w:rFonts w:ascii="微软雅黑" w:hAnsi="微软雅黑" w:eastAsia="微软雅黑" w:cs="宋体"/>
                <w:sz w:val="18"/>
                <w:szCs w:val="18"/>
              </w:rPr>
              <w:t>超出部分</w:t>
            </w:r>
            <w:r>
              <w:rPr>
                <w:rFonts w:hint="eastAsia" w:ascii="微软雅黑" w:hAnsi="微软雅黑" w:eastAsia="微软雅黑" w:cs="宋体"/>
                <w:sz w:val="18"/>
                <w:szCs w:val="18"/>
              </w:rPr>
              <w:t>按照1</w:t>
            </w:r>
            <w:r>
              <w:rPr>
                <w:rFonts w:ascii="微软雅黑" w:hAnsi="微软雅黑" w:eastAsia="微软雅黑" w:cs="宋体"/>
                <w:sz w:val="18"/>
                <w:szCs w:val="18"/>
              </w:rPr>
              <w:t>00</w:t>
            </w:r>
            <w:r>
              <w:rPr>
                <w:rFonts w:hint="eastAsia" w:ascii="微软雅黑" w:hAnsi="微软雅黑" w:eastAsia="微软雅黑" w:cs="宋体"/>
                <w:sz w:val="18"/>
                <w:szCs w:val="18"/>
              </w:rPr>
              <w:t>%</w:t>
            </w:r>
            <w:r>
              <w:rPr>
                <w:rFonts w:ascii="微软雅黑" w:hAnsi="微软雅黑" w:eastAsia="微软雅黑" w:cs="宋体"/>
                <w:sz w:val="18"/>
                <w:szCs w:val="18"/>
              </w:rPr>
              <w:t>的比例计提浮动管理费</w:t>
            </w:r>
            <w:r>
              <w:rPr>
                <w:rFonts w:hint="eastAsia" w:ascii="微软雅黑" w:hAnsi="微软雅黑" w:eastAsia="微软雅黑" w:cs="宋体"/>
                <w:sz w:val="18"/>
                <w:szCs w:val="18"/>
              </w:rPr>
              <w:t>；如果</w:t>
            </w:r>
            <w:r>
              <w:rPr>
                <w:rFonts w:ascii="微软雅黑" w:hAnsi="微软雅黑" w:eastAsia="微软雅黑" w:cs="宋体"/>
                <w:sz w:val="18"/>
                <w:szCs w:val="18"/>
              </w:rPr>
              <w:t>低于或等于约定的业绩比较基准，则</w:t>
            </w:r>
            <w:r>
              <w:rPr>
                <w:rFonts w:hint="eastAsia" w:ascii="微软雅黑" w:hAnsi="微软雅黑" w:eastAsia="微软雅黑" w:cs="宋体"/>
                <w:sz w:val="18"/>
                <w:szCs w:val="18"/>
              </w:rPr>
              <w:t>不</w:t>
            </w:r>
            <w:r>
              <w:rPr>
                <w:rFonts w:ascii="微软雅黑" w:hAnsi="微软雅黑" w:eastAsia="微软雅黑" w:cs="宋体"/>
                <w:sz w:val="18"/>
                <w:szCs w:val="18"/>
              </w:rPr>
              <w:t>计提浮动管理费。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3</w:t>
            </w:r>
            <w:r>
              <w:rPr>
                <w:rFonts w:hint="eastAsia" w:ascii="微软雅黑" w:hAnsi="微软雅黑" w:eastAsia="微软雅黑" w:cs="宋体"/>
                <w:sz w:val="18"/>
                <w:szCs w:val="18"/>
              </w:rPr>
              <w:t>）增值税及增值税附加税费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本理财产品投资运作期间发生的增值税及增值税附加税费，按照国家相关法律法规执行。</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4</w:t>
            </w:r>
            <w:r>
              <w:rPr>
                <w:rFonts w:hint="eastAsia" w:ascii="微软雅黑" w:hAnsi="微软雅黑" w:eastAsia="微软雅黑" w:cs="宋体"/>
                <w:sz w:val="18"/>
                <w:szCs w:val="18"/>
              </w:rPr>
              <w:t>）产品运作和清算中产生的其他费用，包括但不限于资金汇划费、结算费、交易手续费、注册登记费、信息披露费、账户服务费、审计费、律师费等费用，按照实际发生情况从产品中列支。</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（5）上述费用将按相关合同约定的时间和方式支付给收款方。</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（6）产品管理人有权根据市场情况等调整上述各项收费项目、收费条件、收费标准和收费方式，并至少于调整日之前2个工作日进行公告。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color w:val="000000"/>
                <w:sz w:val="18"/>
                <w:szCs w:val="18"/>
              </w:rPr>
              <w:t>理财赎回及到期安排</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瑞丰银行将于理财产品到期/终止日后2个工作日，根据实际投资结果向投资者一次性划付理财本金及收益（如有）。</w:t>
            </w:r>
          </w:p>
          <w:p>
            <w:pPr>
              <w:autoSpaceDE w:val="0"/>
              <w:autoSpaceDN w:val="0"/>
              <w:adjustRightInd w:val="0"/>
              <w:snapToGrid w:val="0"/>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到期/终止兑付金额=理财产品到期/终止时存续的理财产品份额×本理财产品到期/终止日的份额净值，金额计算保留到小数点后2位，小数点后第3位舍去。理财产品期满，瑞丰银行在收到托管人划付的足额理财利益（包括理财本金和理财收益，下同）后3个工作日内(如遇国家法定节假日顺延)将客户理财本金和应得收益自动划转至客户指定理财账户。理财产品到期日（含）到理财本金与收益返还到账日为还本清算期，还本清算期内不对本金和收益计付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sz w:val="18"/>
                <w:szCs w:val="18"/>
              </w:rPr>
              <w:t>产品提前终止</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在产品投资运作期间内，投资者无权要求提前终止该理财产品。理财产品管理人对外公告的提前终止日，为本理财产品的实际到期日。</w:t>
            </w:r>
          </w:p>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当出现以下情形之一时，管理人有权提前终止本产品：</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1、本理财产品存续期间理财产品资产净值低于</w:t>
            </w:r>
            <w:r>
              <w:rPr>
                <w:rFonts w:ascii="微软雅黑" w:hAnsi="微软雅黑" w:eastAsia="微软雅黑" w:cs="宋体"/>
                <w:sz w:val="18"/>
                <w:szCs w:val="18"/>
              </w:rPr>
              <w:t>100</w:t>
            </w:r>
            <w:r>
              <w:rPr>
                <w:rFonts w:hint="eastAsia" w:ascii="微软雅黑" w:hAnsi="微软雅黑" w:eastAsia="微软雅黑" w:cs="宋体"/>
                <w:sz w:val="18"/>
                <w:szCs w:val="18"/>
              </w:rPr>
              <w:t>万元人民币；</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2、在本理财产品存续期内，若国家相关法律、法规、监管规定出现重大变更或者其它突发事件引起金融市场情况出现重大变化以及其它原因导致管理人认为本理财产品已经不适合继续帮助投资者实现投资目标的，管理人判断提前终止理财产品可以最大程度保护投资者收益时可以提前终止本理财产品，但需至少提前10个工作日在管理人网站上做出公告；</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3、管理人因重大违法、违规行为，被银保监会取消业务资格；</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4、管理人因停业、解散、破产、撤销等原因不能履行相应职责；</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5、战争、自然灾害等不可抗力的发生导致本理财产品不能存续；</w:t>
            </w:r>
          </w:p>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6、法律法规和银保监会规定的其他情况。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olor w:val="000000"/>
                <w:sz w:val="18"/>
                <w:szCs w:val="18"/>
              </w:rPr>
              <w:t>其他事项</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1、认购期内按照活期存款利息计息，认购期内的利息不计入认购本金份额。</w:t>
            </w:r>
          </w:p>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2、为保证本理财产品到期后资金（如有）的正常兑付，投资者须确保购买本理财产品的理财资金账户正常有效。</w:t>
            </w:r>
          </w:p>
          <w:p>
            <w:pPr>
              <w:autoSpaceDE w:val="0"/>
              <w:autoSpaceDN w:val="0"/>
              <w:adjustRightInd w:val="0"/>
              <w:snapToGrid w:val="0"/>
              <w:spacing w:line="240" w:lineRule="exact"/>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3、若遇法院等有权机关对投资者的理财份额进行冻结、扣划的，管理人有权根据有权机关的要求执行，有权机关要求扣划理财份额的，管理人无需事先通知或经投资者同意，即有权按照当日净值直接赎回投资者的理财份额并按有权机关的要求执行扣划，由此导致的损失由投资者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收益分配及赎回测算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赎回价格计算方式</w:t>
            </w:r>
          </w:p>
        </w:tc>
        <w:tc>
          <w:tcPr>
            <w:tcW w:w="8016" w:type="dxa"/>
            <w:gridSpan w:val="3"/>
            <w:shd w:val="clear" w:color="auto" w:fill="auto"/>
            <w:vAlign w:val="center"/>
          </w:tcPr>
          <w:p>
            <w:pPr>
              <w:autoSpaceDE w:val="0"/>
              <w:autoSpaceDN w:val="0"/>
              <w:adjustRightInd w:val="0"/>
              <w:snapToGrid w:val="0"/>
              <w:spacing w:line="240" w:lineRule="exact"/>
              <w:jc w:val="center"/>
              <w:outlineLvl w:val="0"/>
              <w:rPr>
                <w:rFonts w:ascii="微软雅黑" w:hAnsi="微软雅黑" w:eastAsia="微软雅黑" w:cs="宋体"/>
                <w:sz w:val="18"/>
                <w:szCs w:val="18"/>
              </w:rPr>
            </w:pPr>
            <w:r>
              <w:rPr>
                <w:rFonts w:hint="eastAsia" w:ascii="微软雅黑" w:hAnsi="微软雅黑" w:eastAsia="微软雅黑" w:cs="宋体"/>
                <w:sz w:val="18"/>
                <w:szCs w:val="18"/>
              </w:rPr>
              <w:t>产品实际本金及收益＝认购份额×单位净值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假设条件</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理财金额10万元，则认购后理财份额为10万份，业绩比较基准为4.2%，期限为180天；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较好情形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假设产品运行较好，产品开放期扣除理财产品费用后，净值为1.0210元，该情形下：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产品该周期的客户收益=100000*（1.0210-1）=2100元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产品该周期实际年化收益=2100*365/180/100000=4.26%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一般情形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假设产品运行一般，产品开放期扣除理财产品费用后，净值为1.0207元，该情形下：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产品该周期的客户收益=100000*（1.0207-1）=2070元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产品该周期实际年化收益=2070*365/180/100000=4.20%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较差情形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假设产品运行较差，产品开放期扣除理财产品费用后，净值为1.0205元，该情形下：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产品该周期的客户收益=100000*（1.0205-1）=2050元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产品该周期实际年化收益=2050*365/180/100000=4.16%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极端情形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若市场发生重大变动或突发性事件等极端情况时，产品净值剧烈波动，客户有可能损失全部本金和收益。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s="宋体"/>
                <w:sz w:val="18"/>
                <w:szCs w:val="18"/>
              </w:rPr>
            </w:pPr>
            <w:r>
              <w:rPr>
                <w:rFonts w:hint="eastAsia" w:ascii="微软雅黑" w:hAnsi="微软雅黑" w:eastAsia="微软雅黑" w:cs="宋体"/>
                <w:sz w:val="18"/>
                <w:szCs w:val="18"/>
              </w:rPr>
              <w:t>备注</w:t>
            </w:r>
          </w:p>
        </w:tc>
        <w:tc>
          <w:tcPr>
            <w:tcW w:w="8016" w:type="dxa"/>
            <w:gridSpan w:val="3"/>
            <w:tcBorders>
              <w:bottom w:val="single" w:color="auto" w:sz="4" w:space="0"/>
            </w:tcBorders>
            <w:shd w:val="clear" w:color="auto" w:fill="auto"/>
            <w:vAlign w:val="center"/>
          </w:tcPr>
          <w:p>
            <w:pPr>
              <w:pBdr>
                <w:bottom w:val="none" w:color="auto" w:sz="0" w:space="0"/>
              </w:pBdr>
              <w:autoSpaceDE w:val="0"/>
              <w:autoSpaceDN w:val="0"/>
              <w:adjustRightInd w:val="0"/>
              <w:snapToGrid w:val="0"/>
              <w:spacing w:line="240" w:lineRule="exact"/>
              <w:ind w:firstLine="360" w:firstLineChars="200"/>
              <w:jc w:val="both"/>
              <w:outlineLvl w:val="0"/>
              <w:rPr>
                <w:rFonts w:ascii="微软雅黑" w:hAnsi="微软雅黑" w:eastAsia="微软雅黑" w:cs="宋体"/>
                <w:sz w:val="18"/>
                <w:szCs w:val="18"/>
              </w:rPr>
            </w:pPr>
            <w:r>
              <w:rPr>
                <w:rFonts w:hint="eastAsia" w:ascii="微软雅黑" w:hAnsi="微软雅黑" w:eastAsia="微软雅黑" w:cs="宋体"/>
                <w:sz w:val="18"/>
                <w:szCs w:val="18"/>
              </w:rPr>
              <w:t>上述示例采用假设的</w:t>
            </w:r>
            <w:r>
              <w:rPr>
                <w:rFonts w:hint="eastAsia" w:ascii="微软雅黑" w:hAnsi="微软雅黑" w:eastAsia="微软雅黑" w:cs="宋体"/>
                <w:b/>
                <w:sz w:val="18"/>
                <w:szCs w:val="18"/>
              </w:rPr>
              <w:t>模拟数据计算，测算收益不等于客户实际收益，投资须谨慎。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s="宋体"/>
                <w:sz w:val="18"/>
                <w:szCs w:val="18"/>
              </w:rPr>
            </w:pPr>
            <w:r>
              <w:rPr>
                <w:rFonts w:hint="eastAsia" w:ascii="微软雅黑" w:hAnsi="微软雅黑" w:eastAsia="微软雅黑" w:cs="宋体"/>
                <w:sz w:val="18"/>
                <w:szCs w:val="18"/>
              </w:rPr>
              <w:t>投资策略</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本产品采用安全性和流动性优先，追求适度收益的投资策略，在资产配置中一定比例投资银行存款、债券回购、短期融资券、金融债、央行票据及高信用级别的企业债、中期票据等固定收益类资产，在投资资产中将严格控制资产到期期限，以满足产品到期兑付的流动性要求。</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本理财产品募集资金、资产将与本行存款、资产相分离，并设立理财资金托管账户进行运作。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客户权益须知专页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rPr>
                <w:rFonts w:ascii="微软雅黑" w:hAnsi="微软雅黑" w:eastAsia="微软雅黑"/>
                <w:sz w:val="18"/>
                <w:szCs w:val="18"/>
              </w:rPr>
            </w:pPr>
            <w:r>
              <w:rPr>
                <w:rFonts w:hint="eastAsia" w:ascii="微软雅黑" w:hAnsi="微软雅黑" w:eastAsia="微软雅黑"/>
                <w:sz w:val="18"/>
                <w:szCs w:val="18"/>
              </w:rPr>
              <w:t>尊敬的瑞丰银行理财客户：</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非常感谢您购买瑞丰银行理财产品。理财投资在获取收益的同时存在投资风险，为了保护您的合法权益，请在认/申购理财产品前认真阅读以下内容，行使您在本业务项下的权利。</w:t>
            </w:r>
            <w:r>
              <w:rPr>
                <w:rFonts w:hint="eastAsia" w:ascii="微软雅黑" w:hAnsi="微软雅黑" w:eastAsia="微软雅黑"/>
                <w:b/>
                <w:sz w:val="18"/>
                <w:szCs w:val="18"/>
              </w:rPr>
              <w:t>本客户权益须知，是帮助您在购买理财产品前了解并清楚知晓产品办理流程，自身风险承受能力，适合购买理财产品类型，理财产品信息披露方式、渠道和频率，投诉方式和程序等的须知。</w:t>
            </w:r>
            <w:r>
              <w:rPr>
                <w:rFonts w:hint="eastAsia" w:ascii="微软雅黑" w:hAnsi="微软雅黑" w:eastAsia="微软雅黑"/>
                <w:sz w:val="18"/>
                <w:szCs w:val="18"/>
              </w:rPr>
              <w:t>本须知仅作为客户教育材料，其中涉及的本行服务内容和流程等如有变化，恕不另行通知，以相关法律法规、理财合同和本行的最新规定为准。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pacing w:line="240" w:lineRule="exact"/>
              <w:jc w:val="center"/>
              <w:rPr>
                <w:rFonts w:ascii="微软雅黑" w:hAnsi="微软雅黑" w:eastAsia="微软雅黑"/>
                <w:szCs w:val="21"/>
              </w:rPr>
            </w:pPr>
            <w:r>
              <w:rPr>
                <w:rFonts w:hint="eastAsia" w:ascii="微软雅黑" w:hAnsi="微软雅黑" w:eastAsia="微软雅黑"/>
                <w:b/>
                <w:szCs w:val="21"/>
              </w:rPr>
              <w:t>客户办理流程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ascii="微软雅黑" w:hAnsi="微软雅黑" w:eastAsia="微软雅黑"/>
                <w:sz w:val="18"/>
                <w:szCs w:val="18"/>
              </w:rPr>
              <w:t>1.1</w:t>
            </w:r>
            <w:r>
              <w:rPr>
                <w:rFonts w:hint="eastAsia" w:ascii="微软雅黑" w:hAnsi="微软雅黑" w:eastAsia="微软雅黑"/>
                <w:sz w:val="18"/>
                <w:szCs w:val="18"/>
              </w:rPr>
              <w:t>个人客户</w:t>
            </w:r>
            <w:r>
              <w:rPr>
                <w:rFonts w:ascii="微软雅黑" w:hAnsi="微软雅黑" w:eastAsia="微软雅黑"/>
                <w:sz w:val="18"/>
                <w:szCs w:val="18"/>
              </w:rPr>
              <w:tab/>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持本人有效身份证件，开立或持有本行借记卡或个人结算存折，并存有足额认</w:t>
            </w:r>
            <w:r>
              <w:rPr>
                <w:rFonts w:ascii="微软雅黑" w:hAnsi="微软雅黑" w:eastAsia="微软雅黑"/>
                <w:sz w:val="18"/>
                <w:szCs w:val="18"/>
              </w:rPr>
              <w:t>/</w:t>
            </w:r>
            <w:r>
              <w:rPr>
                <w:rFonts w:hint="eastAsia" w:ascii="微软雅黑" w:hAnsi="微软雅黑" w:eastAsia="微软雅黑"/>
                <w:sz w:val="18"/>
                <w:szCs w:val="18"/>
              </w:rPr>
              <w:t>申购金额；</w:t>
            </w:r>
            <w:r>
              <w:rPr>
                <w:rFonts w:ascii="微软雅黑" w:hAnsi="微软雅黑" w:eastAsia="微软雅黑"/>
                <w:sz w:val="18"/>
                <w:szCs w:val="18"/>
              </w:rPr>
              <w:t>(2)</w:t>
            </w:r>
            <w:r>
              <w:rPr>
                <w:rFonts w:hint="eastAsia" w:ascii="微软雅黑" w:hAnsi="微软雅黑" w:eastAsia="微软雅黑"/>
                <w:sz w:val="18"/>
                <w:szCs w:val="18"/>
              </w:rPr>
              <w:t>完成理财客户签约交易，并完成本行对您的风险承受能力评估，根据评估结果选择适合的产品；</w:t>
            </w:r>
            <w:r>
              <w:rPr>
                <w:rFonts w:ascii="微软雅黑" w:hAnsi="微软雅黑" w:eastAsia="微软雅黑"/>
                <w:sz w:val="18"/>
                <w:szCs w:val="18"/>
              </w:rPr>
              <w:t>(3)</w:t>
            </w:r>
            <w:r>
              <w:rPr>
                <w:rFonts w:hint="eastAsia" w:ascii="微软雅黑" w:hAnsi="微软雅黑" w:eastAsia="微软雅黑"/>
                <w:sz w:val="18"/>
                <w:szCs w:val="18"/>
              </w:rPr>
              <w:t>仔细阅读本《理财产品说明书、风险揭示书及客户权益须知》及其他销售文件</w:t>
            </w:r>
            <w:r>
              <w:rPr>
                <w:rFonts w:ascii="微软雅黑" w:hAnsi="微软雅黑" w:eastAsia="微软雅黑"/>
                <w:sz w:val="18"/>
                <w:szCs w:val="18"/>
              </w:rPr>
              <w:t>(</w:t>
            </w:r>
            <w:r>
              <w:rPr>
                <w:rFonts w:hint="eastAsia" w:ascii="微软雅黑" w:hAnsi="微软雅黑" w:eastAsia="微软雅黑"/>
                <w:sz w:val="18"/>
                <w:szCs w:val="18"/>
              </w:rPr>
              <w:t>如有</w:t>
            </w:r>
            <w:r>
              <w:rPr>
                <w:rFonts w:ascii="微软雅黑" w:hAnsi="微软雅黑" w:eastAsia="微软雅黑"/>
                <w:sz w:val="18"/>
                <w:szCs w:val="18"/>
              </w:rPr>
              <w:t>)</w:t>
            </w:r>
            <w:r>
              <w:rPr>
                <w:rFonts w:hint="eastAsia" w:ascii="微软雅黑" w:hAnsi="微软雅黑" w:eastAsia="微软雅黑"/>
                <w:sz w:val="18"/>
                <w:szCs w:val="18"/>
              </w:rPr>
              <w:t>，确定已同意相关内容、充分了解相关风险并且无疑问和异议后，办理理财产品的认</w:t>
            </w:r>
            <w:r>
              <w:rPr>
                <w:rFonts w:ascii="微软雅黑" w:hAnsi="微软雅黑" w:eastAsia="微软雅黑"/>
                <w:sz w:val="18"/>
                <w:szCs w:val="18"/>
              </w:rPr>
              <w:t>/</w:t>
            </w:r>
            <w:r>
              <w:rPr>
                <w:rFonts w:hint="eastAsia" w:ascii="微软雅黑" w:hAnsi="微软雅黑" w:eastAsia="微软雅黑"/>
                <w:sz w:val="18"/>
                <w:szCs w:val="18"/>
              </w:rPr>
              <w:t>申购手续；</w:t>
            </w:r>
            <w:r>
              <w:rPr>
                <w:rFonts w:ascii="微软雅黑" w:hAnsi="微软雅黑" w:eastAsia="微软雅黑"/>
                <w:sz w:val="18"/>
                <w:szCs w:val="18"/>
              </w:rPr>
              <w:t>(4)</w:t>
            </w:r>
            <w:r>
              <w:rPr>
                <w:rFonts w:hint="eastAsia" w:ascii="微软雅黑" w:hAnsi="微软雅黑" w:eastAsia="微软雅黑"/>
                <w:sz w:val="18"/>
                <w:szCs w:val="18"/>
              </w:rPr>
              <w:t>对本行营业网点打印或者网上银行等电子渠道显示的交易内容进行确认，签署并提交理财合同等销售文件；</w:t>
            </w:r>
            <w:r>
              <w:rPr>
                <w:rFonts w:ascii="微软雅黑" w:hAnsi="微软雅黑" w:eastAsia="微软雅黑"/>
                <w:sz w:val="18"/>
                <w:szCs w:val="18"/>
              </w:rPr>
              <w:t>(5)</w:t>
            </w:r>
            <w:r>
              <w:rPr>
                <w:rFonts w:hint="eastAsia" w:ascii="微软雅黑" w:hAnsi="微软雅黑" w:eastAsia="微软雅黑"/>
                <w:sz w:val="18"/>
                <w:szCs w:val="18"/>
              </w:rPr>
              <w:t>本行营业网点或者网上银行等电子渠道均可办理理财产品的认</w:t>
            </w:r>
            <w:r>
              <w:rPr>
                <w:rFonts w:ascii="微软雅黑" w:hAnsi="微软雅黑" w:eastAsia="微软雅黑"/>
                <w:sz w:val="18"/>
                <w:szCs w:val="18"/>
              </w:rPr>
              <w:t>/</w:t>
            </w:r>
            <w:r>
              <w:rPr>
                <w:rFonts w:hint="eastAsia" w:ascii="微软雅黑" w:hAnsi="微软雅黑" w:eastAsia="微软雅黑"/>
                <w:sz w:val="18"/>
                <w:szCs w:val="18"/>
              </w:rPr>
              <w:t>申购手续，但对于各具体理财产品，本行将自行确定发售渠道。</w:t>
            </w:r>
          </w:p>
          <w:p>
            <w:pPr>
              <w:ind w:firstLine="360" w:firstLineChars="200"/>
              <w:rPr>
                <w:rFonts w:ascii="微软雅黑" w:hAnsi="微软雅黑" w:eastAsia="微软雅黑"/>
                <w:sz w:val="18"/>
                <w:szCs w:val="18"/>
              </w:rPr>
            </w:pPr>
            <w:r>
              <w:rPr>
                <w:rFonts w:ascii="微软雅黑" w:hAnsi="微软雅黑" w:eastAsia="微软雅黑"/>
                <w:sz w:val="18"/>
                <w:szCs w:val="18"/>
              </w:rPr>
              <w:t>1.2</w:t>
            </w:r>
            <w:r>
              <w:rPr>
                <w:rFonts w:hint="eastAsia" w:ascii="微软雅黑" w:hAnsi="微软雅黑" w:eastAsia="微软雅黑"/>
                <w:sz w:val="18"/>
                <w:szCs w:val="18"/>
              </w:rPr>
              <w:t>机构客户</w:t>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开立或持有本行结算账户；</w:t>
            </w:r>
            <w:r>
              <w:rPr>
                <w:rFonts w:ascii="微软雅黑" w:hAnsi="微软雅黑" w:eastAsia="微软雅黑"/>
                <w:sz w:val="18"/>
                <w:szCs w:val="18"/>
              </w:rPr>
              <w:t>(2)</w:t>
            </w:r>
            <w:r>
              <w:rPr>
                <w:rFonts w:hint="eastAsia" w:ascii="微软雅黑" w:hAnsi="微软雅黑" w:eastAsia="微软雅黑"/>
                <w:sz w:val="18"/>
                <w:szCs w:val="18"/>
              </w:rPr>
              <w:t>法定代表人持营业执照（正本或副本）或组织机构代码证、法定代表人本人有效身份证件，按法律或章程规定需有权机构授权的则提供相应的授权书。由非法定代表人亲自办理的，授权代理人还需持法定代表人授权委托书及授权代理人（经办人）有效身份证件；</w:t>
            </w:r>
            <w:r>
              <w:rPr>
                <w:rFonts w:ascii="微软雅黑" w:hAnsi="微软雅黑" w:eastAsia="微软雅黑"/>
                <w:sz w:val="18"/>
                <w:szCs w:val="18"/>
              </w:rPr>
              <w:t>(3)</w:t>
            </w:r>
            <w:r>
              <w:rPr>
                <w:rFonts w:hint="eastAsia" w:ascii="微软雅黑" w:hAnsi="微软雅黑" w:eastAsia="微软雅黑"/>
                <w:sz w:val="18"/>
                <w:szCs w:val="18"/>
              </w:rPr>
              <w:t>完成理财客户签约交易；</w:t>
            </w:r>
            <w:r>
              <w:rPr>
                <w:rFonts w:ascii="微软雅黑" w:hAnsi="微软雅黑" w:eastAsia="微软雅黑"/>
                <w:sz w:val="18"/>
                <w:szCs w:val="18"/>
              </w:rPr>
              <w:t>(4)</w:t>
            </w:r>
            <w:r>
              <w:rPr>
                <w:rFonts w:hint="eastAsia" w:ascii="微软雅黑" w:hAnsi="微软雅黑" w:eastAsia="微软雅黑"/>
                <w:sz w:val="18"/>
                <w:szCs w:val="18"/>
              </w:rPr>
              <w:t>仔细阅读本《理财产品说明书、风险揭示书及客户权益须知》及其他销售文件</w:t>
            </w:r>
            <w:r>
              <w:rPr>
                <w:rFonts w:ascii="微软雅黑" w:hAnsi="微软雅黑" w:eastAsia="微软雅黑"/>
                <w:sz w:val="18"/>
                <w:szCs w:val="18"/>
              </w:rPr>
              <w:t>(</w:t>
            </w:r>
            <w:r>
              <w:rPr>
                <w:rFonts w:hint="eastAsia" w:ascii="微软雅黑" w:hAnsi="微软雅黑" w:eastAsia="微软雅黑"/>
                <w:sz w:val="18"/>
                <w:szCs w:val="18"/>
              </w:rPr>
              <w:t>如有</w:t>
            </w:r>
            <w:r>
              <w:rPr>
                <w:rFonts w:ascii="微软雅黑" w:hAnsi="微软雅黑" w:eastAsia="微软雅黑"/>
                <w:sz w:val="18"/>
                <w:szCs w:val="18"/>
              </w:rPr>
              <w:t>)</w:t>
            </w:r>
            <w:r>
              <w:rPr>
                <w:rFonts w:hint="eastAsia" w:ascii="微软雅黑" w:hAnsi="微软雅黑" w:eastAsia="微软雅黑"/>
                <w:sz w:val="18"/>
                <w:szCs w:val="18"/>
              </w:rPr>
              <w:t>，确定已同意相关内容、充分了解相关风险并且无疑问和异议后，办理理财产品的认</w:t>
            </w:r>
            <w:r>
              <w:rPr>
                <w:rFonts w:ascii="微软雅黑" w:hAnsi="微软雅黑" w:eastAsia="微软雅黑"/>
                <w:sz w:val="18"/>
                <w:szCs w:val="18"/>
              </w:rPr>
              <w:t>/</w:t>
            </w:r>
            <w:r>
              <w:rPr>
                <w:rFonts w:hint="eastAsia" w:ascii="微软雅黑" w:hAnsi="微软雅黑" w:eastAsia="微软雅黑"/>
                <w:sz w:val="18"/>
                <w:szCs w:val="18"/>
              </w:rPr>
              <w:t>申购手续；</w:t>
            </w:r>
            <w:r>
              <w:rPr>
                <w:rFonts w:ascii="微软雅黑" w:hAnsi="微软雅黑" w:eastAsia="微软雅黑"/>
                <w:sz w:val="18"/>
                <w:szCs w:val="18"/>
              </w:rPr>
              <w:t>(5)</w:t>
            </w:r>
            <w:r>
              <w:rPr>
                <w:rFonts w:hint="eastAsia" w:ascii="微软雅黑" w:hAnsi="微软雅黑" w:eastAsia="微软雅黑"/>
                <w:sz w:val="18"/>
                <w:szCs w:val="18"/>
              </w:rPr>
              <w:t>由机构客户经办人对本行营业网点打印或者网上银行等电子渠道显示的交易内容进行确认，签署并提交理财合同等销售文件；</w:t>
            </w:r>
            <w:r>
              <w:rPr>
                <w:rFonts w:ascii="微软雅黑" w:hAnsi="微软雅黑" w:eastAsia="微软雅黑"/>
                <w:sz w:val="18"/>
                <w:szCs w:val="18"/>
              </w:rPr>
              <w:t>(6)</w:t>
            </w:r>
            <w:r>
              <w:rPr>
                <w:rFonts w:hint="eastAsia" w:ascii="微软雅黑" w:hAnsi="微软雅黑" w:eastAsia="微软雅黑"/>
                <w:sz w:val="18"/>
                <w:szCs w:val="18"/>
              </w:rPr>
              <w:t>本行营业网点或者网上银行等电子渠道均可办理理财产品的认</w:t>
            </w:r>
            <w:r>
              <w:rPr>
                <w:rFonts w:ascii="微软雅黑" w:hAnsi="微软雅黑" w:eastAsia="微软雅黑"/>
                <w:sz w:val="18"/>
                <w:szCs w:val="18"/>
              </w:rPr>
              <w:t>/</w:t>
            </w:r>
            <w:r>
              <w:rPr>
                <w:rFonts w:hint="eastAsia" w:ascii="微软雅黑" w:hAnsi="微软雅黑" w:eastAsia="微软雅黑"/>
                <w:sz w:val="18"/>
                <w:szCs w:val="18"/>
              </w:rPr>
              <w:t>申购手续，但对于各具体理财产品，本行将自行确定发售渠道。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szCs w:val="21"/>
              </w:rPr>
            </w:pPr>
            <w:r>
              <w:rPr>
                <w:rFonts w:hint="eastAsia" w:ascii="微软雅黑" w:hAnsi="微软雅黑" w:eastAsia="微软雅黑"/>
                <w:b/>
                <w:szCs w:val="21"/>
              </w:rPr>
              <w:t>客户风险承受能力评估流程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ascii="微软雅黑" w:hAnsi="微软雅黑" w:eastAsia="微软雅黑"/>
                <w:sz w:val="18"/>
                <w:szCs w:val="18"/>
              </w:rPr>
              <w:t>2.1</w:t>
            </w:r>
            <w:r>
              <w:rPr>
                <w:rFonts w:hint="eastAsia" w:ascii="微软雅黑" w:hAnsi="微软雅黑" w:eastAsia="微软雅黑"/>
                <w:sz w:val="18"/>
                <w:szCs w:val="18"/>
              </w:rPr>
              <w:t>个人客户</w:t>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评估场所：首次在本行认</w:t>
            </w:r>
            <w:r>
              <w:rPr>
                <w:rFonts w:ascii="微软雅黑" w:hAnsi="微软雅黑" w:eastAsia="微软雅黑"/>
                <w:sz w:val="18"/>
                <w:szCs w:val="18"/>
              </w:rPr>
              <w:t>/</w:t>
            </w:r>
            <w:r>
              <w:rPr>
                <w:rFonts w:hint="eastAsia" w:ascii="微软雅黑" w:hAnsi="微软雅黑" w:eastAsia="微软雅黑"/>
                <w:sz w:val="18"/>
                <w:szCs w:val="18"/>
              </w:rPr>
              <w:t>申购理财产品的，您需亲自至本行营业网点接受风险承受能力评估；</w:t>
            </w:r>
            <w:r>
              <w:rPr>
                <w:rFonts w:ascii="微软雅黑" w:hAnsi="微软雅黑" w:eastAsia="微软雅黑"/>
                <w:sz w:val="18"/>
                <w:szCs w:val="18"/>
              </w:rPr>
              <w:t>(2)</w:t>
            </w:r>
            <w:r>
              <w:rPr>
                <w:rFonts w:hint="eastAsia" w:ascii="微软雅黑" w:hAnsi="微软雅黑" w:eastAsia="微软雅黑"/>
                <w:sz w:val="18"/>
                <w:szCs w:val="18"/>
              </w:rPr>
              <w:t>评估流程：填写《瑞丰银行理财客户风险评估问卷》，经您和评估人员双方确认后，由本行将评估结果录入系统；</w:t>
            </w:r>
            <w:r>
              <w:rPr>
                <w:rFonts w:ascii="微软雅黑" w:hAnsi="微软雅黑" w:eastAsia="微软雅黑"/>
                <w:sz w:val="18"/>
                <w:szCs w:val="18"/>
              </w:rPr>
              <w:t>(3)</w:t>
            </w:r>
            <w:r>
              <w:rPr>
                <w:rFonts w:hint="eastAsia" w:ascii="微软雅黑" w:hAnsi="微软雅黑" w:eastAsia="微软雅黑"/>
                <w:sz w:val="18"/>
                <w:szCs w:val="18"/>
              </w:rPr>
              <w:t>客户风险承受能力评级：本行根据客户的财务状况、投资经验、投资风格、风险承受能力等因素设计评估问卷并确定评估标准后，将客户的风险承受能力分为五级，按照风险承受能力从低到高的顺序依次为：保守型、谨慎型、稳健型、进取型、激进型；</w:t>
            </w:r>
            <w:r>
              <w:rPr>
                <w:rFonts w:ascii="微软雅黑" w:hAnsi="微软雅黑" w:eastAsia="微软雅黑"/>
                <w:sz w:val="18"/>
                <w:szCs w:val="18"/>
              </w:rPr>
              <w:t>(4)</w:t>
            </w:r>
            <w:r>
              <w:rPr>
                <w:rFonts w:hint="eastAsia" w:ascii="微软雅黑" w:hAnsi="微软雅黑" w:eastAsia="微软雅黑"/>
                <w:sz w:val="18"/>
                <w:szCs w:val="18"/>
              </w:rPr>
              <w:t>理财产品风险等级：本行根据自身管理制度和要求及其确定的内部标准，将理财产品的风险等级分为五级，按照产品风险从低到高的顺序依次为：</w:t>
            </w:r>
            <w:r>
              <w:rPr>
                <w:rFonts w:ascii="微软雅黑" w:hAnsi="微软雅黑" w:eastAsia="微软雅黑"/>
                <w:sz w:val="18"/>
                <w:szCs w:val="18"/>
              </w:rPr>
              <w:t xml:space="preserve"> PR1</w:t>
            </w:r>
            <w:r>
              <w:rPr>
                <w:rFonts w:hint="eastAsia" w:ascii="微软雅黑" w:hAnsi="微软雅黑" w:eastAsia="微软雅黑"/>
                <w:sz w:val="18"/>
                <w:szCs w:val="18"/>
              </w:rPr>
              <w:t>级（低风险级）、</w:t>
            </w:r>
            <w:r>
              <w:rPr>
                <w:rFonts w:ascii="微软雅黑" w:hAnsi="微软雅黑" w:eastAsia="微软雅黑"/>
                <w:sz w:val="18"/>
                <w:szCs w:val="18"/>
              </w:rPr>
              <w:t>PR2</w:t>
            </w:r>
            <w:r>
              <w:rPr>
                <w:rFonts w:hint="eastAsia" w:ascii="微软雅黑" w:hAnsi="微软雅黑" w:eastAsia="微软雅黑"/>
                <w:sz w:val="18"/>
                <w:szCs w:val="18"/>
              </w:rPr>
              <w:t>级（中低风险级）、</w:t>
            </w:r>
            <w:r>
              <w:rPr>
                <w:rFonts w:ascii="微软雅黑" w:hAnsi="微软雅黑" w:eastAsia="微软雅黑"/>
                <w:sz w:val="18"/>
                <w:szCs w:val="18"/>
              </w:rPr>
              <w:t>PR3</w:t>
            </w:r>
            <w:r>
              <w:rPr>
                <w:rFonts w:hint="eastAsia" w:ascii="微软雅黑" w:hAnsi="微软雅黑" w:eastAsia="微软雅黑"/>
                <w:sz w:val="18"/>
                <w:szCs w:val="18"/>
              </w:rPr>
              <w:t>级（中等风险级）、</w:t>
            </w:r>
            <w:r>
              <w:rPr>
                <w:rFonts w:ascii="微软雅黑" w:hAnsi="微软雅黑" w:eastAsia="微软雅黑"/>
                <w:sz w:val="18"/>
                <w:szCs w:val="18"/>
              </w:rPr>
              <w:t>PR4</w:t>
            </w:r>
            <w:r>
              <w:rPr>
                <w:rFonts w:hint="eastAsia" w:ascii="微软雅黑" w:hAnsi="微软雅黑" w:eastAsia="微软雅黑"/>
                <w:sz w:val="18"/>
                <w:szCs w:val="18"/>
              </w:rPr>
              <w:t>级（中高风险级）、</w:t>
            </w:r>
            <w:r>
              <w:rPr>
                <w:rFonts w:ascii="微软雅黑" w:hAnsi="微软雅黑" w:eastAsia="微软雅黑"/>
                <w:sz w:val="18"/>
                <w:szCs w:val="18"/>
              </w:rPr>
              <w:t>PR5</w:t>
            </w:r>
            <w:r>
              <w:rPr>
                <w:rFonts w:hint="eastAsia" w:ascii="微软雅黑" w:hAnsi="微软雅黑" w:eastAsia="微软雅黑"/>
                <w:sz w:val="18"/>
                <w:szCs w:val="18"/>
              </w:rPr>
              <w:t>级（高风险级）；</w:t>
            </w:r>
            <w:r>
              <w:rPr>
                <w:rFonts w:ascii="微软雅黑" w:hAnsi="微软雅黑" w:eastAsia="微软雅黑"/>
                <w:sz w:val="18"/>
                <w:szCs w:val="18"/>
              </w:rPr>
              <w:t>(5)</w:t>
            </w:r>
            <w:r>
              <w:rPr>
                <w:rFonts w:hint="eastAsia" w:ascii="微软雅黑" w:hAnsi="微软雅黑" w:eastAsia="微软雅黑"/>
                <w:sz w:val="18"/>
                <w:szCs w:val="18"/>
              </w:rPr>
              <w:t>客户风险承受能力与适合购买的理财产品的对应关系为：保守型</w:t>
            </w:r>
            <w:r>
              <w:rPr>
                <w:rFonts w:ascii="微软雅黑" w:hAnsi="微软雅黑" w:eastAsia="微软雅黑"/>
                <w:sz w:val="18"/>
                <w:szCs w:val="18"/>
              </w:rPr>
              <w:t>——PR1</w:t>
            </w:r>
            <w:r>
              <w:rPr>
                <w:rFonts w:hint="eastAsia" w:ascii="微软雅黑" w:hAnsi="微软雅黑" w:eastAsia="微软雅黑"/>
                <w:sz w:val="18"/>
                <w:szCs w:val="18"/>
              </w:rPr>
              <w:t>级；谨慎型</w:t>
            </w:r>
            <w:r>
              <w:rPr>
                <w:rFonts w:ascii="微软雅黑" w:hAnsi="微软雅黑" w:eastAsia="微软雅黑"/>
                <w:sz w:val="18"/>
                <w:szCs w:val="18"/>
              </w:rPr>
              <w:t>——PR2</w:t>
            </w:r>
            <w:r>
              <w:rPr>
                <w:rFonts w:hint="eastAsia" w:ascii="微软雅黑" w:hAnsi="微软雅黑" w:eastAsia="微软雅黑"/>
                <w:sz w:val="18"/>
                <w:szCs w:val="18"/>
              </w:rPr>
              <w:t>级（含）以下；稳健型</w:t>
            </w:r>
            <w:r>
              <w:rPr>
                <w:rFonts w:ascii="微软雅黑" w:hAnsi="微软雅黑" w:eastAsia="微软雅黑"/>
                <w:sz w:val="18"/>
                <w:szCs w:val="18"/>
              </w:rPr>
              <w:t>——PR3</w:t>
            </w:r>
            <w:r>
              <w:rPr>
                <w:rFonts w:hint="eastAsia" w:ascii="微软雅黑" w:hAnsi="微软雅黑" w:eastAsia="微软雅黑"/>
                <w:sz w:val="18"/>
                <w:szCs w:val="18"/>
              </w:rPr>
              <w:t>级（含）以下、进取型</w:t>
            </w:r>
            <w:r>
              <w:rPr>
                <w:rFonts w:ascii="微软雅黑" w:hAnsi="微软雅黑" w:eastAsia="微软雅黑"/>
                <w:sz w:val="18"/>
                <w:szCs w:val="18"/>
              </w:rPr>
              <w:t>——PR4</w:t>
            </w:r>
            <w:r>
              <w:rPr>
                <w:rFonts w:hint="eastAsia" w:ascii="微软雅黑" w:hAnsi="微软雅黑" w:eastAsia="微软雅黑"/>
                <w:sz w:val="18"/>
                <w:szCs w:val="18"/>
              </w:rPr>
              <w:t>级（含）以下；激进型</w:t>
            </w:r>
            <w:r>
              <w:rPr>
                <w:rFonts w:ascii="微软雅黑" w:hAnsi="微软雅黑" w:eastAsia="微软雅黑"/>
                <w:sz w:val="18"/>
                <w:szCs w:val="18"/>
              </w:rPr>
              <w:t>——PR5</w:t>
            </w:r>
            <w:r>
              <w:rPr>
                <w:rFonts w:hint="eastAsia" w:ascii="微软雅黑" w:hAnsi="微软雅黑" w:eastAsia="微软雅黑"/>
                <w:sz w:val="18"/>
                <w:szCs w:val="18"/>
              </w:rPr>
              <w:t>级（含）以下；</w:t>
            </w:r>
            <w:r>
              <w:rPr>
                <w:rFonts w:ascii="微软雅黑" w:hAnsi="微软雅黑" w:eastAsia="微软雅黑"/>
                <w:sz w:val="18"/>
                <w:szCs w:val="18"/>
              </w:rPr>
              <w:t>(6)</w:t>
            </w:r>
            <w:r>
              <w:rPr>
                <w:rFonts w:hint="eastAsia" w:ascii="微软雅黑" w:hAnsi="微软雅黑" w:eastAsia="微软雅黑"/>
                <w:sz w:val="18"/>
                <w:szCs w:val="18"/>
              </w:rPr>
              <w:t>如果您超过一年未在本行进行风险承受能力评估，或者发生影响您自身风险承受能力的情况，请在再次认</w:t>
            </w:r>
            <w:r>
              <w:rPr>
                <w:rFonts w:ascii="微软雅黑" w:hAnsi="微软雅黑" w:eastAsia="微软雅黑"/>
                <w:sz w:val="18"/>
                <w:szCs w:val="18"/>
              </w:rPr>
              <w:t>/</w:t>
            </w:r>
            <w:r>
              <w:rPr>
                <w:rFonts w:hint="eastAsia" w:ascii="微软雅黑" w:hAnsi="微软雅黑" w:eastAsia="微软雅黑"/>
                <w:sz w:val="18"/>
                <w:szCs w:val="18"/>
              </w:rPr>
              <w:t>申购理财产品前主动要求及接受本行对您再次进行风险承受能力评估。</w:t>
            </w:r>
          </w:p>
          <w:p>
            <w:pPr>
              <w:ind w:firstLine="360" w:firstLineChars="200"/>
              <w:rPr>
                <w:rFonts w:ascii="微软雅黑" w:hAnsi="微软雅黑" w:eastAsia="微软雅黑"/>
                <w:sz w:val="18"/>
                <w:szCs w:val="18"/>
              </w:rPr>
            </w:pPr>
            <w:r>
              <w:rPr>
                <w:rFonts w:ascii="微软雅黑" w:hAnsi="微软雅黑" w:eastAsia="微软雅黑"/>
                <w:sz w:val="18"/>
                <w:szCs w:val="18"/>
              </w:rPr>
              <w:t>2.2</w:t>
            </w:r>
            <w:r>
              <w:rPr>
                <w:rFonts w:hint="eastAsia" w:ascii="微软雅黑" w:hAnsi="微软雅黑" w:eastAsia="微软雅黑"/>
                <w:sz w:val="18"/>
                <w:szCs w:val="18"/>
              </w:rPr>
              <w:t>机构客户</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机构客户请根据自身的财务状况、投资经验、投资目标、风险认知、风险判断及其他因素综合考量理财产品的投资风险及自身的风险承受能力，本行不再进行风险承受能力评估。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信息披露的方式、渠道和频率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hint="eastAsia" w:ascii="微软雅黑" w:hAnsi="微软雅黑" w:eastAsia="微软雅黑"/>
                <w:sz w:val="18"/>
                <w:szCs w:val="18"/>
              </w:rPr>
              <w:t>3.1本行将以下述至少一种方式和渠道进行信息披露：</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(1)在本行官方网站（</w:t>
            </w:r>
            <w:r>
              <w:fldChar w:fldCharType="begin"/>
            </w:r>
            <w:r>
              <w:instrText xml:space="preserve"> HYPERLINK "http://www.borf.cn/" </w:instrText>
            </w:r>
            <w:r>
              <w:fldChar w:fldCharType="separate"/>
            </w:r>
            <w:r>
              <w:rPr>
                <w:rFonts w:ascii="微软雅黑" w:hAnsi="微软雅黑" w:eastAsia="微软雅黑"/>
                <w:sz w:val="18"/>
                <w:szCs w:val="18"/>
              </w:rPr>
              <w:t>http://www.borf.cn/</w:t>
            </w:r>
            <w:r>
              <w:rPr>
                <w:rFonts w:ascii="微软雅黑" w:hAnsi="微软雅黑" w:eastAsia="微软雅黑"/>
                <w:sz w:val="18"/>
                <w:szCs w:val="18"/>
              </w:rPr>
              <w:fldChar w:fldCharType="end"/>
            </w:r>
            <w:r>
              <w:rPr>
                <w:rFonts w:hint="eastAsia" w:ascii="微软雅黑" w:hAnsi="微软雅黑" w:eastAsia="微软雅黑"/>
                <w:sz w:val="18"/>
                <w:szCs w:val="18"/>
              </w:rPr>
              <w:t>）发布公告；(2)在本行营业网点发布公告；(3)通过网上银行等电子渠道查询或公告形式进行披露；(4)通过与客户书面约定的其他方式进行披露。</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协议约定本行官方网站作为信息披露主要方式及渠道点，客户签署本协议即默认为确认本行官方网站为默认信息披露渠道。</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3.2信息披露的内容和频率：</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(1)如果市场发生重大变化导致理财产品所投资的各项金融工具的实际投资比例暂时超出产品合约约定的浮动区间且可能对客户收益产生重大影响，本行将按照约定进行披露；(2)如果本行根据市场情况调整投资范围、投资品种或者超出产品合约约定的浮动区间调整投资比例，则本行将按照约定进行披露；(3)如果本行根据相关法律和国家政策规定，需要对理财合同已约定的收费项目、条件、标准或方式进行调整，则本行将按照约定进行披露；(4)在理财产品到期日(或本行提前终止日)后一定期间内(具体期限以理财合同为准)，本行将按照上述信息披露方式向客户提供一次理财计划清算报告，对理财产品资产的投资概况、收益状况和理财产品分配情况做出说明。(5)本行将按照理财合同的约定披露其他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客户投诉的方式和程序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vAlign w:val="center"/>
          </w:tcPr>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如您对本行理财产品或服务有任何疑问、意见或建议，均可联系本行理财经理或反馈至本行营业网点，也可致电本行全国统一客户服务热线：40088-96596。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本行联系方式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auto"/>
            <w:vAlign w:val="center"/>
          </w:tcPr>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网址：</w:t>
            </w:r>
            <w:r>
              <w:fldChar w:fldCharType="begin"/>
            </w:r>
            <w:r>
              <w:instrText xml:space="preserve"> HYPERLINK "http://www.borf.cn/" </w:instrText>
            </w:r>
            <w:r>
              <w:fldChar w:fldCharType="separate"/>
            </w:r>
            <w:r>
              <w:rPr>
                <w:rFonts w:ascii="Arial" w:hAnsi="Arial" w:eastAsia="Arial Unicode MS" w:cs="Arial"/>
                <w:sz w:val="18"/>
                <w:szCs w:val="18"/>
              </w:rPr>
              <w:t>http://www.borf.cn/</w:t>
            </w:r>
            <w:r>
              <w:rPr>
                <w:rFonts w:ascii="Arial" w:hAnsi="Arial" w:eastAsia="Arial Unicode MS" w:cs="Arial"/>
                <w:sz w:val="18"/>
                <w:szCs w:val="18"/>
              </w:rPr>
              <w:fldChar w:fldCharType="end"/>
            </w:r>
            <w:r>
              <w:rPr>
                <w:rFonts w:hint="eastAsia" w:ascii="微软雅黑" w:hAnsi="微软雅黑" w:eastAsia="微软雅黑"/>
                <w:sz w:val="18"/>
                <w:szCs w:val="18"/>
              </w:rPr>
              <w:t>客户服务热线：0575-81105384</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联系地址：绍兴市柯桥区笛扬路1363号瑞丰大厦邮编：312030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特别申明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FFFFFF"/>
            <w:vAlign w:val="center"/>
          </w:tcPr>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1、若客户对本《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》内容有任何疑问，请向瑞丰银行销售人员咨询，本理财产品只根据本《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》所载事项操作。</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2、本《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》与《瑞丰银行理财产品总协议书》、《瑞丰银行理财业务协议书》为不可分割之组成部分, 客户购买本理财产品需仔细阅读本《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》与《瑞丰银行理财产品总协议书》并签字确认。</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3、本期人民币理财产品业绩比较基准仅供客户参考，并不作为瑞丰银行向客户支付理财收益的承诺；客户所能获得的最终收益以瑞丰银行实际支付的为准。</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4、客户应密切关注瑞丰银行与本理财产品有关的信息公告，以免造成不必要的损失。</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5、根据《中国银行保险监督管理委员会办公厅关于进一步做好银行理财信息登记工作有关事项的通知》的规定，客户持有理财产品期间，销售银行需持续向银行业理财登记托管中心（以下简称理财中心）报送客户身份信息及持有理财产品信息，包括但不限于客户证件号码、名称、性别、手机号码、邮箱、持有产品登记编码、持有份额、持有金额等信息。客户签署本协议书则被视为已授权销售银行向理财中心报送上述信息。通过电子渠道办理理财产品认购或申购的，一经认购或申购，则被视为已授权销售银行向理财中心报送上述信息。</w:t>
            </w:r>
          </w:p>
          <w:p>
            <w:pPr>
              <w:autoSpaceDE w:val="0"/>
              <w:autoSpaceDN w:val="0"/>
              <w:adjustRightInd w:val="0"/>
              <w:snapToGrid w:val="0"/>
              <w:spacing w:line="240" w:lineRule="exact"/>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6、本产品存续期间，我行可提供客户对账单，客户如有需求，请自行前往我行任意网点获取。</w:t>
            </w:r>
          </w:p>
          <w:p>
            <w:pPr>
              <w:autoSpaceDE w:val="0"/>
              <w:autoSpaceDN w:val="0"/>
              <w:adjustRightInd w:val="0"/>
              <w:snapToGrid w:val="0"/>
              <w:spacing w:line="240" w:lineRule="exact"/>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7、本产品说明书一式二份，银行执一份，客户执一份。</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cs="宋体"/>
                <w:b/>
                <w:bCs/>
                <w:sz w:val="18"/>
                <w:szCs w:val="18"/>
              </w:rPr>
              <w:t>8、本理财产品说明书的最终解释权归瑞丰银行所有。</w:t>
            </w:r>
          </w:p>
        </w:tc>
      </w:tr>
    </w:tbl>
    <w:p>
      <w:pPr>
        <w:spacing w:line="240" w:lineRule="exact"/>
        <w:ind w:right="-1021" w:rightChars="-486"/>
        <w:rPr>
          <w:rFonts w:ascii="微软雅黑" w:hAnsi="微软雅黑" w:eastAsia="微软雅黑"/>
          <w:b/>
          <w:kern w:val="0"/>
          <w:szCs w:val="21"/>
        </w:rPr>
      </w:pPr>
    </w:p>
    <w:sectPr>
      <w:headerReference r:id="rId3" w:type="default"/>
      <w:footerReference r:id="rId4" w:type="default"/>
      <w:pgSz w:w="11906" w:h="16838"/>
      <w:pgMar w:top="885" w:right="1021" w:bottom="709" w:left="1134" w:header="730" w:footer="22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5"/>
        <w:tab w:val="clear" w:pos="4153"/>
        <w:tab w:val="clear" w:pos="8306"/>
      </w:tabs>
      <w:rPr>
        <w:sz w:val="13"/>
        <w:szCs w:val="13"/>
      </w:rPr>
    </w:pPr>
    <w:r>
      <w:rPr>
        <w:sz w:val="24"/>
      </w:rPr>
      <w:pict>
        <v:shape id="文本框4" o:spid="_x0000_s4097" o:spt="202" type="#_x0000_t202" style="position:absolute;left:0pt;margin-left:210pt;margin-top:4.5pt;height:13.6pt;width:55.55pt;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x09gEAALMDAAAOAAAAZHJzL2Uyb0RvYy54bWysU0tu2zAQ3RfoHQjua8luUgeC5SBN4KJA&#10;+gGSHoCiKImoxCGGtCX3AO0Nusqm+57L58iQsty03RXdEKPhzOObN0+ry6Fr2U6h02ByPp+lnCkj&#10;odSmzvmn+82LC86cF6YULRiV871y/HL9/Nmqt5laQANtqZARiHFZb3PeeG+zJHGyUZ1wM7DK0GUF&#10;2AlPn1gnJYqe0Ls2WaTpq6QHLC2CVM5R9ma85OuIX1VK+g9V5ZRnbc6Jm48nxrMIZ7JeiaxGYRst&#10;jzTEP7DohDb06AnqRnjBtqj/guq0RHBQ+ZmELoGq0lLFGWiaefrHNHeNsCrOQuI4e5LJ/T9Y+X73&#10;EZkuc/6SMyM6WtHh+7fDw8/Dj69nQZ3euoyK7iyV+eE1DLTlOKmztyA/O2bguhGmVleI0DdKlMRu&#10;HjqTJ60jjgsgRf8OSnpGbD1EoKHCLkhHYjBCpy3tT5tRg2eSksv0/OzinDNJV/PlYrmIm0tENjVb&#10;dP6Ngo6FIOdIi4/gYnfrfCAjsqkkvGVgo9s2Lr81vyWoMGQi+cB3ZO6HYjiKUUC5pzEQRi+R9ylo&#10;AL9w1pOPcm7I6Jy1bw0JESw3BTgFxRQII6kx556zMbz2ozW3FnXdEO4k9RWJtdFxkKDqyOHIkpwR&#10;5zu6OFjv6Xes+vWvrR8BAAD//wMAUEsDBBQABgAIAAAAIQDLCJx53AAAAAgBAAAPAAAAZHJzL2Rv&#10;d25yZXYueG1sTI9NT8MwDIbvSPyHyEjcWNoNxih1JzSJCzc2hMQta7ymIh9VknXtv8ec4GRZ76vH&#10;j+vt5KwYKaY+eIRyUYAg3wbd+w7h4/B6twGRsvJa2eAJYaYE2+b6qlaVDhf/TuM+d4IhPlUKweQ8&#10;VFKm1pBTaREG8pydQnQq8xo7qaO6MNxZuSyKtXSq93zBqIF2htrv/dkhPE6fgYZEO/o6jW00/byx&#10;bzPi7c308gwi05T/yvCrz+rQsNMxnL1OwiLcM56rCE88OH9YlSWII8JqvQTZ1PL/A80PAAAA//8D&#10;AFBLAQItABQABgAIAAAAIQC2gziS/gAAAOEBAAATAAAAAAAAAAAAAAAAAAAAAABbQ29udGVudF9U&#10;eXBlc10ueG1sUEsBAi0AFAAGAAgAAAAhADj9If/WAAAAlAEAAAsAAAAAAAAAAAAAAAAALwEAAF9y&#10;ZWxzLy5yZWxzUEsBAi0AFAAGAAgAAAAhAIc/vHT2AQAAswMAAA4AAAAAAAAAAAAAAAAALgIAAGRy&#10;cy9lMm9Eb2MueG1sUEsBAi0AFAAGAAgAAAAhAMsInHncAAAACAEAAA8AAAAAAAAAAAAAAAAAUAQA&#10;AGRycy9kb3ducmV2LnhtbFBLBQYAAAAABAAEAPMAAABZBQAAAAA=&#10;">
          <v:path/>
          <v:fill on="f" focussize="0,0"/>
          <v:stroke on="f" joinstyle="miter"/>
          <v:imagedata o:title=""/>
          <o:lock v:ext="edit"/>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页共</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w:t>
                </w:r>
                <w:r>
                  <w:rPr>
                    <w:rFonts w:hint="eastAsia"/>
                    <w:sz w:val="18"/>
                  </w:rPr>
                  <w:fldChar w:fldCharType="end"/>
                </w:r>
                <w:r>
                  <w:rPr>
                    <w:rFonts w:hint="eastAsia"/>
                    <w:sz w:val="18"/>
                  </w:rPr>
                  <w:t>页</w:t>
                </w:r>
              </w:p>
              <w:p>
                <w:pPr>
                  <w:snapToGrid w:val="0"/>
                  <w:rPr>
                    <w:sz w:val="18"/>
                  </w:rPr>
                </w:pPr>
              </w:p>
            </w:txbxContent>
          </v:textbox>
        </v:shape>
      </w:pict>
    </w:r>
    <w:r>
      <w:rPr>
        <w:rFonts w:hint="eastAsia" w:ascii="微软雅黑" w:hAnsi="微软雅黑" w:eastAsia="微软雅黑"/>
        <w:b/>
        <w:sz w:val="24"/>
      </w:rPr>
      <w:t>理财非存款、产品有风险、投资须谨慎</w:t>
    </w:r>
    <w:r>
      <w:rPr>
        <w:sz w:val="13"/>
        <w:szCs w:val="13"/>
      </w:rPr>
      <w:tab/>
    </w:r>
  </w:p>
  <w:p>
    <w:pPr>
      <w:rPr>
        <w:rFonts w:ascii="微软雅黑" w:hAnsi="微软雅黑" w:eastAsia="微软雅黑"/>
        <w:b/>
        <w:sz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drawing>
        <wp:anchor distT="0" distB="0" distL="114300" distR="114300" simplePos="0" relativeHeight="251658240" behindDoc="0" locked="0" layoutInCell="1" allowOverlap="1">
          <wp:simplePos x="0" y="0"/>
          <wp:positionH relativeFrom="column">
            <wp:posOffset>5090160</wp:posOffset>
          </wp:positionH>
          <wp:positionV relativeFrom="paragraph">
            <wp:posOffset>-191135</wp:posOffset>
          </wp:positionV>
          <wp:extent cx="984250" cy="252730"/>
          <wp:effectExtent l="19050" t="0" r="6350" b="0"/>
          <wp:wrapNone/>
          <wp:docPr id="1" name="Picture 6"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致富理财ICON [转换]-01"/>
                  <pic:cNvPicPr>
                    <a:picLocks noChangeAspect="1" noChangeArrowheads="1"/>
                  </pic:cNvPicPr>
                </pic:nvPicPr>
                <pic:blipFill>
                  <a:blip r:embed="rId1"/>
                  <a:srcRect l="6451" t="21858" r="6451" b="19850"/>
                  <a:stretch>
                    <a:fillRect/>
                  </a:stretch>
                </pic:blipFill>
                <pic:spPr>
                  <a:xfrm>
                    <a:off x="0" y="0"/>
                    <a:ext cx="984250" cy="252730"/>
                  </a:xfrm>
                  <a:prstGeom prst="rect">
                    <a:avLst/>
                  </a:prstGeom>
                  <a:noFill/>
                  <a:ln w="9525">
                    <a:noFill/>
                    <a:miter lim="800000"/>
                    <a:headEnd/>
                    <a:tailEnd/>
                  </a:ln>
                </pic:spPr>
              </pic:pic>
            </a:graphicData>
          </a:graphic>
        </wp:anchor>
      </w:drawing>
    </w:r>
    <w:r>
      <w:drawing>
        <wp:anchor distT="0" distB="0" distL="114300" distR="114300" simplePos="0" relativeHeight="251657216" behindDoc="0" locked="0" layoutInCell="1" allowOverlap="1">
          <wp:simplePos x="0" y="0"/>
          <wp:positionH relativeFrom="column">
            <wp:posOffset>37465</wp:posOffset>
          </wp:positionH>
          <wp:positionV relativeFrom="paragraph">
            <wp:posOffset>-220980</wp:posOffset>
          </wp:positionV>
          <wp:extent cx="1045845" cy="282575"/>
          <wp:effectExtent l="0" t="0" r="0" b="0"/>
          <wp:wrapNone/>
          <wp:docPr id="2" name="Picture 5"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瑞丰银行 logo - slogan2-02"/>
                  <pic:cNvPicPr>
                    <a:picLocks noChangeAspect="1" noChangeArrowheads="1"/>
                  </pic:cNvPicPr>
                </pic:nvPicPr>
                <pic:blipFill>
                  <a:blip r:embed="rId2"/>
                  <a:srcRect/>
                  <a:stretch>
                    <a:fillRect/>
                  </a:stretch>
                </pic:blipFill>
                <pic:spPr>
                  <a:xfrm>
                    <a:off x="0" y="0"/>
                    <a:ext cx="1045845" cy="2825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4C"/>
    <w:rsid w:val="000129CC"/>
    <w:rsid w:val="00012AC7"/>
    <w:rsid w:val="000141EB"/>
    <w:rsid w:val="00015B83"/>
    <w:rsid w:val="000172B8"/>
    <w:rsid w:val="00017422"/>
    <w:rsid w:val="00017553"/>
    <w:rsid w:val="000203AC"/>
    <w:rsid w:val="00025EFE"/>
    <w:rsid w:val="000320E7"/>
    <w:rsid w:val="0003558E"/>
    <w:rsid w:val="00035F4E"/>
    <w:rsid w:val="000361D0"/>
    <w:rsid w:val="000435BF"/>
    <w:rsid w:val="00045FA5"/>
    <w:rsid w:val="00054D81"/>
    <w:rsid w:val="000574F9"/>
    <w:rsid w:val="000575D4"/>
    <w:rsid w:val="000579DD"/>
    <w:rsid w:val="00062C12"/>
    <w:rsid w:val="000630D8"/>
    <w:rsid w:val="00063B27"/>
    <w:rsid w:val="0006738A"/>
    <w:rsid w:val="00072974"/>
    <w:rsid w:val="0007495D"/>
    <w:rsid w:val="000771E4"/>
    <w:rsid w:val="00081288"/>
    <w:rsid w:val="000856AB"/>
    <w:rsid w:val="000861A6"/>
    <w:rsid w:val="00086373"/>
    <w:rsid w:val="00093994"/>
    <w:rsid w:val="0009478C"/>
    <w:rsid w:val="00096A92"/>
    <w:rsid w:val="000A1B1B"/>
    <w:rsid w:val="000A7190"/>
    <w:rsid w:val="000A723C"/>
    <w:rsid w:val="000A7C0A"/>
    <w:rsid w:val="000B0D3B"/>
    <w:rsid w:val="000B0F94"/>
    <w:rsid w:val="000B151E"/>
    <w:rsid w:val="000B1F37"/>
    <w:rsid w:val="000B4AD6"/>
    <w:rsid w:val="000B67B5"/>
    <w:rsid w:val="000B6ADA"/>
    <w:rsid w:val="000C077F"/>
    <w:rsid w:val="000E0702"/>
    <w:rsid w:val="000E3850"/>
    <w:rsid w:val="000E47B5"/>
    <w:rsid w:val="000E5115"/>
    <w:rsid w:val="000E6F28"/>
    <w:rsid w:val="000F3696"/>
    <w:rsid w:val="000F3D79"/>
    <w:rsid w:val="001024A7"/>
    <w:rsid w:val="00104412"/>
    <w:rsid w:val="00105B6A"/>
    <w:rsid w:val="001133E9"/>
    <w:rsid w:val="00115793"/>
    <w:rsid w:val="001164D0"/>
    <w:rsid w:val="00116C5D"/>
    <w:rsid w:val="00123005"/>
    <w:rsid w:val="00130BB2"/>
    <w:rsid w:val="00131995"/>
    <w:rsid w:val="001320F7"/>
    <w:rsid w:val="00132C83"/>
    <w:rsid w:val="00132E18"/>
    <w:rsid w:val="001354BA"/>
    <w:rsid w:val="00136C2D"/>
    <w:rsid w:val="0014124D"/>
    <w:rsid w:val="0014587F"/>
    <w:rsid w:val="00145E52"/>
    <w:rsid w:val="00152992"/>
    <w:rsid w:val="0015404F"/>
    <w:rsid w:val="00157366"/>
    <w:rsid w:val="001600C7"/>
    <w:rsid w:val="00162200"/>
    <w:rsid w:val="0016336E"/>
    <w:rsid w:val="00171065"/>
    <w:rsid w:val="00172A27"/>
    <w:rsid w:val="00173E2D"/>
    <w:rsid w:val="00183977"/>
    <w:rsid w:val="00185B23"/>
    <w:rsid w:val="0019530C"/>
    <w:rsid w:val="00196182"/>
    <w:rsid w:val="001A1545"/>
    <w:rsid w:val="001A5221"/>
    <w:rsid w:val="001B0603"/>
    <w:rsid w:val="001B3720"/>
    <w:rsid w:val="001C0170"/>
    <w:rsid w:val="001C1B53"/>
    <w:rsid w:val="001C54C3"/>
    <w:rsid w:val="001C6B2C"/>
    <w:rsid w:val="001C7526"/>
    <w:rsid w:val="001D1038"/>
    <w:rsid w:val="001D1B5C"/>
    <w:rsid w:val="001D46AA"/>
    <w:rsid w:val="001D4F7E"/>
    <w:rsid w:val="001D71DF"/>
    <w:rsid w:val="001D7489"/>
    <w:rsid w:val="001D7CD0"/>
    <w:rsid w:val="001E3F05"/>
    <w:rsid w:val="001F4791"/>
    <w:rsid w:val="001F61D1"/>
    <w:rsid w:val="001F6404"/>
    <w:rsid w:val="001F713F"/>
    <w:rsid w:val="00201CAE"/>
    <w:rsid w:val="00202BF6"/>
    <w:rsid w:val="002104CF"/>
    <w:rsid w:val="002113B3"/>
    <w:rsid w:val="002167CA"/>
    <w:rsid w:val="0021785C"/>
    <w:rsid w:val="00221A4C"/>
    <w:rsid w:val="0022303C"/>
    <w:rsid w:val="00237AEF"/>
    <w:rsid w:val="00240023"/>
    <w:rsid w:val="00243E08"/>
    <w:rsid w:val="002441AC"/>
    <w:rsid w:val="00250E0F"/>
    <w:rsid w:val="002573A4"/>
    <w:rsid w:val="00264CB4"/>
    <w:rsid w:val="00265FCD"/>
    <w:rsid w:val="00266EBE"/>
    <w:rsid w:val="00267EA1"/>
    <w:rsid w:val="00271876"/>
    <w:rsid w:val="002764F6"/>
    <w:rsid w:val="002837CE"/>
    <w:rsid w:val="002941AD"/>
    <w:rsid w:val="00295587"/>
    <w:rsid w:val="002A180B"/>
    <w:rsid w:val="002A23DC"/>
    <w:rsid w:val="002B369C"/>
    <w:rsid w:val="002B4E8E"/>
    <w:rsid w:val="002C051C"/>
    <w:rsid w:val="002C3B1C"/>
    <w:rsid w:val="002D1128"/>
    <w:rsid w:val="002D2D52"/>
    <w:rsid w:val="002D35C5"/>
    <w:rsid w:val="002D4C08"/>
    <w:rsid w:val="002D708A"/>
    <w:rsid w:val="002E079B"/>
    <w:rsid w:val="002E2883"/>
    <w:rsid w:val="002E7346"/>
    <w:rsid w:val="002F158F"/>
    <w:rsid w:val="00301B23"/>
    <w:rsid w:val="0030234A"/>
    <w:rsid w:val="00305F21"/>
    <w:rsid w:val="003065ED"/>
    <w:rsid w:val="00306ADA"/>
    <w:rsid w:val="003174B4"/>
    <w:rsid w:val="0032056E"/>
    <w:rsid w:val="003268EA"/>
    <w:rsid w:val="003305DE"/>
    <w:rsid w:val="00331201"/>
    <w:rsid w:val="00340FF5"/>
    <w:rsid w:val="00342566"/>
    <w:rsid w:val="00346A05"/>
    <w:rsid w:val="00351FE3"/>
    <w:rsid w:val="00355F3A"/>
    <w:rsid w:val="003615F4"/>
    <w:rsid w:val="00361EC5"/>
    <w:rsid w:val="00377146"/>
    <w:rsid w:val="003832A1"/>
    <w:rsid w:val="003858E7"/>
    <w:rsid w:val="003936D8"/>
    <w:rsid w:val="00396A78"/>
    <w:rsid w:val="003B7C78"/>
    <w:rsid w:val="003C52B9"/>
    <w:rsid w:val="003C5610"/>
    <w:rsid w:val="003D497B"/>
    <w:rsid w:val="003E0BCD"/>
    <w:rsid w:val="003E24AB"/>
    <w:rsid w:val="003E30FF"/>
    <w:rsid w:val="003E3A75"/>
    <w:rsid w:val="003E4672"/>
    <w:rsid w:val="003E56C7"/>
    <w:rsid w:val="003E64D4"/>
    <w:rsid w:val="003E7F73"/>
    <w:rsid w:val="003F2795"/>
    <w:rsid w:val="003F4C7B"/>
    <w:rsid w:val="003F59B7"/>
    <w:rsid w:val="004075B5"/>
    <w:rsid w:val="00412FB7"/>
    <w:rsid w:val="00413E2F"/>
    <w:rsid w:val="004163FF"/>
    <w:rsid w:val="004166D5"/>
    <w:rsid w:val="00417CB0"/>
    <w:rsid w:val="00420413"/>
    <w:rsid w:val="004212F0"/>
    <w:rsid w:val="0042402D"/>
    <w:rsid w:val="004240E1"/>
    <w:rsid w:val="004265DD"/>
    <w:rsid w:val="00430D3E"/>
    <w:rsid w:val="00431B6A"/>
    <w:rsid w:val="00440166"/>
    <w:rsid w:val="004406A7"/>
    <w:rsid w:val="004423A9"/>
    <w:rsid w:val="004426D2"/>
    <w:rsid w:val="0044379E"/>
    <w:rsid w:val="00444DC7"/>
    <w:rsid w:val="00446738"/>
    <w:rsid w:val="0045235F"/>
    <w:rsid w:val="00454A5B"/>
    <w:rsid w:val="004553E1"/>
    <w:rsid w:val="00457AEE"/>
    <w:rsid w:val="0046603C"/>
    <w:rsid w:val="00467334"/>
    <w:rsid w:val="004679BE"/>
    <w:rsid w:val="0047096E"/>
    <w:rsid w:val="00472A5F"/>
    <w:rsid w:val="00476154"/>
    <w:rsid w:val="004771BF"/>
    <w:rsid w:val="004844DF"/>
    <w:rsid w:val="004905F6"/>
    <w:rsid w:val="0049241D"/>
    <w:rsid w:val="004946DF"/>
    <w:rsid w:val="00497A44"/>
    <w:rsid w:val="004A3622"/>
    <w:rsid w:val="004A7394"/>
    <w:rsid w:val="004B182E"/>
    <w:rsid w:val="004B4F94"/>
    <w:rsid w:val="004B5635"/>
    <w:rsid w:val="004C186D"/>
    <w:rsid w:val="004C7103"/>
    <w:rsid w:val="004C71BE"/>
    <w:rsid w:val="004D0949"/>
    <w:rsid w:val="004D0F74"/>
    <w:rsid w:val="004D3E02"/>
    <w:rsid w:val="004E1951"/>
    <w:rsid w:val="004E27FB"/>
    <w:rsid w:val="004E6B53"/>
    <w:rsid w:val="004F2697"/>
    <w:rsid w:val="005008B4"/>
    <w:rsid w:val="00502E4F"/>
    <w:rsid w:val="00505D79"/>
    <w:rsid w:val="00510413"/>
    <w:rsid w:val="005217D7"/>
    <w:rsid w:val="00523647"/>
    <w:rsid w:val="00533732"/>
    <w:rsid w:val="00534797"/>
    <w:rsid w:val="00537E62"/>
    <w:rsid w:val="00544586"/>
    <w:rsid w:val="00555693"/>
    <w:rsid w:val="00557694"/>
    <w:rsid w:val="00566CDC"/>
    <w:rsid w:val="005700D1"/>
    <w:rsid w:val="005774B4"/>
    <w:rsid w:val="00581A11"/>
    <w:rsid w:val="00583E4D"/>
    <w:rsid w:val="00584217"/>
    <w:rsid w:val="00586B7A"/>
    <w:rsid w:val="0059563A"/>
    <w:rsid w:val="005A4B3E"/>
    <w:rsid w:val="005B0444"/>
    <w:rsid w:val="005B1465"/>
    <w:rsid w:val="005B1681"/>
    <w:rsid w:val="005B1920"/>
    <w:rsid w:val="005B3856"/>
    <w:rsid w:val="005B3C3B"/>
    <w:rsid w:val="005B5C6A"/>
    <w:rsid w:val="005B61BF"/>
    <w:rsid w:val="005C0C34"/>
    <w:rsid w:val="005C14F0"/>
    <w:rsid w:val="005C73D4"/>
    <w:rsid w:val="005D04BA"/>
    <w:rsid w:val="005D380A"/>
    <w:rsid w:val="005D42D1"/>
    <w:rsid w:val="005D4301"/>
    <w:rsid w:val="005D6742"/>
    <w:rsid w:val="005E50A5"/>
    <w:rsid w:val="005E5BBA"/>
    <w:rsid w:val="005E67DB"/>
    <w:rsid w:val="005F2031"/>
    <w:rsid w:val="005F29CD"/>
    <w:rsid w:val="005F2DFA"/>
    <w:rsid w:val="00600599"/>
    <w:rsid w:val="00600F88"/>
    <w:rsid w:val="00601307"/>
    <w:rsid w:val="00606542"/>
    <w:rsid w:val="00607154"/>
    <w:rsid w:val="0062148E"/>
    <w:rsid w:val="00624AF6"/>
    <w:rsid w:val="00626F8D"/>
    <w:rsid w:val="00627B4E"/>
    <w:rsid w:val="00631112"/>
    <w:rsid w:val="00631552"/>
    <w:rsid w:val="00631904"/>
    <w:rsid w:val="00633B63"/>
    <w:rsid w:val="00635AB2"/>
    <w:rsid w:val="0063670C"/>
    <w:rsid w:val="006429BD"/>
    <w:rsid w:val="00643251"/>
    <w:rsid w:val="00643FF3"/>
    <w:rsid w:val="006450FF"/>
    <w:rsid w:val="00647763"/>
    <w:rsid w:val="00652709"/>
    <w:rsid w:val="0065570B"/>
    <w:rsid w:val="00655928"/>
    <w:rsid w:val="0066064E"/>
    <w:rsid w:val="00661305"/>
    <w:rsid w:val="006654D6"/>
    <w:rsid w:val="0066560B"/>
    <w:rsid w:val="00666E4B"/>
    <w:rsid w:val="0066780A"/>
    <w:rsid w:val="0067281A"/>
    <w:rsid w:val="00673C9A"/>
    <w:rsid w:val="006756C8"/>
    <w:rsid w:val="006801B8"/>
    <w:rsid w:val="006818A2"/>
    <w:rsid w:val="00691A0C"/>
    <w:rsid w:val="00693004"/>
    <w:rsid w:val="00693671"/>
    <w:rsid w:val="006A3BC6"/>
    <w:rsid w:val="006A40AB"/>
    <w:rsid w:val="006B41EB"/>
    <w:rsid w:val="006B5455"/>
    <w:rsid w:val="006B5777"/>
    <w:rsid w:val="006C03E6"/>
    <w:rsid w:val="006C0E0B"/>
    <w:rsid w:val="006C28E0"/>
    <w:rsid w:val="006C6520"/>
    <w:rsid w:val="006C7F85"/>
    <w:rsid w:val="006D0C93"/>
    <w:rsid w:val="006E1791"/>
    <w:rsid w:val="006E54DC"/>
    <w:rsid w:val="006E72D9"/>
    <w:rsid w:val="006F08F1"/>
    <w:rsid w:val="00701F94"/>
    <w:rsid w:val="00712F8F"/>
    <w:rsid w:val="0071487E"/>
    <w:rsid w:val="00720CE2"/>
    <w:rsid w:val="007221F9"/>
    <w:rsid w:val="00724D61"/>
    <w:rsid w:val="007263C1"/>
    <w:rsid w:val="00726553"/>
    <w:rsid w:val="007318F7"/>
    <w:rsid w:val="0073248B"/>
    <w:rsid w:val="00732E94"/>
    <w:rsid w:val="00734966"/>
    <w:rsid w:val="00741129"/>
    <w:rsid w:val="00741D39"/>
    <w:rsid w:val="00744ABA"/>
    <w:rsid w:val="00747884"/>
    <w:rsid w:val="00750874"/>
    <w:rsid w:val="007553DC"/>
    <w:rsid w:val="00757929"/>
    <w:rsid w:val="00757E9C"/>
    <w:rsid w:val="007613C9"/>
    <w:rsid w:val="00762F1E"/>
    <w:rsid w:val="00764579"/>
    <w:rsid w:val="00765772"/>
    <w:rsid w:val="00766863"/>
    <w:rsid w:val="00772B03"/>
    <w:rsid w:val="00774863"/>
    <w:rsid w:val="007770A5"/>
    <w:rsid w:val="007813E9"/>
    <w:rsid w:val="00783AF5"/>
    <w:rsid w:val="007840AF"/>
    <w:rsid w:val="00785D30"/>
    <w:rsid w:val="007875B7"/>
    <w:rsid w:val="00787DBB"/>
    <w:rsid w:val="00791B28"/>
    <w:rsid w:val="007A2D40"/>
    <w:rsid w:val="007A4A9B"/>
    <w:rsid w:val="007A5F44"/>
    <w:rsid w:val="007A629E"/>
    <w:rsid w:val="007B0058"/>
    <w:rsid w:val="007C0AE9"/>
    <w:rsid w:val="007C0E75"/>
    <w:rsid w:val="007C480C"/>
    <w:rsid w:val="007D024A"/>
    <w:rsid w:val="007D37B7"/>
    <w:rsid w:val="007D3B77"/>
    <w:rsid w:val="007D607D"/>
    <w:rsid w:val="007D6748"/>
    <w:rsid w:val="007E62E4"/>
    <w:rsid w:val="007E682D"/>
    <w:rsid w:val="007E6AA4"/>
    <w:rsid w:val="007F25D6"/>
    <w:rsid w:val="007F301A"/>
    <w:rsid w:val="007F4CB1"/>
    <w:rsid w:val="007F4FED"/>
    <w:rsid w:val="007F6AB9"/>
    <w:rsid w:val="00800B96"/>
    <w:rsid w:val="008023A4"/>
    <w:rsid w:val="008071D2"/>
    <w:rsid w:val="008116F7"/>
    <w:rsid w:val="008124AA"/>
    <w:rsid w:val="00812AC9"/>
    <w:rsid w:val="00814D83"/>
    <w:rsid w:val="00814E8D"/>
    <w:rsid w:val="00815FA0"/>
    <w:rsid w:val="008202BD"/>
    <w:rsid w:val="00822638"/>
    <w:rsid w:val="00824BD9"/>
    <w:rsid w:val="00825259"/>
    <w:rsid w:val="0082583A"/>
    <w:rsid w:val="008276C7"/>
    <w:rsid w:val="00833A42"/>
    <w:rsid w:val="00841E7D"/>
    <w:rsid w:val="00842BC9"/>
    <w:rsid w:val="00845C0F"/>
    <w:rsid w:val="008461F2"/>
    <w:rsid w:val="008528F1"/>
    <w:rsid w:val="00852CD1"/>
    <w:rsid w:val="00857B76"/>
    <w:rsid w:val="0086102B"/>
    <w:rsid w:val="00871018"/>
    <w:rsid w:val="00874B22"/>
    <w:rsid w:val="008807B9"/>
    <w:rsid w:val="0088335F"/>
    <w:rsid w:val="0088375C"/>
    <w:rsid w:val="008838E7"/>
    <w:rsid w:val="008915F9"/>
    <w:rsid w:val="00893EC6"/>
    <w:rsid w:val="00893FEC"/>
    <w:rsid w:val="00894D0F"/>
    <w:rsid w:val="00897047"/>
    <w:rsid w:val="008A1196"/>
    <w:rsid w:val="008A1B32"/>
    <w:rsid w:val="008A2007"/>
    <w:rsid w:val="008A342D"/>
    <w:rsid w:val="008A779F"/>
    <w:rsid w:val="008B2B2D"/>
    <w:rsid w:val="008C1EB3"/>
    <w:rsid w:val="008C6E11"/>
    <w:rsid w:val="008C72F3"/>
    <w:rsid w:val="008C73DA"/>
    <w:rsid w:val="008D6876"/>
    <w:rsid w:val="008D7880"/>
    <w:rsid w:val="008E2518"/>
    <w:rsid w:val="008E4CA0"/>
    <w:rsid w:val="008E5034"/>
    <w:rsid w:val="008E5834"/>
    <w:rsid w:val="008E614C"/>
    <w:rsid w:val="008F2654"/>
    <w:rsid w:val="008F4F6D"/>
    <w:rsid w:val="008F61D6"/>
    <w:rsid w:val="008F6CAE"/>
    <w:rsid w:val="0090235B"/>
    <w:rsid w:val="00915EA7"/>
    <w:rsid w:val="00917859"/>
    <w:rsid w:val="009210C8"/>
    <w:rsid w:val="009258C7"/>
    <w:rsid w:val="009262FF"/>
    <w:rsid w:val="00927C8A"/>
    <w:rsid w:val="00932179"/>
    <w:rsid w:val="00933C89"/>
    <w:rsid w:val="0093668A"/>
    <w:rsid w:val="00947CE7"/>
    <w:rsid w:val="00951B87"/>
    <w:rsid w:val="00951E3D"/>
    <w:rsid w:val="009530C1"/>
    <w:rsid w:val="00953397"/>
    <w:rsid w:val="00953E15"/>
    <w:rsid w:val="00955990"/>
    <w:rsid w:val="00966A42"/>
    <w:rsid w:val="0096770F"/>
    <w:rsid w:val="0097080B"/>
    <w:rsid w:val="0097092C"/>
    <w:rsid w:val="00971261"/>
    <w:rsid w:val="00981279"/>
    <w:rsid w:val="009823F2"/>
    <w:rsid w:val="00990C2F"/>
    <w:rsid w:val="009910A3"/>
    <w:rsid w:val="00995027"/>
    <w:rsid w:val="009A54EB"/>
    <w:rsid w:val="009A796C"/>
    <w:rsid w:val="009A7AEC"/>
    <w:rsid w:val="009B2170"/>
    <w:rsid w:val="009B2C6B"/>
    <w:rsid w:val="009B71B4"/>
    <w:rsid w:val="009B72B1"/>
    <w:rsid w:val="009C020A"/>
    <w:rsid w:val="009C026F"/>
    <w:rsid w:val="009C0273"/>
    <w:rsid w:val="009C33B9"/>
    <w:rsid w:val="009C5F5F"/>
    <w:rsid w:val="009C7B71"/>
    <w:rsid w:val="009D0072"/>
    <w:rsid w:val="009D00C9"/>
    <w:rsid w:val="009E49FF"/>
    <w:rsid w:val="009E4ED9"/>
    <w:rsid w:val="009E702F"/>
    <w:rsid w:val="009F0C04"/>
    <w:rsid w:val="009F132F"/>
    <w:rsid w:val="009F3639"/>
    <w:rsid w:val="00A04EF0"/>
    <w:rsid w:val="00A110C0"/>
    <w:rsid w:val="00A116E1"/>
    <w:rsid w:val="00A119E8"/>
    <w:rsid w:val="00A121DE"/>
    <w:rsid w:val="00A13056"/>
    <w:rsid w:val="00A1395B"/>
    <w:rsid w:val="00A16C78"/>
    <w:rsid w:val="00A21AB1"/>
    <w:rsid w:val="00A21FDC"/>
    <w:rsid w:val="00A259C7"/>
    <w:rsid w:val="00A3208B"/>
    <w:rsid w:val="00A355A3"/>
    <w:rsid w:val="00A3590E"/>
    <w:rsid w:val="00A36BE0"/>
    <w:rsid w:val="00A40B09"/>
    <w:rsid w:val="00A52429"/>
    <w:rsid w:val="00A57452"/>
    <w:rsid w:val="00A61738"/>
    <w:rsid w:val="00A62687"/>
    <w:rsid w:val="00A63CBA"/>
    <w:rsid w:val="00A703F8"/>
    <w:rsid w:val="00A7403E"/>
    <w:rsid w:val="00A77156"/>
    <w:rsid w:val="00A80571"/>
    <w:rsid w:val="00A84971"/>
    <w:rsid w:val="00A84A64"/>
    <w:rsid w:val="00A85F69"/>
    <w:rsid w:val="00A86053"/>
    <w:rsid w:val="00A87D87"/>
    <w:rsid w:val="00A96B6C"/>
    <w:rsid w:val="00AA08F8"/>
    <w:rsid w:val="00AA5CC9"/>
    <w:rsid w:val="00AB0BDC"/>
    <w:rsid w:val="00AB5409"/>
    <w:rsid w:val="00AB79A6"/>
    <w:rsid w:val="00AC2FCB"/>
    <w:rsid w:val="00AC6675"/>
    <w:rsid w:val="00AC68CD"/>
    <w:rsid w:val="00AD37DC"/>
    <w:rsid w:val="00AD45E1"/>
    <w:rsid w:val="00AE0B77"/>
    <w:rsid w:val="00AF0604"/>
    <w:rsid w:val="00AF5231"/>
    <w:rsid w:val="00B01312"/>
    <w:rsid w:val="00B015EA"/>
    <w:rsid w:val="00B04158"/>
    <w:rsid w:val="00B04858"/>
    <w:rsid w:val="00B0744A"/>
    <w:rsid w:val="00B11044"/>
    <w:rsid w:val="00B110F8"/>
    <w:rsid w:val="00B162BC"/>
    <w:rsid w:val="00B16C4D"/>
    <w:rsid w:val="00B20029"/>
    <w:rsid w:val="00B21ACF"/>
    <w:rsid w:val="00B22777"/>
    <w:rsid w:val="00B26CBD"/>
    <w:rsid w:val="00B31211"/>
    <w:rsid w:val="00B3131A"/>
    <w:rsid w:val="00B333CB"/>
    <w:rsid w:val="00B36492"/>
    <w:rsid w:val="00B36F5A"/>
    <w:rsid w:val="00B40986"/>
    <w:rsid w:val="00B42AEF"/>
    <w:rsid w:val="00B42C2A"/>
    <w:rsid w:val="00B44428"/>
    <w:rsid w:val="00B44EE8"/>
    <w:rsid w:val="00B45C5F"/>
    <w:rsid w:val="00B5055F"/>
    <w:rsid w:val="00B5220C"/>
    <w:rsid w:val="00B57E42"/>
    <w:rsid w:val="00B62E86"/>
    <w:rsid w:val="00B67A9E"/>
    <w:rsid w:val="00B771A3"/>
    <w:rsid w:val="00B82673"/>
    <w:rsid w:val="00B85143"/>
    <w:rsid w:val="00B90184"/>
    <w:rsid w:val="00B901E9"/>
    <w:rsid w:val="00B91C38"/>
    <w:rsid w:val="00B938A4"/>
    <w:rsid w:val="00B96828"/>
    <w:rsid w:val="00BA0A2E"/>
    <w:rsid w:val="00BA39D4"/>
    <w:rsid w:val="00BB6313"/>
    <w:rsid w:val="00BB700C"/>
    <w:rsid w:val="00BC107C"/>
    <w:rsid w:val="00BC11C7"/>
    <w:rsid w:val="00BC1C0A"/>
    <w:rsid w:val="00BC4727"/>
    <w:rsid w:val="00BC54D2"/>
    <w:rsid w:val="00BD1EB8"/>
    <w:rsid w:val="00BE01AC"/>
    <w:rsid w:val="00BE0E4A"/>
    <w:rsid w:val="00BF1B2C"/>
    <w:rsid w:val="00BF2102"/>
    <w:rsid w:val="00BF2DD6"/>
    <w:rsid w:val="00BF4E5F"/>
    <w:rsid w:val="00BF7029"/>
    <w:rsid w:val="00C02042"/>
    <w:rsid w:val="00C0217C"/>
    <w:rsid w:val="00C03E8B"/>
    <w:rsid w:val="00C06770"/>
    <w:rsid w:val="00C07F92"/>
    <w:rsid w:val="00C16D4E"/>
    <w:rsid w:val="00C20793"/>
    <w:rsid w:val="00C23915"/>
    <w:rsid w:val="00C267E5"/>
    <w:rsid w:val="00C33C0C"/>
    <w:rsid w:val="00C34A58"/>
    <w:rsid w:val="00C353AD"/>
    <w:rsid w:val="00C35D00"/>
    <w:rsid w:val="00C40287"/>
    <w:rsid w:val="00C40531"/>
    <w:rsid w:val="00C42F48"/>
    <w:rsid w:val="00C45CAD"/>
    <w:rsid w:val="00C471EC"/>
    <w:rsid w:val="00C475F6"/>
    <w:rsid w:val="00C479F1"/>
    <w:rsid w:val="00C53B32"/>
    <w:rsid w:val="00C56219"/>
    <w:rsid w:val="00C63365"/>
    <w:rsid w:val="00C637A6"/>
    <w:rsid w:val="00C67BFB"/>
    <w:rsid w:val="00C70D12"/>
    <w:rsid w:val="00C721FA"/>
    <w:rsid w:val="00C8015F"/>
    <w:rsid w:val="00C826A8"/>
    <w:rsid w:val="00C85C34"/>
    <w:rsid w:val="00C93964"/>
    <w:rsid w:val="00C95CD1"/>
    <w:rsid w:val="00CA1CEF"/>
    <w:rsid w:val="00CA6897"/>
    <w:rsid w:val="00CB31A7"/>
    <w:rsid w:val="00CB4136"/>
    <w:rsid w:val="00CC23A5"/>
    <w:rsid w:val="00CC4104"/>
    <w:rsid w:val="00CC4BFD"/>
    <w:rsid w:val="00CC75A0"/>
    <w:rsid w:val="00CD25DB"/>
    <w:rsid w:val="00CE043C"/>
    <w:rsid w:val="00CF2630"/>
    <w:rsid w:val="00CF30ED"/>
    <w:rsid w:val="00D00F5A"/>
    <w:rsid w:val="00D03F23"/>
    <w:rsid w:val="00D04040"/>
    <w:rsid w:val="00D13E79"/>
    <w:rsid w:val="00D14DE6"/>
    <w:rsid w:val="00D16A17"/>
    <w:rsid w:val="00D16A64"/>
    <w:rsid w:val="00D1726F"/>
    <w:rsid w:val="00D177D1"/>
    <w:rsid w:val="00D17F0A"/>
    <w:rsid w:val="00D2272F"/>
    <w:rsid w:val="00D237A5"/>
    <w:rsid w:val="00D25914"/>
    <w:rsid w:val="00D27809"/>
    <w:rsid w:val="00D3378F"/>
    <w:rsid w:val="00D36D57"/>
    <w:rsid w:val="00D5061A"/>
    <w:rsid w:val="00D51B8A"/>
    <w:rsid w:val="00D534C5"/>
    <w:rsid w:val="00D57255"/>
    <w:rsid w:val="00D6144B"/>
    <w:rsid w:val="00D64361"/>
    <w:rsid w:val="00D64DEB"/>
    <w:rsid w:val="00D65244"/>
    <w:rsid w:val="00D712A0"/>
    <w:rsid w:val="00D75F64"/>
    <w:rsid w:val="00D843E5"/>
    <w:rsid w:val="00D875E4"/>
    <w:rsid w:val="00D96B49"/>
    <w:rsid w:val="00D97581"/>
    <w:rsid w:val="00DA3CBE"/>
    <w:rsid w:val="00DC036F"/>
    <w:rsid w:val="00DC18DD"/>
    <w:rsid w:val="00DC4B37"/>
    <w:rsid w:val="00DC7652"/>
    <w:rsid w:val="00DD1338"/>
    <w:rsid w:val="00DD1980"/>
    <w:rsid w:val="00DD4E11"/>
    <w:rsid w:val="00DD78A7"/>
    <w:rsid w:val="00DE3924"/>
    <w:rsid w:val="00DE4701"/>
    <w:rsid w:val="00DF02DB"/>
    <w:rsid w:val="00DF0C36"/>
    <w:rsid w:val="00E0255B"/>
    <w:rsid w:val="00E02D46"/>
    <w:rsid w:val="00E05C39"/>
    <w:rsid w:val="00E06722"/>
    <w:rsid w:val="00E12740"/>
    <w:rsid w:val="00E137AC"/>
    <w:rsid w:val="00E14ED9"/>
    <w:rsid w:val="00E159F8"/>
    <w:rsid w:val="00E27210"/>
    <w:rsid w:val="00E30797"/>
    <w:rsid w:val="00E30A2D"/>
    <w:rsid w:val="00E31D41"/>
    <w:rsid w:val="00E3363A"/>
    <w:rsid w:val="00E362D8"/>
    <w:rsid w:val="00E37747"/>
    <w:rsid w:val="00E54DC8"/>
    <w:rsid w:val="00E551FF"/>
    <w:rsid w:val="00E601D8"/>
    <w:rsid w:val="00E657B1"/>
    <w:rsid w:val="00E6722F"/>
    <w:rsid w:val="00E715F5"/>
    <w:rsid w:val="00E74069"/>
    <w:rsid w:val="00E757E2"/>
    <w:rsid w:val="00E7722F"/>
    <w:rsid w:val="00E87746"/>
    <w:rsid w:val="00E91CF4"/>
    <w:rsid w:val="00E91FE7"/>
    <w:rsid w:val="00E94509"/>
    <w:rsid w:val="00E95E81"/>
    <w:rsid w:val="00E96FD0"/>
    <w:rsid w:val="00EB5B96"/>
    <w:rsid w:val="00EB77A1"/>
    <w:rsid w:val="00EC5001"/>
    <w:rsid w:val="00ED68A5"/>
    <w:rsid w:val="00ED6B06"/>
    <w:rsid w:val="00EE4CC6"/>
    <w:rsid w:val="00EE6900"/>
    <w:rsid w:val="00EF0777"/>
    <w:rsid w:val="00F009E4"/>
    <w:rsid w:val="00F04B01"/>
    <w:rsid w:val="00F05B83"/>
    <w:rsid w:val="00F05F47"/>
    <w:rsid w:val="00F10CA4"/>
    <w:rsid w:val="00F11501"/>
    <w:rsid w:val="00F179C3"/>
    <w:rsid w:val="00F203DF"/>
    <w:rsid w:val="00F330E4"/>
    <w:rsid w:val="00F34818"/>
    <w:rsid w:val="00F35DD8"/>
    <w:rsid w:val="00F372FC"/>
    <w:rsid w:val="00F41BE7"/>
    <w:rsid w:val="00F4243A"/>
    <w:rsid w:val="00F44F80"/>
    <w:rsid w:val="00F469C5"/>
    <w:rsid w:val="00F472E2"/>
    <w:rsid w:val="00F476C7"/>
    <w:rsid w:val="00F562B3"/>
    <w:rsid w:val="00F63077"/>
    <w:rsid w:val="00F64212"/>
    <w:rsid w:val="00F65416"/>
    <w:rsid w:val="00F66910"/>
    <w:rsid w:val="00F72D1A"/>
    <w:rsid w:val="00F7656E"/>
    <w:rsid w:val="00F768B8"/>
    <w:rsid w:val="00F773E8"/>
    <w:rsid w:val="00F8030B"/>
    <w:rsid w:val="00F823E1"/>
    <w:rsid w:val="00F83DCB"/>
    <w:rsid w:val="00F85FC3"/>
    <w:rsid w:val="00F94886"/>
    <w:rsid w:val="00F94D28"/>
    <w:rsid w:val="00F94E0F"/>
    <w:rsid w:val="00F96788"/>
    <w:rsid w:val="00F96B95"/>
    <w:rsid w:val="00FA04C8"/>
    <w:rsid w:val="00FB4B45"/>
    <w:rsid w:val="00FB71D0"/>
    <w:rsid w:val="00FC313D"/>
    <w:rsid w:val="00FC6BAF"/>
    <w:rsid w:val="00FC72AA"/>
    <w:rsid w:val="00FD0415"/>
    <w:rsid w:val="00FD0DD8"/>
    <w:rsid w:val="00FD1F2A"/>
    <w:rsid w:val="00FD26AF"/>
    <w:rsid w:val="00FE50D3"/>
    <w:rsid w:val="00FF2289"/>
    <w:rsid w:val="00FF3839"/>
    <w:rsid w:val="00FF3E8F"/>
    <w:rsid w:val="014B6419"/>
    <w:rsid w:val="031903A3"/>
    <w:rsid w:val="04671845"/>
    <w:rsid w:val="053750B3"/>
    <w:rsid w:val="059C33CB"/>
    <w:rsid w:val="06BD3135"/>
    <w:rsid w:val="072A3FFF"/>
    <w:rsid w:val="1135003D"/>
    <w:rsid w:val="14060371"/>
    <w:rsid w:val="142D17D6"/>
    <w:rsid w:val="14316491"/>
    <w:rsid w:val="18FE5016"/>
    <w:rsid w:val="195D3D41"/>
    <w:rsid w:val="1BC55837"/>
    <w:rsid w:val="1BD04299"/>
    <w:rsid w:val="1E833E1B"/>
    <w:rsid w:val="1EB661DA"/>
    <w:rsid w:val="20695C0F"/>
    <w:rsid w:val="208C5A76"/>
    <w:rsid w:val="21002657"/>
    <w:rsid w:val="227939C9"/>
    <w:rsid w:val="254D350C"/>
    <w:rsid w:val="2CD32A29"/>
    <w:rsid w:val="2ED65C98"/>
    <w:rsid w:val="2EF94D7E"/>
    <w:rsid w:val="34B2626A"/>
    <w:rsid w:val="36044C83"/>
    <w:rsid w:val="36294A47"/>
    <w:rsid w:val="375D320E"/>
    <w:rsid w:val="397A4AC8"/>
    <w:rsid w:val="3A5D5B63"/>
    <w:rsid w:val="3A8A1A85"/>
    <w:rsid w:val="3C927ECC"/>
    <w:rsid w:val="3D593CE1"/>
    <w:rsid w:val="3E3D5B0E"/>
    <w:rsid w:val="3EB66509"/>
    <w:rsid w:val="406F2DFC"/>
    <w:rsid w:val="40E2600E"/>
    <w:rsid w:val="42286CEC"/>
    <w:rsid w:val="422E182B"/>
    <w:rsid w:val="428D5B68"/>
    <w:rsid w:val="429E0300"/>
    <w:rsid w:val="43077F94"/>
    <w:rsid w:val="475E2F08"/>
    <w:rsid w:val="48160413"/>
    <w:rsid w:val="491B37C3"/>
    <w:rsid w:val="4C8F7309"/>
    <w:rsid w:val="4D787FC2"/>
    <w:rsid w:val="4DA52700"/>
    <w:rsid w:val="4DD07EF0"/>
    <w:rsid w:val="4EEC332F"/>
    <w:rsid w:val="4FF16110"/>
    <w:rsid w:val="507B6AF5"/>
    <w:rsid w:val="51F33157"/>
    <w:rsid w:val="581732AD"/>
    <w:rsid w:val="5A99089A"/>
    <w:rsid w:val="5DB36DC7"/>
    <w:rsid w:val="5F9A1C89"/>
    <w:rsid w:val="62E108BB"/>
    <w:rsid w:val="65E775AD"/>
    <w:rsid w:val="66815CD2"/>
    <w:rsid w:val="68033E02"/>
    <w:rsid w:val="681D7F64"/>
    <w:rsid w:val="683B2945"/>
    <w:rsid w:val="6AC61B20"/>
    <w:rsid w:val="6B6B6C9C"/>
    <w:rsid w:val="6C717D3C"/>
    <w:rsid w:val="6CDC1E1D"/>
    <w:rsid w:val="6D8853F8"/>
    <w:rsid w:val="70510891"/>
    <w:rsid w:val="7101043B"/>
    <w:rsid w:val="7153178A"/>
    <w:rsid w:val="71CA24B9"/>
    <w:rsid w:val="72D54B27"/>
    <w:rsid w:val="7317445D"/>
    <w:rsid w:val="740A2EDC"/>
    <w:rsid w:val="74662A91"/>
    <w:rsid w:val="752359AF"/>
    <w:rsid w:val="75780051"/>
    <w:rsid w:val="76735765"/>
    <w:rsid w:val="76886336"/>
    <w:rsid w:val="78811C0A"/>
    <w:rsid w:val="7DEE77F2"/>
    <w:rsid w:val="7DF73D90"/>
    <w:rsid w:val="7E292A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AutoShape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修订1"/>
    <w:qFormat/>
    <w:uiPriority w:val="0"/>
    <w:rPr>
      <w:rFonts w:ascii="Times New Roman" w:hAnsi="Times New Roman" w:eastAsia="宋体" w:cs="Times New Roman"/>
      <w:kern w:val="2"/>
      <w:sz w:val="21"/>
      <w:szCs w:val="24"/>
      <w:lang w:val="en-US" w:eastAsia="zh-CN" w:bidi="ar-SA"/>
    </w:rPr>
  </w:style>
  <w:style w:type="paragraph" w:customStyle="1" w:styleId="14">
    <w:name w:val="列出段落1"/>
    <w:basedOn w:val="1"/>
    <w:qFormat/>
    <w:uiPriority w:val="0"/>
    <w:pPr>
      <w:ind w:firstLine="420" w:firstLineChars="200"/>
    </w:pPr>
    <w:rPr>
      <w:rFonts w:ascii="Calibri" w:hAnsi="Calibri" w:cs="黑体"/>
      <w:szCs w:val="22"/>
    </w:rPr>
  </w:style>
  <w:style w:type="paragraph" w:customStyle="1" w:styleId="15">
    <w:name w:val="Char Char Char Char Char Char Char Char Char Char Char Char"/>
    <w:basedOn w:val="1"/>
    <w:qFormat/>
    <w:uiPriority w:val="0"/>
    <w:pPr>
      <w:widowControl/>
      <w:spacing w:after="160" w:line="240" w:lineRule="exact"/>
      <w:jc w:val="left"/>
    </w:pPr>
    <w:rPr>
      <w:rFonts w:ascii="Tahoma" w:hAnsi="Tahoma" w:cs="Tahoma"/>
      <w:szCs w:val="21"/>
    </w:rPr>
  </w:style>
  <w:style w:type="character" w:customStyle="1" w:styleId="16">
    <w:name w:val="批注文字 Char"/>
    <w:basedOn w:val="8"/>
    <w:link w:val="2"/>
    <w:semiHidden/>
    <w:qFormat/>
    <w:uiPriority w:val="99"/>
    <w:rPr>
      <w:kern w:val="2"/>
      <w:sz w:val="21"/>
      <w:szCs w:val="24"/>
    </w:rPr>
  </w:style>
  <w:style w:type="character" w:customStyle="1" w:styleId="17">
    <w:name w:val="批注主题 Char"/>
    <w:basedOn w:val="16"/>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23CA1-4DA9-4C24-AAE5-B17BA99D907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1640</Words>
  <Characters>9349</Characters>
  <Lines>77</Lines>
  <Paragraphs>21</Paragraphs>
  <TotalTime>18</TotalTime>
  <ScaleCrop>false</ScaleCrop>
  <LinksUpToDate>false</LinksUpToDate>
  <CharactersWithSpaces>10968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2021-08-12T11:16:00Z</dcterms:created>
  <dc:creator>张华峰</dc:creator>
  <cp:lastModifiedBy>Administrator</cp:lastModifiedBy>
  <cp:lastPrinted>2020-03-13T00:17:00Z</cp:lastPrinted>
  <dcterms:modified xsi:type="dcterms:W3CDTF">2022-05-27T02:28:37Z</dcterms:modified>
  <dc:title>理财客户权益须知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