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tcBorders>
              <w:bottom w:val="single" w:color="auto" w:sz="4" w:space="0"/>
            </w:tcBorders>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客 户 权 益 须 知 专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68" w:type="dxa"/>
            <w:tcBorders>
              <w:bottom w:val="single" w:color="auto" w:sz="4" w:space="0"/>
            </w:tcBorders>
            <w:shd w:val="clear" w:color="auto" w:fill="auto"/>
          </w:tcPr>
          <w:p>
            <w:pPr>
              <w:rPr>
                <w:rFonts w:ascii="微软雅黑" w:hAnsi="微软雅黑" w:eastAsia="微软雅黑"/>
                <w:sz w:val="18"/>
                <w:szCs w:val="18"/>
              </w:rPr>
            </w:pPr>
            <w:r>
              <w:rPr>
                <w:rFonts w:hint="eastAsia" w:ascii="微软雅黑" w:hAnsi="微软雅黑" w:eastAsia="微软雅黑"/>
                <w:sz w:val="18"/>
                <w:szCs w:val="18"/>
              </w:rPr>
              <w:t>尊敬的瑞丰银行理财客户：</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非常感谢您购买瑞丰银行理财产品。理财投资在获取收益的同时存在投资风险，为了保护您的合法权益，请在认/申购理财产品前认真阅读以下内容，行使您在本业务项下的权利。</w:t>
            </w:r>
            <w:r>
              <w:rPr>
                <w:rFonts w:hint="eastAsia" w:ascii="微软雅黑" w:hAnsi="微软雅黑" w:eastAsia="微软雅黑"/>
                <w:b/>
                <w:sz w:val="18"/>
                <w:szCs w:val="18"/>
              </w:rPr>
              <w:t>本客户权益须知，是帮助您在购买理财产品前了解并清楚知晓产品办理流程，自身风险承受能力，适合购买理财产品类型，理财产品信息披露方式、渠道和频率，投诉方式和程序等的须知。</w:t>
            </w:r>
            <w:r>
              <w:rPr>
                <w:rFonts w:hint="eastAsia" w:ascii="微软雅黑" w:hAnsi="微软雅黑" w:eastAsia="微软雅黑"/>
                <w:sz w:val="18"/>
                <w:szCs w:val="18"/>
              </w:rPr>
              <w:t>本须知仅作为客户教育材料，其中涉及的本行服务内容和流程等如有变化，恕不另行通知，以相关法律法规、理财合同和本行的最新规定为准。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tcBorders>
              <w:bottom w:val="single" w:color="auto" w:sz="4" w:space="0"/>
            </w:tcBorders>
            <w:shd w:val="clear" w:color="auto" w:fill="D9D9D9"/>
            <w:vAlign w:val="center"/>
          </w:tcPr>
          <w:p>
            <w:pPr>
              <w:spacing w:line="240" w:lineRule="exact"/>
              <w:jc w:val="center"/>
              <w:rPr>
                <w:rFonts w:ascii="微软雅黑" w:hAnsi="微软雅黑" w:eastAsia="微软雅黑"/>
                <w:szCs w:val="21"/>
              </w:rPr>
            </w:pPr>
            <w:r>
              <w:rPr>
                <w:rFonts w:hint="eastAsia" w:ascii="微软雅黑" w:hAnsi="微软雅黑" w:eastAsia="微软雅黑"/>
                <w:b/>
                <w:szCs w:val="21"/>
              </w:rPr>
              <w:t>客 户 办 理 流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68" w:type="dxa"/>
            <w:tcBorders>
              <w:bottom w:val="single" w:color="auto" w:sz="4" w:space="0"/>
            </w:tcBorders>
            <w:shd w:val="clear" w:color="auto" w:fill="auto"/>
          </w:tcPr>
          <w:p>
            <w:pPr>
              <w:ind w:firstLine="360" w:firstLineChars="200"/>
              <w:rPr>
                <w:rFonts w:ascii="微软雅黑" w:hAnsi="微软雅黑" w:eastAsia="微软雅黑"/>
                <w:sz w:val="18"/>
                <w:szCs w:val="18"/>
              </w:rPr>
            </w:pPr>
            <w:r>
              <w:rPr>
                <w:rFonts w:ascii="微软雅黑" w:hAnsi="微软雅黑" w:eastAsia="微软雅黑"/>
                <w:sz w:val="18"/>
                <w:szCs w:val="18"/>
              </w:rPr>
              <w:t>1.1</w:t>
            </w:r>
            <w:r>
              <w:rPr>
                <w:rFonts w:hint="eastAsia" w:ascii="微软雅黑" w:hAnsi="微软雅黑" w:eastAsia="微软雅黑"/>
                <w:sz w:val="18"/>
                <w:szCs w:val="18"/>
              </w:rPr>
              <w:t>个人客户</w:t>
            </w:r>
            <w:r>
              <w:rPr>
                <w:rFonts w:ascii="微软雅黑" w:hAnsi="微软雅黑" w:eastAsia="微软雅黑"/>
                <w:sz w:val="18"/>
                <w:szCs w:val="18"/>
              </w:rPr>
              <w:tab/>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持本人有效身份证件，开立或持有本行借记卡或个人结算存折，并存有足额认</w:t>
            </w:r>
            <w:r>
              <w:rPr>
                <w:rFonts w:ascii="微软雅黑" w:hAnsi="微软雅黑" w:eastAsia="微软雅黑"/>
                <w:sz w:val="18"/>
                <w:szCs w:val="18"/>
              </w:rPr>
              <w:t>/</w:t>
            </w:r>
            <w:r>
              <w:rPr>
                <w:rFonts w:hint="eastAsia" w:ascii="微软雅黑" w:hAnsi="微软雅黑" w:eastAsia="微软雅黑"/>
                <w:sz w:val="18"/>
                <w:szCs w:val="18"/>
              </w:rPr>
              <w:t>申购金额；</w:t>
            </w:r>
            <w:r>
              <w:rPr>
                <w:rFonts w:ascii="微软雅黑" w:hAnsi="微软雅黑" w:eastAsia="微软雅黑"/>
                <w:sz w:val="18"/>
                <w:szCs w:val="18"/>
              </w:rPr>
              <w:t>(2)</w:t>
            </w:r>
            <w:r>
              <w:rPr>
                <w:rFonts w:hint="eastAsia" w:ascii="微软雅黑" w:hAnsi="微软雅黑" w:eastAsia="微软雅黑"/>
                <w:sz w:val="18"/>
                <w:szCs w:val="18"/>
              </w:rPr>
              <w:t xml:space="preserve"> 完成理财客户签约交易，并完成本行对您的风险承受能力评估，根据评估结果选择适合的产品；</w:t>
            </w:r>
            <w:r>
              <w:rPr>
                <w:rFonts w:ascii="微软雅黑" w:hAnsi="微软雅黑" w:eastAsia="微软雅黑"/>
                <w:sz w:val="18"/>
                <w:szCs w:val="18"/>
              </w:rPr>
              <w:t>(3)</w:t>
            </w:r>
            <w:r>
              <w:rPr>
                <w:rFonts w:hint="eastAsia" w:ascii="微软雅黑" w:hAnsi="微软雅黑" w:eastAsia="微软雅黑"/>
                <w:sz w:val="18"/>
                <w:szCs w:val="18"/>
              </w:rPr>
              <w:t>仔细阅读本《理财产品说明书、风险揭示书及客户权益须知》及其他销售文件</w:t>
            </w:r>
            <w:r>
              <w:rPr>
                <w:rFonts w:ascii="微软雅黑" w:hAnsi="微软雅黑" w:eastAsia="微软雅黑"/>
                <w:sz w:val="18"/>
                <w:szCs w:val="18"/>
              </w:rPr>
              <w:t>(</w:t>
            </w:r>
            <w:r>
              <w:rPr>
                <w:rFonts w:hint="eastAsia" w:ascii="微软雅黑" w:hAnsi="微软雅黑" w:eastAsia="微软雅黑"/>
                <w:sz w:val="18"/>
                <w:szCs w:val="18"/>
              </w:rPr>
              <w:t>如有</w:t>
            </w:r>
            <w:r>
              <w:rPr>
                <w:rFonts w:ascii="微软雅黑" w:hAnsi="微软雅黑" w:eastAsia="微软雅黑"/>
                <w:sz w:val="18"/>
                <w:szCs w:val="18"/>
              </w:rPr>
              <w:t>)</w:t>
            </w:r>
            <w:r>
              <w:rPr>
                <w:rFonts w:hint="eastAsia" w:ascii="微软雅黑" w:hAnsi="微软雅黑" w:eastAsia="微软雅黑"/>
                <w:sz w:val="18"/>
                <w:szCs w:val="18"/>
              </w:rPr>
              <w:t>，确定已同意相关内容、充分了解相关风险并且无疑问和异议后，办理理财产品的认</w:t>
            </w:r>
            <w:r>
              <w:rPr>
                <w:rFonts w:ascii="微软雅黑" w:hAnsi="微软雅黑" w:eastAsia="微软雅黑"/>
                <w:sz w:val="18"/>
                <w:szCs w:val="18"/>
              </w:rPr>
              <w:t>/</w:t>
            </w:r>
            <w:r>
              <w:rPr>
                <w:rFonts w:hint="eastAsia" w:ascii="微软雅黑" w:hAnsi="微软雅黑" w:eastAsia="微软雅黑"/>
                <w:sz w:val="18"/>
                <w:szCs w:val="18"/>
              </w:rPr>
              <w:t>申购手续；</w:t>
            </w:r>
            <w:r>
              <w:rPr>
                <w:rFonts w:ascii="微软雅黑" w:hAnsi="微软雅黑" w:eastAsia="微软雅黑"/>
                <w:sz w:val="18"/>
                <w:szCs w:val="18"/>
              </w:rPr>
              <w:t>(4)</w:t>
            </w:r>
            <w:r>
              <w:rPr>
                <w:rFonts w:hint="eastAsia" w:ascii="微软雅黑" w:hAnsi="微软雅黑" w:eastAsia="微软雅黑"/>
                <w:sz w:val="18"/>
                <w:szCs w:val="18"/>
              </w:rPr>
              <w:t>对本行营业网点打印或者网上银行等电子渠道显示的交易内容进行确认，签署并提交理财合同等销售文件；</w:t>
            </w:r>
            <w:r>
              <w:rPr>
                <w:rFonts w:ascii="微软雅黑" w:hAnsi="微软雅黑" w:eastAsia="微软雅黑"/>
                <w:sz w:val="18"/>
                <w:szCs w:val="18"/>
              </w:rPr>
              <w:t>(5)</w:t>
            </w:r>
            <w:r>
              <w:rPr>
                <w:rFonts w:hint="eastAsia" w:ascii="微软雅黑" w:hAnsi="微软雅黑" w:eastAsia="微软雅黑"/>
                <w:sz w:val="18"/>
                <w:szCs w:val="18"/>
              </w:rPr>
              <w:t>本行营业网点或者网上银行等电子渠道均可办理理财产品的认</w:t>
            </w:r>
            <w:r>
              <w:rPr>
                <w:rFonts w:ascii="微软雅黑" w:hAnsi="微软雅黑" w:eastAsia="微软雅黑"/>
                <w:sz w:val="18"/>
                <w:szCs w:val="18"/>
              </w:rPr>
              <w:t>/</w:t>
            </w:r>
            <w:r>
              <w:rPr>
                <w:rFonts w:hint="eastAsia" w:ascii="微软雅黑" w:hAnsi="微软雅黑" w:eastAsia="微软雅黑"/>
                <w:sz w:val="18"/>
                <w:szCs w:val="18"/>
              </w:rPr>
              <w:t>申购手续，但对于各具体理财产品，本行将自行确定发售渠道。</w:t>
            </w:r>
          </w:p>
          <w:p>
            <w:pPr>
              <w:ind w:firstLine="360" w:firstLineChars="200"/>
              <w:rPr>
                <w:rFonts w:ascii="微软雅黑" w:hAnsi="微软雅黑" w:eastAsia="微软雅黑"/>
                <w:sz w:val="18"/>
                <w:szCs w:val="18"/>
              </w:rPr>
            </w:pPr>
            <w:r>
              <w:rPr>
                <w:rFonts w:ascii="微软雅黑" w:hAnsi="微软雅黑" w:eastAsia="微软雅黑"/>
                <w:sz w:val="18"/>
                <w:szCs w:val="18"/>
              </w:rPr>
              <w:t>1.2</w:t>
            </w:r>
            <w:r>
              <w:rPr>
                <w:rFonts w:hint="eastAsia" w:ascii="微软雅黑" w:hAnsi="微软雅黑" w:eastAsia="微软雅黑"/>
                <w:sz w:val="18"/>
                <w:szCs w:val="18"/>
              </w:rPr>
              <w:t>机构客户</w:t>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开立或持有本行结算账户；</w:t>
            </w:r>
            <w:r>
              <w:rPr>
                <w:rFonts w:ascii="微软雅黑" w:hAnsi="微软雅黑" w:eastAsia="微软雅黑"/>
                <w:sz w:val="18"/>
                <w:szCs w:val="18"/>
              </w:rPr>
              <w:t>(2)</w:t>
            </w:r>
            <w:r>
              <w:rPr>
                <w:rFonts w:hint="eastAsia" w:ascii="微软雅黑" w:hAnsi="微软雅黑" w:eastAsia="微软雅黑"/>
                <w:sz w:val="18"/>
                <w:szCs w:val="18"/>
              </w:rPr>
              <w:t>法定代表人持营业执照（正本或副本）或组织机构代码证、法定代表人本人有效身份证件，按法律或章程规定需有权机构授权的则提供相应的授权书。由非法定代表人亲自办理的，授权代理人还需持法定代表人授权委托书及授权代理人（经办人）有效身份证件；</w:t>
            </w:r>
            <w:r>
              <w:rPr>
                <w:rFonts w:ascii="微软雅黑" w:hAnsi="微软雅黑" w:eastAsia="微软雅黑"/>
                <w:sz w:val="18"/>
                <w:szCs w:val="18"/>
              </w:rPr>
              <w:t>(3)</w:t>
            </w:r>
            <w:r>
              <w:rPr>
                <w:rFonts w:hint="eastAsia" w:ascii="微软雅黑" w:hAnsi="微软雅黑" w:eastAsia="微软雅黑"/>
                <w:sz w:val="18"/>
                <w:szCs w:val="18"/>
              </w:rPr>
              <w:t>完成理财客户签约交易；</w:t>
            </w:r>
            <w:r>
              <w:rPr>
                <w:rFonts w:ascii="微软雅黑" w:hAnsi="微软雅黑" w:eastAsia="微软雅黑"/>
                <w:sz w:val="18"/>
                <w:szCs w:val="18"/>
              </w:rPr>
              <w:t>(4)</w:t>
            </w:r>
            <w:r>
              <w:rPr>
                <w:rFonts w:hint="eastAsia" w:ascii="微软雅黑" w:hAnsi="微软雅黑" w:eastAsia="微软雅黑"/>
                <w:sz w:val="18"/>
                <w:szCs w:val="18"/>
              </w:rPr>
              <w:t>仔细阅读本《理财产品说明书、风险揭示书及客户权益须知》及其他销售文件</w:t>
            </w:r>
            <w:r>
              <w:rPr>
                <w:rFonts w:ascii="微软雅黑" w:hAnsi="微软雅黑" w:eastAsia="微软雅黑"/>
                <w:sz w:val="18"/>
                <w:szCs w:val="18"/>
              </w:rPr>
              <w:t>(</w:t>
            </w:r>
            <w:r>
              <w:rPr>
                <w:rFonts w:hint="eastAsia" w:ascii="微软雅黑" w:hAnsi="微软雅黑" w:eastAsia="微软雅黑"/>
                <w:sz w:val="18"/>
                <w:szCs w:val="18"/>
              </w:rPr>
              <w:t>如有</w:t>
            </w:r>
            <w:r>
              <w:rPr>
                <w:rFonts w:ascii="微软雅黑" w:hAnsi="微软雅黑" w:eastAsia="微软雅黑"/>
                <w:sz w:val="18"/>
                <w:szCs w:val="18"/>
              </w:rPr>
              <w:t>)</w:t>
            </w:r>
            <w:r>
              <w:rPr>
                <w:rFonts w:hint="eastAsia" w:ascii="微软雅黑" w:hAnsi="微软雅黑" w:eastAsia="微软雅黑"/>
                <w:sz w:val="18"/>
                <w:szCs w:val="18"/>
              </w:rPr>
              <w:t>，确定已同意相关内容、充分了解相关风险并且无疑问和异议后，办理理财产品的认</w:t>
            </w:r>
            <w:r>
              <w:rPr>
                <w:rFonts w:ascii="微软雅黑" w:hAnsi="微软雅黑" w:eastAsia="微软雅黑"/>
                <w:sz w:val="18"/>
                <w:szCs w:val="18"/>
              </w:rPr>
              <w:t>/</w:t>
            </w:r>
            <w:r>
              <w:rPr>
                <w:rFonts w:hint="eastAsia" w:ascii="微软雅黑" w:hAnsi="微软雅黑" w:eastAsia="微软雅黑"/>
                <w:sz w:val="18"/>
                <w:szCs w:val="18"/>
              </w:rPr>
              <w:t>申购手续；</w:t>
            </w:r>
            <w:r>
              <w:rPr>
                <w:rFonts w:ascii="微软雅黑" w:hAnsi="微软雅黑" w:eastAsia="微软雅黑"/>
                <w:sz w:val="18"/>
                <w:szCs w:val="18"/>
              </w:rPr>
              <w:t>(5)</w:t>
            </w:r>
            <w:r>
              <w:rPr>
                <w:rFonts w:hint="eastAsia" w:ascii="微软雅黑" w:hAnsi="微软雅黑" w:eastAsia="微软雅黑"/>
                <w:sz w:val="18"/>
                <w:szCs w:val="18"/>
              </w:rPr>
              <w:t>由机构客户经办人对本行营业网点打印或者网上银行等电子渠道显示的交易内容进行确认，签署并提交理财合同等销售文件；</w:t>
            </w:r>
            <w:r>
              <w:rPr>
                <w:rFonts w:ascii="微软雅黑" w:hAnsi="微软雅黑" w:eastAsia="微软雅黑"/>
                <w:sz w:val="18"/>
                <w:szCs w:val="18"/>
              </w:rPr>
              <w:t>(6)</w:t>
            </w:r>
            <w:r>
              <w:rPr>
                <w:rFonts w:hint="eastAsia" w:ascii="微软雅黑" w:hAnsi="微软雅黑" w:eastAsia="微软雅黑"/>
                <w:sz w:val="18"/>
                <w:szCs w:val="18"/>
              </w:rPr>
              <w:t xml:space="preserve"> 本行营业网点或者网上银行等电子渠道均可办理理财产品的认</w:t>
            </w:r>
            <w:r>
              <w:rPr>
                <w:rFonts w:ascii="微软雅黑" w:hAnsi="微软雅黑" w:eastAsia="微软雅黑"/>
                <w:sz w:val="18"/>
                <w:szCs w:val="18"/>
              </w:rPr>
              <w:t>/</w:t>
            </w:r>
            <w:r>
              <w:rPr>
                <w:rFonts w:hint="eastAsia" w:ascii="微软雅黑" w:hAnsi="微软雅黑" w:eastAsia="微软雅黑"/>
                <w:sz w:val="18"/>
                <w:szCs w:val="18"/>
              </w:rPr>
              <w:t>申购手续，但对于各具体理财产品，本行将自行确定发售渠道。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68" w:type="dxa"/>
            <w:shd w:val="clear" w:color="auto" w:fill="D9D9D9"/>
            <w:vAlign w:val="center"/>
          </w:tcPr>
          <w:p>
            <w:pPr>
              <w:spacing w:line="240" w:lineRule="exact"/>
              <w:jc w:val="center"/>
              <w:rPr>
                <w:rFonts w:ascii="微软雅黑" w:hAnsi="微软雅黑" w:eastAsia="微软雅黑"/>
                <w:szCs w:val="21"/>
              </w:rPr>
            </w:pPr>
            <w:r>
              <w:rPr>
                <w:rFonts w:hint="eastAsia" w:ascii="微软雅黑" w:hAnsi="微软雅黑" w:eastAsia="微软雅黑"/>
                <w:b/>
                <w:szCs w:val="21"/>
              </w:rPr>
              <w:t>客 户 风 险 承 受 能 力 评 估 流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tcBorders>
              <w:bottom w:val="single" w:color="auto" w:sz="4" w:space="0"/>
            </w:tcBorders>
            <w:shd w:val="clear" w:color="auto" w:fill="auto"/>
          </w:tcPr>
          <w:p>
            <w:pPr>
              <w:ind w:firstLine="360" w:firstLineChars="200"/>
              <w:rPr>
                <w:rFonts w:ascii="微软雅黑" w:hAnsi="微软雅黑" w:eastAsia="微软雅黑"/>
                <w:sz w:val="18"/>
                <w:szCs w:val="18"/>
              </w:rPr>
            </w:pPr>
            <w:r>
              <w:rPr>
                <w:rFonts w:ascii="微软雅黑" w:hAnsi="微软雅黑" w:eastAsia="微软雅黑"/>
                <w:sz w:val="18"/>
                <w:szCs w:val="18"/>
              </w:rPr>
              <w:t>2.1</w:t>
            </w:r>
            <w:r>
              <w:rPr>
                <w:rFonts w:hint="eastAsia" w:ascii="微软雅黑" w:hAnsi="微软雅黑" w:eastAsia="微软雅黑"/>
                <w:sz w:val="18"/>
                <w:szCs w:val="18"/>
              </w:rPr>
              <w:t>个人客户</w:t>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评估场所：首次在本行认</w:t>
            </w:r>
            <w:r>
              <w:rPr>
                <w:rFonts w:ascii="微软雅黑" w:hAnsi="微软雅黑" w:eastAsia="微软雅黑"/>
                <w:sz w:val="18"/>
                <w:szCs w:val="18"/>
              </w:rPr>
              <w:t>/</w:t>
            </w:r>
            <w:r>
              <w:rPr>
                <w:rFonts w:hint="eastAsia" w:ascii="微软雅黑" w:hAnsi="微软雅黑" w:eastAsia="微软雅黑"/>
                <w:sz w:val="18"/>
                <w:szCs w:val="18"/>
              </w:rPr>
              <w:t>申购理财产品的，您需亲自至本行营业网点接受风险承受能力评估；</w:t>
            </w:r>
            <w:r>
              <w:rPr>
                <w:rFonts w:ascii="微软雅黑" w:hAnsi="微软雅黑" w:eastAsia="微软雅黑"/>
                <w:sz w:val="18"/>
                <w:szCs w:val="18"/>
              </w:rPr>
              <w:t>(2)</w:t>
            </w:r>
            <w:r>
              <w:rPr>
                <w:rFonts w:hint="eastAsia" w:ascii="微软雅黑" w:hAnsi="微软雅黑" w:eastAsia="微软雅黑"/>
                <w:sz w:val="18"/>
                <w:szCs w:val="18"/>
              </w:rPr>
              <w:t>评估流程：填写《瑞丰银行理财客户风险评估问卷》，经您和评估人员双方确认后，由本行将评估结果录入系统；</w:t>
            </w:r>
            <w:r>
              <w:rPr>
                <w:rFonts w:ascii="微软雅黑" w:hAnsi="微软雅黑" w:eastAsia="微软雅黑"/>
                <w:sz w:val="18"/>
                <w:szCs w:val="18"/>
              </w:rPr>
              <w:t>(3)</w:t>
            </w:r>
            <w:r>
              <w:rPr>
                <w:rFonts w:hint="eastAsia" w:ascii="微软雅黑" w:hAnsi="微软雅黑" w:eastAsia="微软雅黑"/>
                <w:sz w:val="18"/>
                <w:szCs w:val="18"/>
              </w:rPr>
              <w:t>客户风险承受能力评级：本行根据客户的财务状况、投资经验、投资风格、风险承受能力等因素设计评估问卷并确定评估标准后，将客户的风险承受能力分为五级，按照风险承受能力从低到高的顺序依次为：保守型、谨慎型、稳健型、进取型、激进型；</w:t>
            </w:r>
            <w:r>
              <w:rPr>
                <w:rFonts w:ascii="微软雅黑" w:hAnsi="微软雅黑" w:eastAsia="微软雅黑"/>
                <w:sz w:val="18"/>
                <w:szCs w:val="18"/>
              </w:rPr>
              <w:t>(4)</w:t>
            </w:r>
            <w:r>
              <w:rPr>
                <w:rFonts w:hint="eastAsia" w:ascii="微软雅黑" w:hAnsi="微软雅黑" w:eastAsia="微软雅黑"/>
                <w:sz w:val="18"/>
                <w:szCs w:val="18"/>
              </w:rPr>
              <w:t>理财产品风险等级：本行根据自身管理制度和要求及其确定的内部标准，将理财产品的风险等级分为五级，按照产品风险从低到高的顺序依次为：</w:t>
            </w:r>
            <w:r>
              <w:rPr>
                <w:rFonts w:ascii="微软雅黑" w:hAnsi="微软雅黑" w:eastAsia="微软雅黑"/>
                <w:sz w:val="18"/>
                <w:szCs w:val="18"/>
              </w:rPr>
              <w:t xml:space="preserve"> PR1</w:t>
            </w:r>
            <w:r>
              <w:rPr>
                <w:rFonts w:hint="eastAsia" w:ascii="微软雅黑" w:hAnsi="微软雅黑" w:eastAsia="微软雅黑"/>
                <w:sz w:val="18"/>
                <w:szCs w:val="18"/>
              </w:rPr>
              <w:t>级（低风险级）、</w:t>
            </w:r>
            <w:r>
              <w:rPr>
                <w:rFonts w:ascii="微软雅黑" w:hAnsi="微软雅黑" w:eastAsia="微软雅黑"/>
                <w:sz w:val="18"/>
                <w:szCs w:val="18"/>
              </w:rPr>
              <w:t>PR2</w:t>
            </w:r>
            <w:r>
              <w:rPr>
                <w:rFonts w:hint="eastAsia" w:ascii="微软雅黑" w:hAnsi="微软雅黑" w:eastAsia="微软雅黑"/>
                <w:sz w:val="18"/>
                <w:szCs w:val="18"/>
              </w:rPr>
              <w:t>级（中低风险级）、</w:t>
            </w:r>
            <w:r>
              <w:rPr>
                <w:rFonts w:ascii="微软雅黑" w:hAnsi="微软雅黑" w:eastAsia="微软雅黑"/>
                <w:sz w:val="18"/>
                <w:szCs w:val="18"/>
              </w:rPr>
              <w:t>PR3</w:t>
            </w:r>
            <w:r>
              <w:rPr>
                <w:rFonts w:hint="eastAsia" w:ascii="微软雅黑" w:hAnsi="微软雅黑" w:eastAsia="微软雅黑"/>
                <w:sz w:val="18"/>
                <w:szCs w:val="18"/>
              </w:rPr>
              <w:t>级（中等风险级）、</w:t>
            </w:r>
            <w:r>
              <w:rPr>
                <w:rFonts w:ascii="微软雅黑" w:hAnsi="微软雅黑" w:eastAsia="微软雅黑"/>
                <w:sz w:val="18"/>
                <w:szCs w:val="18"/>
              </w:rPr>
              <w:t>PR4</w:t>
            </w:r>
            <w:r>
              <w:rPr>
                <w:rFonts w:hint="eastAsia" w:ascii="微软雅黑" w:hAnsi="微软雅黑" w:eastAsia="微软雅黑"/>
                <w:sz w:val="18"/>
                <w:szCs w:val="18"/>
              </w:rPr>
              <w:t>级（中高风险级）、</w:t>
            </w:r>
            <w:r>
              <w:rPr>
                <w:rFonts w:ascii="微软雅黑" w:hAnsi="微软雅黑" w:eastAsia="微软雅黑"/>
                <w:sz w:val="18"/>
                <w:szCs w:val="18"/>
              </w:rPr>
              <w:t>PR5</w:t>
            </w:r>
            <w:r>
              <w:rPr>
                <w:rFonts w:hint="eastAsia" w:ascii="微软雅黑" w:hAnsi="微软雅黑" w:eastAsia="微软雅黑"/>
                <w:sz w:val="18"/>
                <w:szCs w:val="18"/>
              </w:rPr>
              <w:t>级（高风险级）；</w:t>
            </w:r>
            <w:r>
              <w:rPr>
                <w:rFonts w:ascii="微软雅黑" w:hAnsi="微软雅黑" w:eastAsia="微软雅黑"/>
                <w:sz w:val="18"/>
                <w:szCs w:val="18"/>
              </w:rPr>
              <w:t>(5)</w:t>
            </w:r>
            <w:r>
              <w:rPr>
                <w:rFonts w:hint="eastAsia" w:ascii="微软雅黑" w:hAnsi="微软雅黑" w:eastAsia="微软雅黑"/>
                <w:sz w:val="18"/>
                <w:szCs w:val="18"/>
              </w:rPr>
              <w:t>客户风险承受能力与适合购买的理财产品的对应关系为：保守型</w:t>
            </w:r>
            <w:r>
              <w:rPr>
                <w:rFonts w:ascii="微软雅黑" w:hAnsi="微软雅黑" w:eastAsia="微软雅黑"/>
                <w:sz w:val="18"/>
                <w:szCs w:val="18"/>
              </w:rPr>
              <w:t>——PR1</w:t>
            </w:r>
            <w:r>
              <w:rPr>
                <w:rFonts w:hint="eastAsia" w:ascii="微软雅黑" w:hAnsi="微软雅黑" w:eastAsia="微软雅黑"/>
                <w:sz w:val="18"/>
                <w:szCs w:val="18"/>
              </w:rPr>
              <w:t>级；谨慎型</w:t>
            </w:r>
            <w:r>
              <w:rPr>
                <w:rFonts w:ascii="微软雅黑" w:hAnsi="微软雅黑" w:eastAsia="微软雅黑"/>
                <w:sz w:val="18"/>
                <w:szCs w:val="18"/>
              </w:rPr>
              <w:t>——PR2</w:t>
            </w:r>
            <w:r>
              <w:rPr>
                <w:rFonts w:hint="eastAsia" w:ascii="微软雅黑" w:hAnsi="微软雅黑" w:eastAsia="微软雅黑"/>
                <w:sz w:val="18"/>
                <w:szCs w:val="18"/>
              </w:rPr>
              <w:t>级（含）以下；稳健型</w:t>
            </w:r>
            <w:r>
              <w:rPr>
                <w:rFonts w:ascii="微软雅黑" w:hAnsi="微软雅黑" w:eastAsia="微软雅黑"/>
                <w:sz w:val="18"/>
                <w:szCs w:val="18"/>
              </w:rPr>
              <w:t>——PR3</w:t>
            </w:r>
            <w:r>
              <w:rPr>
                <w:rFonts w:hint="eastAsia" w:ascii="微软雅黑" w:hAnsi="微软雅黑" w:eastAsia="微软雅黑"/>
                <w:sz w:val="18"/>
                <w:szCs w:val="18"/>
              </w:rPr>
              <w:t>级（含）以下、进取型</w:t>
            </w:r>
            <w:r>
              <w:rPr>
                <w:rFonts w:ascii="微软雅黑" w:hAnsi="微软雅黑" w:eastAsia="微软雅黑"/>
                <w:sz w:val="18"/>
                <w:szCs w:val="18"/>
              </w:rPr>
              <w:t>——PR4</w:t>
            </w:r>
            <w:r>
              <w:rPr>
                <w:rFonts w:hint="eastAsia" w:ascii="微软雅黑" w:hAnsi="微软雅黑" w:eastAsia="微软雅黑"/>
                <w:sz w:val="18"/>
                <w:szCs w:val="18"/>
              </w:rPr>
              <w:t>级（含）以下；激进型</w:t>
            </w:r>
            <w:r>
              <w:rPr>
                <w:rFonts w:ascii="微软雅黑" w:hAnsi="微软雅黑" w:eastAsia="微软雅黑"/>
                <w:sz w:val="18"/>
                <w:szCs w:val="18"/>
              </w:rPr>
              <w:t>——PR5</w:t>
            </w:r>
            <w:r>
              <w:rPr>
                <w:rFonts w:hint="eastAsia" w:ascii="微软雅黑" w:hAnsi="微软雅黑" w:eastAsia="微软雅黑"/>
                <w:sz w:val="18"/>
                <w:szCs w:val="18"/>
              </w:rPr>
              <w:t>级（含）以下；</w:t>
            </w:r>
            <w:r>
              <w:rPr>
                <w:rFonts w:ascii="微软雅黑" w:hAnsi="微软雅黑" w:eastAsia="微软雅黑"/>
                <w:sz w:val="18"/>
                <w:szCs w:val="18"/>
              </w:rPr>
              <w:t>(6)</w:t>
            </w:r>
            <w:r>
              <w:rPr>
                <w:rFonts w:hint="eastAsia" w:ascii="微软雅黑" w:hAnsi="微软雅黑" w:eastAsia="微软雅黑"/>
                <w:sz w:val="18"/>
                <w:szCs w:val="18"/>
              </w:rPr>
              <w:t>如果您超过一年未在本行进行风险承受能力评估，或者发生影响您自身风险承受能力的情况，请在再次认</w:t>
            </w:r>
            <w:r>
              <w:rPr>
                <w:rFonts w:ascii="微软雅黑" w:hAnsi="微软雅黑" w:eastAsia="微软雅黑"/>
                <w:sz w:val="18"/>
                <w:szCs w:val="18"/>
              </w:rPr>
              <w:t>/</w:t>
            </w:r>
            <w:r>
              <w:rPr>
                <w:rFonts w:hint="eastAsia" w:ascii="微软雅黑" w:hAnsi="微软雅黑" w:eastAsia="微软雅黑"/>
                <w:sz w:val="18"/>
                <w:szCs w:val="18"/>
              </w:rPr>
              <w:t>申购理财产品前主动要求及接受本行对您再次进行风险承受能力评估。</w:t>
            </w:r>
          </w:p>
          <w:p>
            <w:pPr>
              <w:ind w:firstLine="360" w:firstLineChars="200"/>
              <w:rPr>
                <w:rFonts w:ascii="微软雅黑" w:hAnsi="微软雅黑" w:eastAsia="微软雅黑"/>
                <w:sz w:val="18"/>
                <w:szCs w:val="18"/>
              </w:rPr>
            </w:pPr>
            <w:r>
              <w:rPr>
                <w:rFonts w:ascii="微软雅黑" w:hAnsi="微软雅黑" w:eastAsia="微软雅黑"/>
                <w:sz w:val="18"/>
                <w:szCs w:val="18"/>
              </w:rPr>
              <w:t>2.2</w:t>
            </w:r>
            <w:r>
              <w:rPr>
                <w:rFonts w:hint="eastAsia" w:ascii="微软雅黑" w:hAnsi="微软雅黑" w:eastAsia="微软雅黑"/>
                <w:sz w:val="18"/>
                <w:szCs w:val="18"/>
              </w:rPr>
              <w:t>机构客户</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机构客户请根据自身的财务状况、投资经验、投资目标、风险认知、风险判断及其他因素综合考量理财产品的投资风险及自身的风险承受能力，本行不再进行风险承受能力评估。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信 息 披 露 的 方 式 、 渠 道 和 频 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9968" w:type="dxa"/>
            <w:tcBorders>
              <w:bottom w:val="single" w:color="auto" w:sz="4" w:space="0"/>
            </w:tcBorders>
            <w:shd w:val="clear" w:color="auto" w:fill="auto"/>
          </w:tcPr>
          <w:p>
            <w:pPr>
              <w:ind w:firstLine="360" w:firstLineChars="200"/>
              <w:rPr>
                <w:rFonts w:ascii="微软雅黑" w:hAnsi="微软雅黑" w:eastAsia="微软雅黑"/>
                <w:sz w:val="18"/>
                <w:szCs w:val="18"/>
              </w:rPr>
            </w:pPr>
            <w:r>
              <w:rPr>
                <w:rFonts w:hint="eastAsia" w:ascii="微软雅黑" w:hAnsi="微软雅黑" w:eastAsia="微软雅黑"/>
                <w:sz w:val="18"/>
                <w:szCs w:val="18"/>
              </w:rPr>
              <w:t>3.1本行将以下述至少一种方式和渠道进行信息披露：</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(1)在本行官方网站（</w:t>
            </w:r>
            <w:r>
              <w:fldChar w:fldCharType="begin"/>
            </w:r>
            <w:r>
              <w:instrText xml:space="preserve"> HYPERLINK "http://www.borf.cn/" </w:instrText>
            </w:r>
            <w:r>
              <w:fldChar w:fldCharType="separate"/>
            </w:r>
            <w:r>
              <w:rPr>
                <w:rFonts w:ascii="微软雅黑" w:hAnsi="微软雅黑" w:eastAsia="微软雅黑"/>
                <w:sz w:val="18"/>
                <w:szCs w:val="18"/>
              </w:rPr>
              <w:t>http://www.borf.cn/</w:t>
            </w:r>
            <w:r>
              <w:rPr>
                <w:rFonts w:ascii="微软雅黑" w:hAnsi="微软雅黑" w:eastAsia="微软雅黑"/>
                <w:sz w:val="18"/>
                <w:szCs w:val="18"/>
              </w:rPr>
              <w:fldChar w:fldCharType="end"/>
            </w:r>
            <w:r>
              <w:rPr>
                <w:rFonts w:hint="eastAsia" w:ascii="微软雅黑" w:hAnsi="微软雅黑" w:eastAsia="微软雅黑"/>
                <w:sz w:val="18"/>
                <w:szCs w:val="18"/>
              </w:rPr>
              <w:t>）发布公告；(2)在本行营业网点发布公告；(3)通过网上银行等电子渠道查询或公告形式进行披露；(4)通过与客户书面约定的其他方式进行披露。</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协议约定本行官方网站作为信息披露主要方式及渠道点，客户签署本协议即默认为确认本行官方网站为默认信息披露渠道。</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3.2信息披露的内容和频率：</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(1)如果市场发生重大变化导致理财产品所投资的各项金融工具的实际投资比例暂时超出产品合约约定的浮动区间且可能对客户收益产生重大影响，本行将按照约定进行披露；(2)如果本行根据市场情况调整投资范围、投资品种或者超出产品合约约定的浮动区间调整投资比例，则本行将按照约定进行披露；(3)如果本行根据相关法律和国家政策规定，需要对理财合同已约定的收费项目、条件、标准或方式进行调整，则本行将按照约定进行披露；(4)在理财产品到期日(或本行提前终止日)后一定期间内(具体期限以理财合同为准)，本行将按照上述信息披露方式向客户提供一次理财计划清算报告，对理财产品资产的投资概况、收益状况和理财产品分配情况做出说明。(5)本行将按照理财合同的约定披露其他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客 户 投 诉 的 方 式 和 程 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68" w:type="dxa"/>
            <w:tcBorders>
              <w:bottom w:val="single" w:color="auto" w:sz="4" w:space="0"/>
            </w:tcBorders>
            <w:shd w:val="clear" w:color="auto" w:fill="auto"/>
            <w:vAlign w:val="center"/>
          </w:tcPr>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如您对本行理财产品或服务有任何疑问、意见或建议，均可联系本行理财经理或反馈至本行营业网点，也可致电本行全国统一客户服务热线：40088-96596。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68" w:type="dxa"/>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本 行 联 系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68" w:type="dxa"/>
            <w:shd w:val="clear" w:color="auto" w:fill="auto"/>
            <w:vAlign w:val="center"/>
          </w:tcPr>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网址：</w:t>
            </w:r>
            <w:r>
              <w:fldChar w:fldCharType="begin"/>
            </w:r>
            <w:r>
              <w:instrText xml:space="preserve"> HYPERLINK "http://www.borf.cn/" </w:instrText>
            </w:r>
            <w:r>
              <w:fldChar w:fldCharType="separate"/>
            </w:r>
            <w:r>
              <w:rPr>
                <w:rFonts w:ascii="Arial" w:hAnsi="Arial" w:eastAsia="Arial Unicode MS" w:cs="Arial"/>
                <w:sz w:val="18"/>
                <w:szCs w:val="18"/>
              </w:rPr>
              <w:t>http://www.borf.cn/</w:t>
            </w:r>
            <w:r>
              <w:rPr>
                <w:rFonts w:ascii="Arial" w:hAnsi="Arial" w:eastAsia="Arial Unicode MS" w:cs="Arial"/>
                <w:sz w:val="18"/>
                <w:szCs w:val="18"/>
              </w:rPr>
              <w:fldChar w:fldCharType="end"/>
            </w:r>
            <w:r>
              <w:rPr>
                <w:rFonts w:hint="eastAsia" w:ascii="微软雅黑" w:hAnsi="微软雅黑" w:eastAsia="微软雅黑"/>
                <w:sz w:val="18"/>
                <w:szCs w:val="18"/>
              </w:rPr>
              <w:t xml:space="preserve">                客户服务热线：0575-81105384</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联系地址：绍兴市柯桥区笛扬路1363号瑞丰大厦                         邮编：312030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68" w:type="dxa"/>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特 别 申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68" w:type="dxa"/>
            <w:tcBorders>
              <w:bottom w:val="single" w:color="auto" w:sz="4" w:space="0"/>
            </w:tcBorders>
            <w:shd w:val="clear" w:color="auto" w:fill="FFFFFF"/>
            <w:vAlign w:val="center"/>
          </w:tcPr>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1、若客户对本《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》内容有任何疑问，请向瑞丰银行销售人员咨询，本理财产品只根据本《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》所载事项操作。</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2、本《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》与《瑞丰银行理财产品总协议书》、《瑞丰银行理财业务协议书》为不可分割之组成部分, 客户购买本理财产品需仔细阅读本《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》与《瑞丰银行理财产品总协议书》并签字确认。</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3、本期人民币理财产品业绩比较基准仅供客户参考，并不作为瑞丰银行向客户支付理财收益的承诺；客户所能获得的最终收益以瑞丰银行实际支付的为准。</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4、客户应密切关注瑞丰银行与本理财产品有关的信息公告，以免造成不必要的损失。</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5、根据《中国银行保险监督管理委员会办公厅关于进一步做好银行理财信息登记工作有关事项的通知》的规定，客户持有理财产品期间，销售银行需持续向银行业理财登记托管中心（以下简称理财中心）报送客户身份信息及持有理财产品信息，包括但不限于客户证件号码、名称、性别、手机号码、邮箱、持有产品登记编码、持有份额、持有金额等信息。客户签署本协议书则被视为已授权销售银行向理财中心报送上述信息。通过电子渠道办理理财产品认购或申购的，一经认购或申购，则被视为已授权销售银行向理财中心报送上述信息。</w:t>
            </w:r>
          </w:p>
          <w:p>
            <w:pPr>
              <w:autoSpaceDE w:val="0"/>
              <w:autoSpaceDN w:val="0"/>
              <w:adjustRightInd w:val="0"/>
              <w:snapToGrid w:val="0"/>
              <w:spacing w:line="240" w:lineRule="exact"/>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6、本产品存续期间，我行可提供客户对账单，客户如有需求，请自行前往我行任意网点获取。</w:t>
            </w:r>
          </w:p>
          <w:p>
            <w:pPr>
              <w:autoSpaceDE w:val="0"/>
              <w:autoSpaceDN w:val="0"/>
              <w:adjustRightInd w:val="0"/>
              <w:snapToGrid w:val="0"/>
              <w:spacing w:line="240" w:lineRule="exact"/>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7、本产品说明书一式二份，银行执一份，客户执一份。</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cs="宋体"/>
                <w:b/>
                <w:bCs/>
                <w:sz w:val="18"/>
                <w:szCs w:val="18"/>
              </w:rPr>
              <w:t>8、本理财产品说明书的最终解释权归瑞丰银行所有。</w:t>
            </w:r>
          </w:p>
        </w:tc>
      </w:tr>
    </w:tbl>
    <w:p>
      <w:pPr>
        <w:spacing w:line="240" w:lineRule="exact"/>
        <w:ind w:right="-1021" w:rightChars="-486"/>
        <w:rPr>
          <w:rFonts w:ascii="微软雅黑" w:hAnsi="微软雅黑" w:eastAsia="微软雅黑"/>
          <w:b/>
          <w:kern w:val="0"/>
          <w:szCs w:val="21"/>
        </w:rPr>
      </w:pPr>
      <w:bookmarkStart w:id="0" w:name="_GoBack"/>
      <w:bookmarkEnd w:id="0"/>
    </w:p>
    <w:sectPr>
      <w:headerReference r:id="rId3" w:type="default"/>
      <w:footerReference r:id="rId4" w:type="default"/>
      <w:pgSz w:w="11906" w:h="16838"/>
      <w:pgMar w:top="885" w:right="1021" w:bottom="709" w:left="1134" w:header="730" w:footer="22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5"/>
        <w:tab w:val="clear" w:pos="4153"/>
        <w:tab w:val="clear" w:pos="8306"/>
      </w:tabs>
      <w:rPr>
        <w:sz w:val="13"/>
        <w:szCs w:val="13"/>
      </w:rPr>
    </w:pPr>
    <w:r>
      <w:rPr>
        <w:sz w:val="24"/>
      </w:rPr>
      <w:pict>
        <v:shape id="文本框4" o:spid="_x0000_s4097" o:spt="202" type="#_x0000_t202" style="position:absolute;left:0pt;margin-left:210pt;margin-top:4.5pt;height:144pt;width:144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一</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v:textbox>
        </v:shape>
      </w:pict>
    </w:r>
    <w:r>
      <w:rPr>
        <w:rFonts w:hint="eastAsia" w:ascii="微软雅黑" w:hAnsi="微软雅黑" w:eastAsia="微软雅黑"/>
        <w:b/>
        <w:sz w:val="24"/>
      </w:rPr>
      <w:t>理财非存款、产品有风险、投资须谨慎</w:t>
    </w:r>
    <w:r>
      <w:rPr>
        <w:sz w:val="13"/>
        <w:szCs w:val="13"/>
      </w:rPr>
      <w:tab/>
    </w:r>
  </w:p>
  <w:p>
    <w:pPr>
      <w:rPr>
        <w:rFonts w:ascii="微软雅黑" w:hAnsi="微软雅黑" w:eastAsia="微软雅黑"/>
        <w:b/>
        <w:sz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drawing>
        <wp:anchor distT="0" distB="0" distL="114300" distR="114300" simplePos="0" relativeHeight="251658240" behindDoc="0" locked="0" layoutInCell="1" allowOverlap="1">
          <wp:simplePos x="0" y="0"/>
          <wp:positionH relativeFrom="column">
            <wp:posOffset>5090160</wp:posOffset>
          </wp:positionH>
          <wp:positionV relativeFrom="paragraph">
            <wp:posOffset>-191135</wp:posOffset>
          </wp:positionV>
          <wp:extent cx="984250" cy="252730"/>
          <wp:effectExtent l="19050" t="0" r="6350" b="0"/>
          <wp:wrapNone/>
          <wp:docPr id="1" name="Picture 6"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致富理财ICON [转换]-01"/>
                  <pic:cNvPicPr>
                    <a:picLocks noChangeAspect="1" noChangeArrowheads="1"/>
                  </pic:cNvPicPr>
                </pic:nvPicPr>
                <pic:blipFill>
                  <a:blip r:embed="rId1"/>
                  <a:srcRect l="6451" t="21858" r="6451" b="19850"/>
                  <a:stretch>
                    <a:fillRect/>
                  </a:stretch>
                </pic:blipFill>
                <pic:spPr>
                  <a:xfrm>
                    <a:off x="0" y="0"/>
                    <a:ext cx="984250" cy="252730"/>
                  </a:xfrm>
                  <a:prstGeom prst="rect">
                    <a:avLst/>
                  </a:prstGeom>
                  <a:noFill/>
                  <a:ln w="9525">
                    <a:noFill/>
                    <a:miter lim="800000"/>
                    <a:headEnd/>
                    <a:tailEnd/>
                  </a:ln>
                </pic:spPr>
              </pic:pic>
            </a:graphicData>
          </a:graphic>
        </wp:anchor>
      </w:drawing>
    </w:r>
    <w:r>
      <w:drawing>
        <wp:anchor distT="0" distB="0" distL="114300" distR="114300" simplePos="0" relativeHeight="251657216" behindDoc="0" locked="0" layoutInCell="1" allowOverlap="1">
          <wp:simplePos x="0" y="0"/>
          <wp:positionH relativeFrom="column">
            <wp:posOffset>37465</wp:posOffset>
          </wp:positionH>
          <wp:positionV relativeFrom="paragraph">
            <wp:posOffset>-220980</wp:posOffset>
          </wp:positionV>
          <wp:extent cx="1045845" cy="282575"/>
          <wp:effectExtent l="0" t="0" r="0" b="0"/>
          <wp:wrapNone/>
          <wp:docPr id="2" name="Picture 5"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瑞丰银行 logo - slogan2-02"/>
                  <pic:cNvPicPr>
                    <a:picLocks noChangeAspect="1" noChangeArrowheads="1"/>
                  </pic:cNvPicPr>
                </pic:nvPicPr>
                <pic:blipFill>
                  <a:blip r:embed="rId2"/>
                  <a:srcRect/>
                  <a:stretch>
                    <a:fillRect/>
                  </a:stretch>
                </pic:blipFill>
                <pic:spPr>
                  <a:xfrm>
                    <a:off x="0" y="0"/>
                    <a:ext cx="1045845" cy="2825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64C"/>
    <w:rsid w:val="000129CC"/>
    <w:rsid w:val="00012AC7"/>
    <w:rsid w:val="00015B83"/>
    <w:rsid w:val="000172B8"/>
    <w:rsid w:val="00017422"/>
    <w:rsid w:val="00017553"/>
    <w:rsid w:val="00025EFE"/>
    <w:rsid w:val="000320E7"/>
    <w:rsid w:val="0003558E"/>
    <w:rsid w:val="00035F4E"/>
    <w:rsid w:val="000361D0"/>
    <w:rsid w:val="000435BF"/>
    <w:rsid w:val="00045FA5"/>
    <w:rsid w:val="00054D81"/>
    <w:rsid w:val="000574F9"/>
    <w:rsid w:val="000575D4"/>
    <w:rsid w:val="00062C12"/>
    <w:rsid w:val="000630D8"/>
    <w:rsid w:val="00063B27"/>
    <w:rsid w:val="00072974"/>
    <w:rsid w:val="0007495D"/>
    <w:rsid w:val="000771E4"/>
    <w:rsid w:val="00081288"/>
    <w:rsid w:val="000856AB"/>
    <w:rsid w:val="00086373"/>
    <w:rsid w:val="00093994"/>
    <w:rsid w:val="0009478C"/>
    <w:rsid w:val="00096A92"/>
    <w:rsid w:val="000A7190"/>
    <w:rsid w:val="000B151E"/>
    <w:rsid w:val="000B1F37"/>
    <w:rsid w:val="000B4AD6"/>
    <w:rsid w:val="000B67B5"/>
    <w:rsid w:val="000C077F"/>
    <w:rsid w:val="000E0702"/>
    <w:rsid w:val="000E47B5"/>
    <w:rsid w:val="000E5115"/>
    <w:rsid w:val="000E6F28"/>
    <w:rsid w:val="000F3D79"/>
    <w:rsid w:val="001024A7"/>
    <w:rsid w:val="00104412"/>
    <w:rsid w:val="001133E9"/>
    <w:rsid w:val="00115793"/>
    <w:rsid w:val="00116C5D"/>
    <w:rsid w:val="00123005"/>
    <w:rsid w:val="00130BB2"/>
    <w:rsid w:val="001320F7"/>
    <w:rsid w:val="00132C83"/>
    <w:rsid w:val="00136C2D"/>
    <w:rsid w:val="0014124D"/>
    <w:rsid w:val="0014587F"/>
    <w:rsid w:val="00145E52"/>
    <w:rsid w:val="00152992"/>
    <w:rsid w:val="0015404F"/>
    <w:rsid w:val="001600C7"/>
    <w:rsid w:val="0016336E"/>
    <w:rsid w:val="00171065"/>
    <w:rsid w:val="00172A27"/>
    <w:rsid w:val="00173E2D"/>
    <w:rsid w:val="00183977"/>
    <w:rsid w:val="00185B23"/>
    <w:rsid w:val="0019530C"/>
    <w:rsid w:val="00196182"/>
    <w:rsid w:val="001B0603"/>
    <w:rsid w:val="001B1464"/>
    <w:rsid w:val="001B3720"/>
    <w:rsid w:val="001C0170"/>
    <w:rsid w:val="001C1B53"/>
    <w:rsid w:val="001C54C3"/>
    <w:rsid w:val="001C6B2C"/>
    <w:rsid w:val="001C7526"/>
    <w:rsid w:val="001D1038"/>
    <w:rsid w:val="001D1B5C"/>
    <w:rsid w:val="001D46AA"/>
    <w:rsid w:val="001D4F7E"/>
    <w:rsid w:val="001D71DF"/>
    <w:rsid w:val="001D7489"/>
    <w:rsid w:val="001D7CD0"/>
    <w:rsid w:val="001E3F05"/>
    <w:rsid w:val="001F61D1"/>
    <w:rsid w:val="001F6404"/>
    <w:rsid w:val="001F713F"/>
    <w:rsid w:val="00201CAE"/>
    <w:rsid w:val="00202BF6"/>
    <w:rsid w:val="002167CA"/>
    <w:rsid w:val="0021785C"/>
    <w:rsid w:val="0022303C"/>
    <w:rsid w:val="00237AEF"/>
    <w:rsid w:val="00243E08"/>
    <w:rsid w:val="002441AC"/>
    <w:rsid w:val="00250E0F"/>
    <w:rsid w:val="002573A4"/>
    <w:rsid w:val="00264CB4"/>
    <w:rsid w:val="00265FCD"/>
    <w:rsid w:val="00266EBE"/>
    <w:rsid w:val="00267EA1"/>
    <w:rsid w:val="00271876"/>
    <w:rsid w:val="002764F6"/>
    <w:rsid w:val="002837CE"/>
    <w:rsid w:val="002941AD"/>
    <w:rsid w:val="00295587"/>
    <w:rsid w:val="002B369C"/>
    <w:rsid w:val="002B4E8E"/>
    <w:rsid w:val="002C051C"/>
    <w:rsid w:val="002C3B1C"/>
    <w:rsid w:val="002D1128"/>
    <w:rsid w:val="002D2D52"/>
    <w:rsid w:val="002D35C5"/>
    <w:rsid w:val="002D708A"/>
    <w:rsid w:val="002E2883"/>
    <w:rsid w:val="00301B23"/>
    <w:rsid w:val="0030234A"/>
    <w:rsid w:val="00305F21"/>
    <w:rsid w:val="003065ED"/>
    <w:rsid w:val="003174B4"/>
    <w:rsid w:val="003268EA"/>
    <w:rsid w:val="003305DE"/>
    <w:rsid w:val="00331201"/>
    <w:rsid w:val="00342566"/>
    <w:rsid w:val="00351FE3"/>
    <w:rsid w:val="00355F3A"/>
    <w:rsid w:val="003615F4"/>
    <w:rsid w:val="00377146"/>
    <w:rsid w:val="003832A1"/>
    <w:rsid w:val="003858E7"/>
    <w:rsid w:val="003936D8"/>
    <w:rsid w:val="003B7C78"/>
    <w:rsid w:val="003C52B9"/>
    <w:rsid w:val="003C5610"/>
    <w:rsid w:val="003D497B"/>
    <w:rsid w:val="003E0BCD"/>
    <w:rsid w:val="003E3A75"/>
    <w:rsid w:val="003E4672"/>
    <w:rsid w:val="003E64D4"/>
    <w:rsid w:val="003E7F73"/>
    <w:rsid w:val="003F4C7B"/>
    <w:rsid w:val="003F59B7"/>
    <w:rsid w:val="004075B5"/>
    <w:rsid w:val="00413E2F"/>
    <w:rsid w:val="004166D5"/>
    <w:rsid w:val="00417CB0"/>
    <w:rsid w:val="00420413"/>
    <w:rsid w:val="0042402D"/>
    <w:rsid w:val="004240E1"/>
    <w:rsid w:val="004265DD"/>
    <w:rsid w:val="00430D3E"/>
    <w:rsid w:val="00431B6A"/>
    <w:rsid w:val="00440166"/>
    <w:rsid w:val="004406A7"/>
    <w:rsid w:val="004423A9"/>
    <w:rsid w:val="004426D2"/>
    <w:rsid w:val="00444DC7"/>
    <w:rsid w:val="00446738"/>
    <w:rsid w:val="0045235F"/>
    <w:rsid w:val="00454A5B"/>
    <w:rsid w:val="00457AEE"/>
    <w:rsid w:val="0046603C"/>
    <w:rsid w:val="004679BE"/>
    <w:rsid w:val="0047096E"/>
    <w:rsid w:val="00472A5F"/>
    <w:rsid w:val="00476154"/>
    <w:rsid w:val="004844DF"/>
    <w:rsid w:val="004905F6"/>
    <w:rsid w:val="0049241D"/>
    <w:rsid w:val="004A3622"/>
    <w:rsid w:val="004A7394"/>
    <w:rsid w:val="004B182E"/>
    <w:rsid w:val="004B5635"/>
    <w:rsid w:val="004C186D"/>
    <w:rsid w:val="004C7103"/>
    <w:rsid w:val="004D0949"/>
    <w:rsid w:val="004D0F74"/>
    <w:rsid w:val="004E6B53"/>
    <w:rsid w:val="004F2697"/>
    <w:rsid w:val="005008B4"/>
    <w:rsid w:val="00502E4F"/>
    <w:rsid w:val="00510413"/>
    <w:rsid w:val="00523647"/>
    <w:rsid w:val="00533732"/>
    <w:rsid w:val="00533C0D"/>
    <w:rsid w:val="00534797"/>
    <w:rsid w:val="00537E62"/>
    <w:rsid w:val="00555693"/>
    <w:rsid w:val="00557694"/>
    <w:rsid w:val="00566CDC"/>
    <w:rsid w:val="005700D1"/>
    <w:rsid w:val="005774B4"/>
    <w:rsid w:val="00581A11"/>
    <w:rsid w:val="00584217"/>
    <w:rsid w:val="00586B7A"/>
    <w:rsid w:val="0059563A"/>
    <w:rsid w:val="005B1465"/>
    <w:rsid w:val="005B1681"/>
    <w:rsid w:val="005B1920"/>
    <w:rsid w:val="005B5C6A"/>
    <w:rsid w:val="005B61BF"/>
    <w:rsid w:val="005C0C34"/>
    <w:rsid w:val="005C14F0"/>
    <w:rsid w:val="005C73D4"/>
    <w:rsid w:val="005D04BA"/>
    <w:rsid w:val="005D380A"/>
    <w:rsid w:val="005D42D1"/>
    <w:rsid w:val="005D4301"/>
    <w:rsid w:val="005D4513"/>
    <w:rsid w:val="005D6742"/>
    <w:rsid w:val="005E50A5"/>
    <w:rsid w:val="005E5BBA"/>
    <w:rsid w:val="005E67DB"/>
    <w:rsid w:val="005F2DFA"/>
    <w:rsid w:val="00600599"/>
    <w:rsid w:val="00600F88"/>
    <w:rsid w:val="00601307"/>
    <w:rsid w:val="00607154"/>
    <w:rsid w:val="00626F8D"/>
    <w:rsid w:val="00627B4E"/>
    <w:rsid w:val="00631112"/>
    <w:rsid w:val="00631552"/>
    <w:rsid w:val="00631904"/>
    <w:rsid w:val="00633B63"/>
    <w:rsid w:val="00635AB2"/>
    <w:rsid w:val="0063670C"/>
    <w:rsid w:val="006429BD"/>
    <w:rsid w:val="00643251"/>
    <w:rsid w:val="00643FF3"/>
    <w:rsid w:val="006450FF"/>
    <w:rsid w:val="00647763"/>
    <w:rsid w:val="00652709"/>
    <w:rsid w:val="0065570B"/>
    <w:rsid w:val="00655928"/>
    <w:rsid w:val="00661305"/>
    <w:rsid w:val="006654D6"/>
    <w:rsid w:val="0066560B"/>
    <w:rsid w:val="00666E4B"/>
    <w:rsid w:val="0066780A"/>
    <w:rsid w:val="0067281A"/>
    <w:rsid w:val="00673C9A"/>
    <w:rsid w:val="006756C8"/>
    <w:rsid w:val="006801B8"/>
    <w:rsid w:val="006818A2"/>
    <w:rsid w:val="00693004"/>
    <w:rsid w:val="00693671"/>
    <w:rsid w:val="006A3BC6"/>
    <w:rsid w:val="006A40AB"/>
    <w:rsid w:val="006B41EB"/>
    <w:rsid w:val="006B5455"/>
    <w:rsid w:val="006B5777"/>
    <w:rsid w:val="006C03E6"/>
    <w:rsid w:val="006C0E0B"/>
    <w:rsid w:val="006C28E0"/>
    <w:rsid w:val="006C6520"/>
    <w:rsid w:val="006C7F85"/>
    <w:rsid w:val="006D0C93"/>
    <w:rsid w:val="006E54DC"/>
    <w:rsid w:val="006E72D9"/>
    <w:rsid w:val="006F08F1"/>
    <w:rsid w:val="00701F94"/>
    <w:rsid w:val="00712F8F"/>
    <w:rsid w:val="0071487E"/>
    <w:rsid w:val="007221F9"/>
    <w:rsid w:val="00724D61"/>
    <w:rsid w:val="007263C1"/>
    <w:rsid w:val="007318F7"/>
    <w:rsid w:val="0073248B"/>
    <w:rsid w:val="00732E94"/>
    <w:rsid w:val="00741129"/>
    <w:rsid w:val="00741D39"/>
    <w:rsid w:val="00744ABA"/>
    <w:rsid w:val="00750874"/>
    <w:rsid w:val="007553DC"/>
    <w:rsid w:val="007613C9"/>
    <w:rsid w:val="00762F1E"/>
    <w:rsid w:val="00764579"/>
    <w:rsid w:val="00765772"/>
    <w:rsid w:val="00766863"/>
    <w:rsid w:val="00772B03"/>
    <w:rsid w:val="00774863"/>
    <w:rsid w:val="007770A5"/>
    <w:rsid w:val="00783AF5"/>
    <w:rsid w:val="007840AF"/>
    <w:rsid w:val="00785D30"/>
    <w:rsid w:val="00787DBB"/>
    <w:rsid w:val="00791B28"/>
    <w:rsid w:val="007A4A9B"/>
    <w:rsid w:val="007A629E"/>
    <w:rsid w:val="007B0058"/>
    <w:rsid w:val="007C480C"/>
    <w:rsid w:val="007D024A"/>
    <w:rsid w:val="007D37B7"/>
    <w:rsid w:val="007D607D"/>
    <w:rsid w:val="007D6748"/>
    <w:rsid w:val="007E62E4"/>
    <w:rsid w:val="007E682D"/>
    <w:rsid w:val="007E6AA4"/>
    <w:rsid w:val="007F301A"/>
    <w:rsid w:val="007F4CB1"/>
    <w:rsid w:val="007F6AB9"/>
    <w:rsid w:val="00800B96"/>
    <w:rsid w:val="008023A4"/>
    <w:rsid w:val="008116F7"/>
    <w:rsid w:val="008124AA"/>
    <w:rsid w:val="00812AC9"/>
    <w:rsid w:val="00814D83"/>
    <w:rsid w:val="00814E8D"/>
    <w:rsid w:val="008202BD"/>
    <w:rsid w:val="00822638"/>
    <w:rsid w:val="00824BD9"/>
    <w:rsid w:val="00825259"/>
    <w:rsid w:val="0082583A"/>
    <w:rsid w:val="00841E7D"/>
    <w:rsid w:val="00845C0F"/>
    <w:rsid w:val="008461F2"/>
    <w:rsid w:val="00852CD1"/>
    <w:rsid w:val="0086102B"/>
    <w:rsid w:val="00874B22"/>
    <w:rsid w:val="008807B9"/>
    <w:rsid w:val="0088335F"/>
    <w:rsid w:val="0088375C"/>
    <w:rsid w:val="008838E7"/>
    <w:rsid w:val="008915F9"/>
    <w:rsid w:val="00893FEC"/>
    <w:rsid w:val="00897047"/>
    <w:rsid w:val="008A1196"/>
    <w:rsid w:val="008A1B32"/>
    <w:rsid w:val="008A342D"/>
    <w:rsid w:val="008A779F"/>
    <w:rsid w:val="008B035D"/>
    <w:rsid w:val="008B2B2D"/>
    <w:rsid w:val="008B6846"/>
    <w:rsid w:val="008C6E11"/>
    <w:rsid w:val="008C72F3"/>
    <w:rsid w:val="008D6876"/>
    <w:rsid w:val="008D7880"/>
    <w:rsid w:val="008E1551"/>
    <w:rsid w:val="008E2518"/>
    <w:rsid w:val="008E4CA0"/>
    <w:rsid w:val="008E5034"/>
    <w:rsid w:val="008E5834"/>
    <w:rsid w:val="008E614C"/>
    <w:rsid w:val="008F2654"/>
    <w:rsid w:val="008F4F6D"/>
    <w:rsid w:val="008F61D6"/>
    <w:rsid w:val="0090235B"/>
    <w:rsid w:val="00915EA7"/>
    <w:rsid w:val="00917859"/>
    <w:rsid w:val="009210C8"/>
    <w:rsid w:val="009258C7"/>
    <w:rsid w:val="00932179"/>
    <w:rsid w:val="0093668A"/>
    <w:rsid w:val="00947CE7"/>
    <w:rsid w:val="00951E3D"/>
    <w:rsid w:val="009530C1"/>
    <w:rsid w:val="00953397"/>
    <w:rsid w:val="00953E15"/>
    <w:rsid w:val="00955990"/>
    <w:rsid w:val="00966A42"/>
    <w:rsid w:val="0096770F"/>
    <w:rsid w:val="0097080B"/>
    <w:rsid w:val="0097092C"/>
    <w:rsid w:val="00971261"/>
    <w:rsid w:val="00981279"/>
    <w:rsid w:val="009823F2"/>
    <w:rsid w:val="00990C2F"/>
    <w:rsid w:val="009910A3"/>
    <w:rsid w:val="00995027"/>
    <w:rsid w:val="009A54EB"/>
    <w:rsid w:val="009A796C"/>
    <w:rsid w:val="009A7AEC"/>
    <w:rsid w:val="009B2170"/>
    <w:rsid w:val="009B2C6B"/>
    <w:rsid w:val="009B72B1"/>
    <w:rsid w:val="009C020A"/>
    <w:rsid w:val="009C026F"/>
    <w:rsid w:val="009C0273"/>
    <w:rsid w:val="009C5F5F"/>
    <w:rsid w:val="009C7B71"/>
    <w:rsid w:val="009D0072"/>
    <w:rsid w:val="009D00C9"/>
    <w:rsid w:val="009E49FF"/>
    <w:rsid w:val="009F0C04"/>
    <w:rsid w:val="009F132F"/>
    <w:rsid w:val="009F3639"/>
    <w:rsid w:val="00A110C0"/>
    <w:rsid w:val="00A116E1"/>
    <w:rsid w:val="00A119E8"/>
    <w:rsid w:val="00A121DE"/>
    <w:rsid w:val="00A13056"/>
    <w:rsid w:val="00A16C78"/>
    <w:rsid w:val="00A21AB1"/>
    <w:rsid w:val="00A21FDC"/>
    <w:rsid w:val="00A259C7"/>
    <w:rsid w:val="00A3208B"/>
    <w:rsid w:val="00A355A3"/>
    <w:rsid w:val="00A3590E"/>
    <w:rsid w:val="00A52429"/>
    <w:rsid w:val="00A57452"/>
    <w:rsid w:val="00A61738"/>
    <w:rsid w:val="00A62687"/>
    <w:rsid w:val="00A703F8"/>
    <w:rsid w:val="00A7403E"/>
    <w:rsid w:val="00A77156"/>
    <w:rsid w:val="00A80571"/>
    <w:rsid w:val="00A84971"/>
    <w:rsid w:val="00A84A64"/>
    <w:rsid w:val="00A86053"/>
    <w:rsid w:val="00A87D87"/>
    <w:rsid w:val="00AA08F8"/>
    <w:rsid w:val="00AB0BDC"/>
    <w:rsid w:val="00AB5409"/>
    <w:rsid w:val="00AC2FCB"/>
    <w:rsid w:val="00AC6675"/>
    <w:rsid w:val="00AD45E1"/>
    <w:rsid w:val="00AE0B77"/>
    <w:rsid w:val="00AF0604"/>
    <w:rsid w:val="00B01312"/>
    <w:rsid w:val="00B015EA"/>
    <w:rsid w:val="00B0744A"/>
    <w:rsid w:val="00B11044"/>
    <w:rsid w:val="00B110F8"/>
    <w:rsid w:val="00B162BC"/>
    <w:rsid w:val="00B16C4D"/>
    <w:rsid w:val="00B20029"/>
    <w:rsid w:val="00B21ACF"/>
    <w:rsid w:val="00B22777"/>
    <w:rsid w:val="00B26CBD"/>
    <w:rsid w:val="00B31211"/>
    <w:rsid w:val="00B36492"/>
    <w:rsid w:val="00B36F5A"/>
    <w:rsid w:val="00B40986"/>
    <w:rsid w:val="00B42C2A"/>
    <w:rsid w:val="00B44428"/>
    <w:rsid w:val="00B44EE8"/>
    <w:rsid w:val="00B5055F"/>
    <w:rsid w:val="00B5220C"/>
    <w:rsid w:val="00B57E42"/>
    <w:rsid w:val="00B62E86"/>
    <w:rsid w:val="00B67A9E"/>
    <w:rsid w:val="00B771A3"/>
    <w:rsid w:val="00B82673"/>
    <w:rsid w:val="00B90184"/>
    <w:rsid w:val="00B901E9"/>
    <w:rsid w:val="00B91C38"/>
    <w:rsid w:val="00B938A4"/>
    <w:rsid w:val="00B96828"/>
    <w:rsid w:val="00BA7AC8"/>
    <w:rsid w:val="00BB700C"/>
    <w:rsid w:val="00BC11C7"/>
    <w:rsid w:val="00BD1EB8"/>
    <w:rsid w:val="00BE0E4A"/>
    <w:rsid w:val="00BF2102"/>
    <w:rsid w:val="00BF2DD6"/>
    <w:rsid w:val="00BF7029"/>
    <w:rsid w:val="00C02042"/>
    <w:rsid w:val="00C0217C"/>
    <w:rsid w:val="00C03E8B"/>
    <w:rsid w:val="00C06770"/>
    <w:rsid w:val="00C07F92"/>
    <w:rsid w:val="00C20793"/>
    <w:rsid w:val="00C23915"/>
    <w:rsid w:val="00C353AD"/>
    <w:rsid w:val="00C35D00"/>
    <w:rsid w:val="00C40287"/>
    <w:rsid w:val="00C40531"/>
    <w:rsid w:val="00C42F48"/>
    <w:rsid w:val="00C45CAD"/>
    <w:rsid w:val="00C475F6"/>
    <w:rsid w:val="00C479F1"/>
    <w:rsid w:val="00C53B32"/>
    <w:rsid w:val="00C56219"/>
    <w:rsid w:val="00C63365"/>
    <w:rsid w:val="00C637A6"/>
    <w:rsid w:val="00C67BFB"/>
    <w:rsid w:val="00C721FA"/>
    <w:rsid w:val="00C8015F"/>
    <w:rsid w:val="00C85C34"/>
    <w:rsid w:val="00CA1CEF"/>
    <w:rsid w:val="00CA6897"/>
    <w:rsid w:val="00CB31A7"/>
    <w:rsid w:val="00CB4136"/>
    <w:rsid w:val="00CC2006"/>
    <w:rsid w:val="00CC23A5"/>
    <w:rsid w:val="00CC75A0"/>
    <w:rsid w:val="00CD14E2"/>
    <w:rsid w:val="00CD25DB"/>
    <w:rsid w:val="00CE043C"/>
    <w:rsid w:val="00CF2630"/>
    <w:rsid w:val="00D03F23"/>
    <w:rsid w:val="00D04040"/>
    <w:rsid w:val="00D07DB5"/>
    <w:rsid w:val="00D13E79"/>
    <w:rsid w:val="00D16A17"/>
    <w:rsid w:val="00D16A64"/>
    <w:rsid w:val="00D1726F"/>
    <w:rsid w:val="00D177D1"/>
    <w:rsid w:val="00D17F0A"/>
    <w:rsid w:val="00D2272F"/>
    <w:rsid w:val="00D237A5"/>
    <w:rsid w:val="00D25914"/>
    <w:rsid w:val="00D3378F"/>
    <w:rsid w:val="00D36D57"/>
    <w:rsid w:val="00D5061A"/>
    <w:rsid w:val="00D57255"/>
    <w:rsid w:val="00D6144B"/>
    <w:rsid w:val="00D64361"/>
    <w:rsid w:val="00D64DEB"/>
    <w:rsid w:val="00D65244"/>
    <w:rsid w:val="00D712A0"/>
    <w:rsid w:val="00D75F64"/>
    <w:rsid w:val="00D875E4"/>
    <w:rsid w:val="00D96B49"/>
    <w:rsid w:val="00D97581"/>
    <w:rsid w:val="00DA3CBE"/>
    <w:rsid w:val="00DC036F"/>
    <w:rsid w:val="00DC18DD"/>
    <w:rsid w:val="00DC7652"/>
    <w:rsid w:val="00DD1338"/>
    <w:rsid w:val="00DD1980"/>
    <w:rsid w:val="00DE3924"/>
    <w:rsid w:val="00DE4701"/>
    <w:rsid w:val="00DF02DB"/>
    <w:rsid w:val="00DF0C36"/>
    <w:rsid w:val="00E0255B"/>
    <w:rsid w:val="00E02D46"/>
    <w:rsid w:val="00E05C39"/>
    <w:rsid w:val="00E06722"/>
    <w:rsid w:val="00E12740"/>
    <w:rsid w:val="00E137AC"/>
    <w:rsid w:val="00E14ED9"/>
    <w:rsid w:val="00E159F8"/>
    <w:rsid w:val="00E30A2D"/>
    <w:rsid w:val="00E31D41"/>
    <w:rsid w:val="00E3363A"/>
    <w:rsid w:val="00E362D8"/>
    <w:rsid w:val="00E54DC8"/>
    <w:rsid w:val="00E551FF"/>
    <w:rsid w:val="00E601D8"/>
    <w:rsid w:val="00E657B1"/>
    <w:rsid w:val="00E6722F"/>
    <w:rsid w:val="00E715F5"/>
    <w:rsid w:val="00E757E2"/>
    <w:rsid w:val="00E7722F"/>
    <w:rsid w:val="00E87746"/>
    <w:rsid w:val="00E91CF4"/>
    <w:rsid w:val="00E91FE7"/>
    <w:rsid w:val="00E95E81"/>
    <w:rsid w:val="00E96FD0"/>
    <w:rsid w:val="00EB77A1"/>
    <w:rsid w:val="00EC5001"/>
    <w:rsid w:val="00EC7BC8"/>
    <w:rsid w:val="00ED6B06"/>
    <w:rsid w:val="00EE6900"/>
    <w:rsid w:val="00EF0777"/>
    <w:rsid w:val="00F009E4"/>
    <w:rsid w:val="00F04B01"/>
    <w:rsid w:val="00F05B83"/>
    <w:rsid w:val="00F05F47"/>
    <w:rsid w:val="00F10CA4"/>
    <w:rsid w:val="00F11501"/>
    <w:rsid w:val="00F330E4"/>
    <w:rsid w:val="00F34818"/>
    <w:rsid w:val="00F35DD8"/>
    <w:rsid w:val="00F372FC"/>
    <w:rsid w:val="00F41BE7"/>
    <w:rsid w:val="00F44F80"/>
    <w:rsid w:val="00F472E2"/>
    <w:rsid w:val="00F476C7"/>
    <w:rsid w:val="00F562B3"/>
    <w:rsid w:val="00F63077"/>
    <w:rsid w:val="00F64212"/>
    <w:rsid w:val="00F65416"/>
    <w:rsid w:val="00F66910"/>
    <w:rsid w:val="00F72D1A"/>
    <w:rsid w:val="00F768B8"/>
    <w:rsid w:val="00F8030B"/>
    <w:rsid w:val="00F823E1"/>
    <w:rsid w:val="00F83DCB"/>
    <w:rsid w:val="00F85FC3"/>
    <w:rsid w:val="00F930A8"/>
    <w:rsid w:val="00F94886"/>
    <w:rsid w:val="00F94D28"/>
    <w:rsid w:val="00F94E0F"/>
    <w:rsid w:val="00F96788"/>
    <w:rsid w:val="00F96B95"/>
    <w:rsid w:val="00FA04C8"/>
    <w:rsid w:val="00FA5500"/>
    <w:rsid w:val="00FC6BAF"/>
    <w:rsid w:val="00FD0415"/>
    <w:rsid w:val="00FD0DD8"/>
    <w:rsid w:val="00FD26AF"/>
    <w:rsid w:val="00FE50D3"/>
    <w:rsid w:val="00FF2289"/>
    <w:rsid w:val="00FF3839"/>
    <w:rsid w:val="00FF3E8F"/>
    <w:rsid w:val="030A7302"/>
    <w:rsid w:val="05084632"/>
    <w:rsid w:val="0D017687"/>
    <w:rsid w:val="38B42D8C"/>
    <w:rsid w:val="3BEB5357"/>
    <w:rsid w:val="481450C1"/>
    <w:rsid w:val="50472E14"/>
    <w:rsid w:val="55FB7F3E"/>
    <w:rsid w:val="70782E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1"/>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Revision"/>
    <w:qFormat/>
    <w:uiPriority w:val="0"/>
    <w:rPr>
      <w:rFonts w:ascii="Times New Roman" w:hAnsi="Times New Roman" w:eastAsia="宋体" w:cs="Times New Roman"/>
      <w:kern w:val="2"/>
      <w:sz w:val="21"/>
      <w:szCs w:val="24"/>
      <w:lang w:val="en-US" w:eastAsia="zh-CN" w:bidi="ar-SA"/>
    </w:rPr>
  </w:style>
  <w:style w:type="paragraph" w:customStyle="1" w:styleId="14">
    <w:name w:val="列出段落1"/>
    <w:basedOn w:val="1"/>
    <w:qFormat/>
    <w:uiPriority w:val="0"/>
    <w:pPr>
      <w:ind w:firstLine="420" w:firstLineChars="200"/>
    </w:pPr>
    <w:rPr>
      <w:rFonts w:ascii="Calibri" w:hAnsi="Calibri" w:cs="黑体"/>
      <w:szCs w:val="22"/>
    </w:rPr>
  </w:style>
  <w:style w:type="paragraph" w:customStyle="1" w:styleId="15">
    <w:name w:val="Char Char Char Char Char Char Char Char Char Char Char Char"/>
    <w:basedOn w:val="1"/>
    <w:qFormat/>
    <w:uiPriority w:val="0"/>
    <w:pPr>
      <w:widowControl/>
      <w:spacing w:after="160" w:line="240" w:lineRule="exact"/>
      <w:jc w:val="left"/>
    </w:pPr>
    <w:rPr>
      <w:rFonts w:ascii="Tahoma" w:hAnsi="Tahoma" w:cs="Tahoma"/>
      <w:szCs w:val="21"/>
    </w:rPr>
  </w:style>
  <w:style w:type="character" w:customStyle="1" w:styleId="16">
    <w:name w:val="批注文字 Char"/>
    <w:basedOn w:val="8"/>
    <w:link w:val="2"/>
    <w:semiHidden/>
    <w:qFormat/>
    <w:uiPriority w:val="99"/>
    <w:rPr>
      <w:kern w:val="2"/>
      <w:sz w:val="21"/>
      <w:szCs w:val="24"/>
    </w:rPr>
  </w:style>
  <w:style w:type="character" w:customStyle="1" w:styleId="17">
    <w:name w:val="批注主题 Char"/>
    <w:basedOn w:val="16"/>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EA4D7-6E63-4F2A-94A3-F918C492FE71}">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461</Words>
  <Characters>2628</Characters>
  <Lines>21</Lines>
  <Paragraphs>6</Paragraphs>
  <TotalTime>0</TotalTime>
  <ScaleCrop>false</ScaleCrop>
  <LinksUpToDate>false</LinksUpToDate>
  <CharactersWithSpaces>3083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2020-03-13T08:00:00Z</dcterms:created>
  <dc:creator>张华峰</dc:creator>
  <cp:lastModifiedBy>王依林</cp:lastModifiedBy>
  <cp:lastPrinted>2020-03-13T00:17:00Z</cp:lastPrinted>
  <dcterms:modified xsi:type="dcterms:W3CDTF">2022-01-08T08:05:17Z</dcterms:modified>
  <dc:title>理财客户权益须知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