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0"/>
          <w:szCs w:val="30"/>
          <w:shd w:val="pct10" w:color="auto" w:fill="FFFFFF"/>
        </w:rPr>
      </w:pPr>
      <w:r>
        <w:rPr>
          <w:rFonts w:hint="eastAsia" w:ascii="微软雅黑" w:hAnsi="微软雅黑" w:eastAsia="微软雅黑"/>
          <w:b/>
          <w:sz w:val="28"/>
          <w:szCs w:val="28"/>
          <w:shd w:val="pct10" w:color="auto" w:fill="FFFFFF"/>
        </w:rPr>
        <w:t>理财产品说明书、风险揭示书及客户权益须知</w:t>
      </w:r>
    </w:p>
    <w:p>
      <w:pPr>
        <w:snapToGrid w:val="0"/>
        <w:jc w:val="center"/>
        <w:rPr>
          <w:rFonts w:ascii="微软雅黑" w:hAnsi="微软雅黑" w:eastAsia="微软雅黑"/>
          <w:b/>
          <w:sz w:val="24"/>
        </w:rPr>
      </w:pPr>
      <w:r>
        <w:rPr>
          <w:rFonts w:ascii="微软雅黑" w:hAnsi="微软雅黑" w:eastAsia="微软雅黑"/>
          <w:b/>
          <w:sz w:val="24"/>
        </w:rPr>
        <w:pict>
          <v:shape id="AutoShape 2" o:spid="_x0000_s1026" o:spt="32" type="#_x0000_t32" style="position:absolute;left:0pt;margin-left:1.3pt;margin-top:1.7pt;height:0pt;width:484.7pt;z-index:251658240;mso-width-relative:page;mso-height-relative:page;" filled="f" coordsize="21600,21600" o:gfxdata="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NjA/TAAAABQEAAA8AAAAAAAAAAQAgAAAAIgAA&#10;AGRycy9kb3ducmV2LnhtbFBLAQIUABQAAAAIAIdO4kAf90qM1AEAALIDAAAOAAAAAAAAAAEAIAAA&#10;ACIBAABkcnMvZTJvRG9jLnhtbFBLBQYAAAAABgAGAFkBAABoBQAAAAA=&#10;">
            <v:path arrowok="t"/>
            <v:fill on="f" focussize="0,0"/>
            <v:stroke weight="0.5pt"/>
            <v:imagedata o:title=""/>
            <o:lock v:ext="edit"/>
          </v:shape>
        </w:pict>
      </w:r>
      <w:r>
        <w:rPr>
          <w:rFonts w:hint="eastAsia" w:ascii="微软雅黑" w:hAnsi="微软雅黑" w:eastAsia="微软雅黑"/>
          <w:b/>
          <w:sz w:val="24"/>
        </w:rPr>
        <w:t>瑞丰银行禧瑞尊赢</w:t>
      </w:r>
      <w:r>
        <w:rPr>
          <w:rFonts w:hint="eastAsia" w:ascii="微软雅黑" w:hAnsi="微软雅黑" w:eastAsia="微软雅黑"/>
          <w:b/>
          <w:sz w:val="24"/>
          <w:lang w:val="en-US" w:eastAsia="zh-CN"/>
        </w:rPr>
        <w:t>22021</w:t>
      </w:r>
      <w:r>
        <w:rPr>
          <w:rFonts w:hint="eastAsia" w:ascii="微软雅黑" w:hAnsi="微软雅黑" w:eastAsia="微软雅黑"/>
          <w:b/>
          <w:sz w:val="24"/>
        </w:rPr>
        <w:t>期封闭式净值型</w:t>
      </w:r>
    </w:p>
    <w:p>
      <w:pPr>
        <w:snapToGrid w:val="0"/>
        <w:jc w:val="center"/>
        <w:rPr>
          <w:rFonts w:ascii="微软雅黑" w:hAnsi="微软雅黑" w:eastAsia="微软雅黑"/>
          <w:b/>
          <w:sz w:val="24"/>
        </w:rPr>
      </w:pPr>
      <w:r>
        <w:rPr>
          <w:rFonts w:hint="eastAsia" w:ascii="微软雅黑" w:hAnsi="微软雅黑" w:eastAsia="微软雅黑"/>
          <w:b/>
          <w:sz w:val="24"/>
        </w:rPr>
        <w:t>理财产品说明书、风险揭示书及客户权益须知</w:t>
      </w:r>
    </w:p>
    <w:p>
      <w:pPr>
        <w:snapToGrid w:val="0"/>
        <w:spacing w:line="240" w:lineRule="exact"/>
        <w:jc w:val="left"/>
        <w:rPr>
          <w:rFonts w:ascii="微软雅黑" w:hAnsi="微软雅黑" w:eastAsia="微软雅黑"/>
        </w:rPr>
      </w:pPr>
    </w:p>
    <w:tbl>
      <w:tblPr>
        <w:tblStyle w:val="7"/>
        <w:tblW w:w="99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D9D9D9"/>
        <w:tblLayout w:type="fixed"/>
        <w:tblCellMar>
          <w:top w:w="0" w:type="dxa"/>
          <w:left w:w="108" w:type="dxa"/>
          <w:bottom w:w="0" w:type="dxa"/>
          <w:right w:w="108" w:type="dxa"/>
        </w:tblCellMar>
      </w:tblPr>
      <w:tblGrid>
        <w:gridCol w:w="1952"/>
        <w:gridCol w:w="3686"/>
        <w:gridCol w:w="1700"/>
        <w:gridCol w:w="2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D9D9D9"/>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D9D9D9"/>
            <w:vAlign w:val="center"/>
          </w:tcPr>
          <w:p>
            <w:pPr>
              <w:snapToGrid w:val="0"/>
              <w:spacing w:line="220" w:lineRule="exact"/>
              <w:jc w:val="center"/>
              <w:textAlignment w:val="baseline"/>
              <w:rPr>
                <w:rFonts w:ascii="微软雅黑" w:hAnsi="微软雅黑" w:eastAsia="微软雅黑"/>
                <w:b/>
                <w:szCs w:val="18"/>
              </w:rPr>
            </w:pPr>
            <w:r>
              <w:rPr>
                <w:rFonts w:hint="eastAsia" w:ascii="微软雅黑" w:hAnsi="微软雅黑" w:eastAsia="微软雅黑"/>
                <w:b/>
                <w:szCs w:val="18"/>
              </w:rPr>
              <w:t>风险揭示书部分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top w:val="single" w:color="auto" w:sz="4" w:space="0"/>
            </w:tcBorders>
            <w:shd w:val="clear" w:color="auto" w:fill="auto"/>
          </w:tcPr>
          <w:p>
            <w:pPr>
              <w:rPr>
                <w:rFonts w:ascii="微软雅黑" w:hAnsi="微软雅黑" w:eastAsia="微软雅黑"/>
                <w:kern w:val="0"/>
                <w:sz w:val="18"/>
                <w:szCs w:val="18"/>
              </w:rPr>
            </w:pPr>
            <w:r>
              <w:rPr>
                <w:rFonts w:hint="eastAsia" w:ascii="微软雅黑" w:hAnsi="微软雅黑" w:eastAsia="微软雅黑"/>
                <w:kern w:val="0"/>
                <w:sz w:val="18"/>
                <w:szCs w:val="18"/>
              </w:rPr>
              <w:t>尊敬的客户：</w:t>
            </w:r>
          </w:p>
          <w:p>
            <w:pPr>
              <w:ind w:firstLine="360" w:firstLineChars="200"/>
              <w:rPr>
                <w:rFonts w:ascii="微软雅黑" w:hAnsi="微软雅黑" w:eastAsia="微软雅黑"/>
                <w:kern w:val="0"/>
                <w:sz w:val="18"/>
                <w:szCs w:val="18"/>
              </w:rPr>
            </w:pPr>
            <w:r>
              <w:rPr>
                <w:rFonts w:hint="eastAsia" w:ascii="微软雅黑" w:hAnsi="微软雅黑" w:eastAsia="微软雅黑"/>
                <w:kern w:val="0"/>
                <w:sz w:val="18"/>
                <w:szCs w:val="18"/>
              </w:rPr>
              <w:t>理财产品存在各种风险，不被视为一般储蓄存款的替代品。投资人可能会承担下列风险，请仔细阅读风险揭示书，充分认识投资风险，基于自身判断谨慎投资。</w:t>
            </w:r>
          </w:p>
          <w:p>
            <w:pPr>
              <w:ind w:firstLine="360" w:firstLineChars="200"/>
              <w:rPr>
                <w:rFonts w:ascii="微软雅黑" w:hAnsi="微软雅黑" w:eastAsia="微软雅黑"/>
                <w:b/>
                <w:kern w:val="0"/>
                <w:sz w:val="18"/>
                <w:szCs w:val="18"/>
              </w:rPr>
            </w:pPr>
            <w:r>
              <w:rPr>
                <w:rFonts w:hint="eastAsia" w:ascii="微软雅黑" w:hAnsi="微软雅黑" w:eastAsia="微软雅黑"/>
                <w:b/>
                <w:kern w:val="0"/>
                <w:sz w:val="18"/>
                <w:szCs w:val="18"/>
              </w:rPr>
              <w:t>理财非存款、产品有风险、投资须谨慎</w:t>
            </w:r>
          </w:p>
          <w:p>
            <w:pPr>
              <w:ind w:firstLine="360" w:firstLineChars="200"/>
              <w:rPr>
                <w:rFonts w:ascii="微软雅黑" w:hAnsi="微软雅黑" w:eastAsia="微软雅黑"/>
                <w:b/>
                <w:kern w:val="0"/>
                <w:sz w:val="18"/>
                <w:szCs w:val="18"/>
              </w:rPr>
            </w:pPr>
            <w:r>
              <w:rPr>
                <w:rFonts w:ascii="微软雅黑" w:hAnsi="微软雅黑" w:eastAsia="微软雅黑"/>
                <w:b/>
                <w:kern w:val="0"/>
                <w:sz w:val="18"/>
                <w:szCs w:val="18"/>
              </w:rPr>
              <w:t>理财产品过往业绩不代表其未来表现，不等于理财产品实际收益，投资须谨慎</w:t>
            </w:r>
          </w:p>
          <w:p>
            <w:pPr>
              <w:ind w:firstLine="360" w:firstLineChars="200"/>
              <w:rPr>
                <w:rFonts w:ascii="微软雅黑" w:hAnsi="微软雅黑" w:eastAsia="微软雅黑"/>
                <w:b/>
                <w:kern w:val="0"/>
                <w:sz w:val="18"/>
                <w:szCs w:val="18"/>
              </w:rPr>
            </w:pPr>
            <w:r>
              <w:rPr>
                <w:rFonts w:hint="eastAsia" w:ascii="微软雅黑" w:hAnsi="微软雅黑" w:eastAsia="微软雅黑"/>
                <w:b/>
                <w:kern w:val="0"/>
                <w:sz w:val="18"/>
                <w:szCs w:val="18"/>
              </w:rPr>
              <w:t>如影响您风险承受能力的因素发生变化，请及时完成风险承受能力评估</w:t>
            </w:r>
          </w:p>
          <w:p>
            <w:pPr>
              <w:ind w:firstLine="360" w:firstLineChars="200"/>
              <w:rPr>
                <w:rFonts w:ascii="微软雅黑" w:hAnsi="微软雅黑" w:eastAsia="微软雅黑"/>
                <w:kern w:val="0"/>
                <w:sz w:val="18"/>
                <w:szCs w:val="18"/>
              </w:rPr>
            </w:pPr>
            <w:r>
              <w:rPr>
                <w:rFonts w:hint="eastAsia" w:ascii="微软雅黑" w:hAnsi="微软雅黑" w:eastAsia="微软雅黑"/>
                <w:kern w:val="0"/>
                <w:sz w:val="18"/>
                <w:szCs w:val="18"/>
              </w:rPr>
              <w:t>本揭示书旨在向您揭示投资本产品所具有的各种风险，以帮助您根据自身的投资经验、财务状况、投资目标、风险承受能力等情况评估和确定是否做出投资决策，本揭示书仅供您作为决策参考，且仅为列举性质，无法完全覆盖和揭示所有风险，因此，不应作为您决策的依据，请您自行或在认为必要时征询专业的投资顾问后做出相应决策，并自行承担决策后果和责任。本理财产品有投资风险，不保障理财资金本金，不保证理财收益，您应当充分认识投资风险，谨慎投资。</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客户投资本产品可能面临的风险主要包括(但不限于)：</w:t>
            </w:r>
          </w:p>
          <w:p>
            <w:pPr>
              <w:snapToGrid w:val="0"/>
              <w:ind w:firstLine="360"/>
              <w:textAlignment w:val="baseline"/>
              <w:rPr>
                <w:rFonts w:ascii="宋体" w:hAnsi="宋体"/>
                <w:kern w:val="0"/>
                <w:sz w:val="18"/>
                <w:szCs w:val="18"/>
              </w:rPr>
            </w:pPr>
            <w:r>
              <w:rPr>
                <w:rFonts w:hint="eastAsia" w:ascii="微软雅黑" w:hAnsi="微软雅黑" w:eastAsia="微软雅黑"/>
                <w:kern w:val="0"/>
                <w:sz w:val="18"/>
                <w:szCs w:val="18"/>
              </w:rPr>
              <w:t>1.理财资金损失风险：本产品是</w:t>
            </w:r>
            <w:r>
              <w:rPr>
                <w:rFonts w:hint="eastAsia" w:ascii="微软雅黑" w:hAnsi="微软雅黑" w:eastAsia="微软雅黑"/>
                <w:b/>
                <w:kern w:val="0"/>
                <w:sz w:val="18"/>
                <w:szCs w:val="18"/>
              </w:rPr>
              <w:t>净值型理财产品</w:t>
            </w:r>
            <w:r>
              <w:rPr>
                <w:rFonts w:hint="eastAsia" w:ascii="微软雅黑" w:hAnsi="微软雅黑" w:eastAsia="微软雅黑"/>
                <w:kern w:val="0"/>
                <w:sz w:val="18"/>
                <w:szCs w:val="18"/>
              </w:rPr>
              <w:t>，有投资风险，不保障理财资金本金，不保证理财收益，最终收益以实际支付为准。客户存在损失全部本金和收益的风险。</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2.流动性风险：本产品不允许客户提前终止，客户需要资金时不能随时变现，可能使客户丧失其他投资机会。本理财产品到期前客户无权提前终止或赎回。</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3.提前终止及再投资风险：理财期限内，如果本行认为有必要，有权随时提前终止本产品，一旦本产品被提前终止，则本产品的实际理财天数可能小于预定的理财天数，客户无法实现期初预期的全部收益，并且可能届时面临较差的再投资环境和机会。</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4.产品不成立的风险：发生下述任一情形，本行有权宣布本产品不成立，客户将承担本产品不成立的风险：①符合产品合约约定的产品不成立的条件(如有)；②本产品募集期结束时募集资金总额未达到必要的规模上限或/及下限；③国家相关法律、法规、监管规定、政策或要求出现重大变更，或者金融市场情况出现重大变化，经本行谨慎合理判断难以按照本合同规定向客户提供本产品。如果本产品不成立，则届时客户交易账户内已止付的理财本金将自动解除止付，已从客户交易账户转出并计入理财账户的理财本金将于本合同约定的起息日后2个工作日内返还至客户交易账户；在此情况下，客户仅能获得理财本金及按届时适用的活期存款利率计付的利息。</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5.延期风险：如因理财产品项下对应的理财财产不能及时变现等原因造成理财产品不能按时偿还本金及收益，理财产品将面临期限相应延长或进行二次清算的可能。</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6.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7.市场风险：由于金融市场内在波动性，市场利率可能发生变化，关联标的价格走势可能对产品结构不利，本产品所投资的金融工具/资产的市场价格也可能发生不利变化，可能使客户收益低于以定期存款或其他方式运用资金而产生的收益。</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8. 法令和政策风险：本产品是针对当前的相关法律法规、监管要求和政策设计的，如国家宏观政策以及相关法律法规、监管要求发生变化，将影响本产品发行、投资、兑付等工作的正常进行。</w:t>
            </w:r>
          </w:p>
          <w:p>
            <w:pPr>
              <w:snapToGrid w:val="0"/>
              <w:spacing w:line="276" w:lineRule="auto"/>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9. 信息传递风险：由于客户原因所致联系信息有误、客户未及时查询，或由于通讯故障、系统故障以及其他不可抗力等因素的影响使得客户无法及时了解本产品信息，因此而产生的责任和风险由客户自行承担；另外，客户预留在本行的有效联系方式变更的，应及时通知本行；如客户未能及时告知，本行很可能在需要时无法及时联系客户，由此产生的责任和风险由客户自行承担。</w:t>
            </w:r>
          </w:p>
          <w:p>
            <w:pPr>
              <w:spacing w:line="276" w:lineRule="auto"/>
              <w:ind w:firstLine="360" w:firstLineChars="200"/>
              <w:rPr>
                <w:rFonts w:ascii="微软雅黑" w:hAnsi="微软雅黑" w:eastAsia="微软雅黑"/>
                <w:kern w:val="0"/>
                <w:sz w:val="18"/>
                <w:szCs w:val="18"/>
              </w:rPr>
            </w:pPr>
            <w:r>
              <w:rPr>
                <w:rFonts w:hint="eastAsia" w:ascii="微软雅黑" w:hAnsi="微软雅黑" w:eastAsia="微软雅黑"/>
                <w:kern w:val="0"/>
                <w:sz w:val="18"/>
                <w:szCs w:val="18"/>
              </w:rPr>
              <w:t>10. 不可抗力及意外事件风险：战争、自然灾害等不能预见、不能避免并不能克服的不可抗力事件，金融市场危机、法律法规及国家政策变化、重大政治事件、银行系统故障、投资市场停止交易、网络故障、通讯故障、电力故障、计算机病毒攻击及其它非本行故意造成的意外事件的出现，可能对本产品的成立、投资运作、资金返还、信息披露、公告通知造成影响。对于由不可抗力及意外事件风险导致的任何损失，客户须自行承担，本行对此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snapToGrid w:val="0"/>
              <w:spacing w:line="220" w:lineRule="exact"/>
              <w:jc w:val="center"/>
              <w:textAlignment w:val="baseline"/>
              <w:rPr>
                <w:rFonts w:ascii="微软雅黑" w:hAnsi="微软雅黑" w:eastAsia="微软雅黑"/>
                <w:kern w:val="0"/>
                <w:sz w:val="18"/>
                <w:szCs w:val="18"/>
              </w:rPr>
            </w:pPr>
            <w:r>
              <w:rPr>
                <w:rFonts w:hint="eastAsia" w:ascii="微软雅黑" w:hAnsi="微软雅黑" w:eastAsia="微软雅黑"/>
                <w:b/>
                <w:szCs w:val="18"/>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FFFFFF"/>
            <w:vAlign w:val="center"/>
          </w:tcPr>
          <w:p>
            <w:pPr>
              <w:snapToGrid w:val="0"/>
              <w:ind w:firstLine="360" w:firstLineChars="200"/>
              <w:textAlignment w:val="baseline"/>
              <w:rPr>
                <w:rFonts w:ascii="微软雅黑" w:hAnsi="微软雅黑" w:eastAsia="微软雅黑"/>
                <w:b/>
                <w:kern w:val="0"/>
                <w:sz w:val="18"/>
                <w:szCs w:val="18"/>
              </w:rPr>
            </w:pPr>
            <w:r>
              <w:rPr>
                <w:rFonts w:hint="eastAsia" w:ascii="微软雅黑" w:hAnsi="微软雅黑" w:eastAsia="微软雅黑"/>
                <w:b/>
                <w:kern w:val="0"/>
                <w:sz w:val="18"/>
                <w:szCs w:val="18"/>
              </w:rPr>
              <w:t>本期理财属于封闭式净值型理财产品，投资类型为固定收益类，风险评级为中低风险级理财产品，适合购买的客户为风险评级谨慎型（含）以上的客户。本理财产品不保证本金及收益，例如市场发生重大变动或突发性事件时，在最不利投资情形下，有可能损失全部本金及收益。</w:t>
            </w:r>
          </w:p>
          <w:p>
            <w:pPr>
              <w:snapToGrid w:val="0"/>
              <w:ind w:firstLine="360" w:firstLineChars="200"/>
              <w:textAlignment w:val="baseline"/>
              <w:rPr>
                <w:rFonts w:ascii="微软雅黑" w:hAnsi="微软雅黑" w:eastAsia="微软雅黑"/>
                <w:b/>
                <w:kern w:val="0"/>
                <w:sz w:val="18"/>
                <w:szCs w:val="18"/>
              </w:rPr>
            </w:pPr>
            <w:r>
              <w:rPr>
                <w:rFonts w:hint="eastAsia" w:ascii="微软雅黑" w:hAnsi="微软雅黑" w:eastAsia="微软雅黑"/>
                <w:b/>
                <w:kern w:val="0"/>
                <w:sz w:val="18"/>
                <w:szCs w:val="18"/>
              </w:rPr>
              <w:t>该产品如通过代理销售机构渠道销售的，理财产品评级以代理销售机构最终披露的评级结果为准。</w:t>
            </w:r>
          </w:p>
          <w:p>
            <w:pPr>
              <w:snapToGrid w:val="0"/>
              <w:ind w:firstLine="360" w:firstLineChars="200"/>
              <w:textAlignment w:val="baseline"/>
              <w:rPr>
                <w:rFonts w:ascii="微软雅黑" w:hAnsi="微软雅黑" w:eastAsia="微软雅黑"/>
                <w:b/>
                <w:kern w:val="0"/>
                <w:sz w:val="18"/>
                <w:szCs w:val="18"/>
              </w:rPr>
            </w:pPr>
            <w:r>
              <w:rPr>
                <w:rFonts w:hint="eastAsia" w:ascii="微软雅黑" w:hAnsi="微软雅黑" w:eastAsia="微软雅黑"/>
                <w:b/>
                <w:kern w:val="0"/>
                <w:sz w:val="18"/>
                <w:szCs w:val="18"/>
              </w:rPr>
              <w:t>客户在客户签名栏签字的行为即表示客户已详细阅知《理财产品说明书、风险揭示书及客户权益须知》、《瑞丰银行理财产品总协议书》。瑞丰银行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tbl>
            <w:tblPr>
              <w:tblStyle w:val="7"/>
              <w:tblpPr w:leftFromText="180" w:rightFromText="180" w:vertAnchor="text" w:horzAnchor="margin" w:tblpY="4"/>
              <w:tblW w:w="9967" w:type="dxa"/>
              <w:tblInd w:w="0" w:type="dxa"/>
              <w:tblLayout w:type="fixed"/>
              <w:tblCellMar>
                <w:top w:w="0" w:type="dxa"/>
                <w:left w:w="108" w:type="dxa"/>
                <w:bottom w:w="0" w:type="dxa"/>
                <w:right w:w="108" w:type="dxa"/>
              </w:tblCellMar>
            </w:tblPr>
            <w:tblGrid>
              <w:gridCol w:w="9967"/>
            </w:tblGrid>
            <w:tr>
              <w:tblPrEx>
                <w:tblCellMar>
                  <w:top w:w="0" w:type="dxa"/>
                  <w:left w:w="108" w:type="dxa"/>
                  <w:bottom w:w="0" w:type="dxa"/>
                  <w:right w:w="108" w:type="dxa"/>
                </w:tblCellMar>
              </w:tblPrEx>
              <w:trPr>
                <w:trHeight w:val="372" w:hRule="atLeast"/>
              </w:trPr>
              <w:tc>
                <w:tcPr>
                  <w:tcW w:w="9967" w:type="dxa"/>
                  <w:shd w:val="clear" w:color="auto" w:fill="D9D9D9"/>
                  <w:vAlign w:val="center"/>
                </w:tcPr>
                <w:p>
                  <w:pPr>
                    <w:spacing w:line="240" w:lineRule="exact"/>
                    <w:jc w:val="center"/>
                    <w:rPr>
                      <w:rFonts w:ascii="微软雅黑" w:hAnsi="微软雅黑" w:eastAsia="微软雅黑"/>
                      <w:b/>
                      <w:kern w:val="0"/>
                      <w:szCs w:val="21"/>
                    </w:rPr>
                  </w:pPr>
                  <w:r>
                    <w:rPr>
                      <w:rFonts w:hint="eastAsia" w:ascii="微软雅黑" w:hAnsi="微软雅黑" w:eastAsia="微软雅黑"/>
                      <w:b/>
                      <w:szCs w:val="18"/>
                    </w:rPr>
                    <w:t>客户确认（个人客户填写）</w:t>
                  </w:r>
                </w:p>
              </w:tc>
            </w:tr>
            <w:tr>
              <w:tblPrEx>
                <w:tblCellMar>
                  <w:top w:w="0" w:type="dxa"/>
                  <w:left w:w="108" w:type="dxa"/>
                  <w:bottom w:w="0" w:type="dxa"/>
                  <w:right w:w="108" w:type="dxa"/>
                </w:tblCellMar>
              </w:tblPrEx>
              <w:trPr>
                <w:trHeight w:val="3245" w:hRule="atLeast"/>
              </w:trPr>
              <w:tc>
                <w:tcPr>
                  <w:tcW w:w="9967" w:type="dxa"/>
                  <w:shd w:val="clear" w:color="auto" w:fill="FFFFFF"/>
                </w:tcPr>
                <w:p>
                  <w:pPr>
                    <w:pStyle w:val="14"/>
                    <w:spacing w:line="340" w:lineRule="exact"/>
                    <w:ind w:firstLine="0" w:firstLineChars="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1. 您已经知晓您所要购买的理财产品的种类为净值型产品，且知晓银行不对您的本金和收益提供任何承诺。□是□否</w:t>
                  </w:r>
                </w:p>
                <w:p>
                  <w:pPr>
                    <w:pStyle w:val="14"/>
                    <w:spacing w:line="340" w:lineRule="exact"/>
                    <w:ind w:firstLine="0" w:firstLineChars="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2. 您已充分知晓您将认购的理财产品所面临的风险，且已经对可能产生的不利结果有充分的心理准备。□是□否</w:t>
                  </w:r>
                </w:p>
                <w:p>
                  <w:pPr>
                    <w:pStyle w:val="14"/>
                    <w:spacing w:line="340" w:lineRule="exact"/>
                    <w:ind w:firstLine="0" w:firstLineChars="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3. 您已经详细阅读了理财产品说明书、风险揭示书、</w:t>
                  </w:r>
                  <w:r>
                    <w:rPr>
                      <w:rFonts w:hint="eastAsia" w:ascii="微软雅黑" w:hAnsi="微软雅黑" w:eastAsia="微软雅黑"/>
                      <w:kern w:val="0"/>
                      <w:sz w:val="18"/>
                      <w:szCs w:val="18"/>
                    </w:rPr>
                    <w:t>客户</w:t>
                  </w:r>
                  <w:r>
                    <w:rPr>
                      <w:rFonts w:hint="eastAsia" w:ascii="微软雅黑" w:hAnsi="微软雅黑" w:eastAsia="微软雅黑" w:cs="Times New Roman"/>
                      <w:kern w:val="0"/>
                      <w:sz w:val="18"/>
                      <w:szCs w:val="18"/>
                    </w:rPr>
                    <w:t>权益须知等相关材料，对此您已经不再有疑问。□是□否</w:t>
                  </w:r>
                </w:p>
                <w:p>
                  <w:pPr>
                    <w:pStyle w:val="14"/>
                    <w:spacing w:line="340" w:lineRule="exact"/>
                    <w:ind w:firstLine="0" w:firstLineChars="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4. 您已经知晓认购本次理财产品您需要承担的各项费用情况。□是□否</w:t>
                  </w:r>
                </w:p>
                <w:p>
                  <w:pPr>
                    <w:pStyle w:val="14"/>
                    <w:spacing w:line="340" w:lineRule="exact"/>
                    <w:ind w:firstLine="0" w:firstLineChars="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5. 您已经了解该产品不能提前赎回，以及产品提前到期可能产生的不利后果，且该后果需要由您来承担。□是□否</w:t>
                  </w:r>
                </w:p>
                <w:p>
                  <w:pPr>
                    <w:spacing w:line="400" w:lineRule="exact"/>
                    <w:rPr>
                      <w:rFonts w:ascii="微软雅黑" w:hAnsi="微软雅黑" w:eastAsia="微软雅黑"/>
                      <w:kern w:val="0"/>
                      <w:szCs w:val="21"/>
                    </w:rPr>
                  </w:pPr>
                  <w:r>
                    <w:rPr>
                      <w:rFonts w:hint="eastAsia" w:ascii="微软雅黑" w:hAnsi="微软雅黑" w:eastAsia="微软雅黑"/>
                      <w:kern w:val="0"/>
                      <w:sz w:val="18"/>
                      <w:szCs w:val="18"/>
                    </w:rPr>
                    <w:t>6. 您已经确认您的风险承受能力适合购买本产品。□是□否</w:t>
                  </w:r>
                </w:p>
                <w:p>
                  <w:pPr>
                    <w:pStyle w:val="14"/>
                    <w:spacing w:line="340" w:lineRule="exact"/>
                    <w:ind w:firstLine="360"/>
                    <w:rPr>
                      <w:rFonts w:ascii="微软雅黑" w:hAnsi="微软雅黑" w:eastAsia="微软雅黑" w:cs="Times New Roman"/>
                      <w:b/>
                      <w:kern w:val="0"/>
                      <w:sz w:val="18"/>
                      <w:szCs w:val="18"/>
                    </w:rPr>
                  </w:pPr>
                  <w:r>
                    <w:rPr>
                      <w:rFonts w:hint="eastAsia" w:ascii="微软雅黑" w:hAnsi="微软雅黑" w:eastAsia="微软雅黑"/>
                      <w:b/>
                      <w:kern w:val="0"/>
                      <w:sz w:val="18"/>
                      <w:szCs w:val="18"/>
                    </w:rPr>
                    <w:t>客户确认：本人已仔细阅读了本</w:t>
                  </w:r>
                  <w:r>
                    <w:rPr>
                      <w:rFonts w:hint="eastAsia" w:ascii="微软雅黑" w:hAnsi="微软雅黑" w:eastAsia="微软雅黑"/>
                      <w:b/>
                      <w:bCs/>
                      <w:sz w:val="18"/>
                      <w:szCs w:val="18"/>
                    </w:rPr>
                    <w:t>《</w:t>
                  </w:r>
                  <w:r>
                    <w:rPr>
                      <w:rFonts w:hint="eastAsia" w:ascii="微软雅黑" w:hAnsi="微软雅黑" w:eastAsia="微软雅黑"/>
                      <w:b/>
                      <w:kern w:val="0"/>
                      <w:sz w:val="18"/>
                      <w:szCs w:val="18"/>
                    </w:rPr>
                    <w:t>理财产品说明书、风险揭示书及客户权益须知</w:t>
                  </w:r>
                  <w:r>
                    <w:rPr>
                      <w:rFonts w:hint="eastAsia" w:ascii="微软雅黑" w:hAnsi="微软雅黑" w:eastAsia="微软雅黑"/>
                      <w:b/>
                      <w:bCs/>
                      <w:sz w:val="18"/>
                      <w:szCs w:val="18"/>
                    </w:rPr>
                    <w:t>》</w:t>
                  </w:r>
                  <w:r>
                    <w:rPr>
                      <w:rFonts w:hint="eastAsia" w:ascii="微软雅黑" w:hAnsi="微软雅黑" w:eastAsia="微软雅黑"/>
                      <w:b/>
                      <w:kern w:val="0"/>
                      <w:sz w:val="18"/>
                      <w:szCs w:val="18"/>
                    </w:rPr>
                    <w:t>以及《瑞丰银行理财产品总协议书》，瑞丰银行向本人说明了本理财产品所涉及到的各种风险。认购、申购本理财产品是经过本人独立判断之后所做出的符合本人真</w:t>
                  </w:r>
                  <w:r>
                    <w:rPr>
                      <w:rFonts w:hint="eastAsia" w:ascii="微软雅黑" w:hAnsi="微软雅黑" w:eastAsia="微软雅黑" w:cs="Times New Roman"/>
                      <w:b/>
                      <w:kern w:val="0"/>
                      <w:sz w:val="18"/>
                      <w:szCs w:val="18"/>
                    </w:rPr>
                    <w:t>实意愿的决定。本人同意和接受上述销售文件的条款和内容。</w:t>
                  </w:r>
                </w:p>
                <w:p>
                  <w:pPr>
                    <w:pStyle w:val="14"/>
                    <w:spacing w:line="340" w:lineRule="exact"/>
                    <w:ind w:firstLine="36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个人客户请全文抄录以下文字以完成确认：</w:t>
                  </w:r>
                  <w:r>
                    <w:rPr>
                      <w:rFonts w:hint="eastAsia" w:ascii="微软雅黑" w:hAnsi="微软雅黑" w:eastAsia="微软雅黑" w:cs="Times New Roman"/>
                      <w:b/>
                      <w:kern w:val="0"/>
                      <w:sz w:val="18"/>
                      <w:szCs w:val="18"/>
                    </w:rPr>
                    <w:t>“本人已经阅读风险揭示，愿意承担投资风险”</w:t>
                  </w:r>
                  <w:r>
                    <w:rPr>
                      <w:rFonts w:hint="eastAsia" w:ascii="微软雅黑" w:hAnsi="微软雅黑" w:eastAsia="微软雅黑" w:cs="Times New Roman"/>
                      <w:kern w:val="0"/>
                      <w:sz w:val="18"/>
                      <w:szCs w:val="18"/>
                    </w:rPr>
                    <w:t>。</w:t>
                  </w:r>
                </w:p>
                <w:p>
                  <w:pPr>
                    <w:spacing w:line="400" w:lineRule="exact"/>
                    <w:ind w:firstLine="420" w:firstLineChars="200"/>
                    <w:rPr>
                      <w:rFonts w:ascii="微软雅黑" w:hAnsi="微软雅黑" w:eastAsia="微软雅黑"/>
                      <w:b/>
                      <w:kern w:val="0"/>
                      <w:szCs w:val="21"/>
                      <w:u w:val="single"/>
                    </w:rPr>
                  </w:pPr>
                </w:p>
                <w:p>
                  <w:pPr>
                    <w:spacing w:line="400" w:lineRule="exact"/>
                    <w:ind w:firstLine="360" w:firstLineChars="200"/>
                    <w:rPr>
                      <w:rFonts w:ascii="微软雅黑" w:hAnsi="微软雅黑" w:eastAsia="微软雅黑"/>
                      <w:kern w:val="0"/>
                      <w:sz w:val="18"/>
                      <w:szCs w:val="18"/>
                      <w:u w:val="single"/>
                    </w:rPr>
                  </w:pPr>
                  <w:r>
                    <w:rPr>
                      <w:rFonts w:hint="eastAsia" w:ascii="微软雅黑" w:hAnsi="微软雅黑" w:eastAsia="微软雅黑"/>
                      <w:kern w:val="0"/>
                      <w:sz w:val="18"/>
                      <w:szCs w:val="18"/>
                      <w:u w:val="single"/>
                    </w:rPr>
                    <w:t>本人的风险承受能力评级结果为：（保守型、谨慎型、稳健型、进取型、激进型）</w:t>
                  </w:r>
                </w:p>
                <w:p>
                  <w:pPr>
                    <w:spacing w:line="400" w:lineRule="exact"/>
                    <w:ind w:firstLine="405"/>
                    <w:rPr>
                      <w:rFonts w:ascii="微软雅黑" w:hAnsi="微软雅黑" w:eastAsia="微软雅黑"/>
                      <w:kern w:val="0"/>
                      <w:szCs w:val="21"/>
                      <w:u w:val="single"/>
                    </w:rPr>
                  </w:pPr>
                  <w:r>
                    <w:rPr>
                      <w:rFonts w:hint="eastAsia" w:ascii="微软雅黑" w:hAnsi="微软雅黑" w:eastAsia="微软雅黑"/>
                      <w:kern w:val="0"/>
                      <w:sz w:val="18"/>
                      <w:szCs w:val="18"/>
                    </w:rPr>
                    <w:t>客户签名：银行经办人签名：日期：</w:t>
                  </w:r>
                </w:p>
              </w:tc>
            </w:tr>
            <w:tr>
              <w:tblPrEx>
                <w:tblCellMar>
                  <w:top w:w="0" w:type="dxa"/>
                  <w:left w:w="108" w:type="dxa"/>
                  <w:bottom w:w="0" w:type="dxa"/>
                  <w:right w:w="108" w:type="dxa"/>
                </w:tblCellMar>
              </w:tblPrEx>
              <w:trPr>
                <w:trHeight w:val="447" w:hRule="atLeast"/>
              </w:trPr>
              <w:tc>
                <w:tcPr>
                  <w:tcW w:w="9967" w:type="dxa"/>
                  <w:shd w:val="clear" w:color="auto" w:fill="D9D9D9"/>
                  <w:vAlign w:val="center"/>
                </w:tcPr>
                <w:p>
                  <w:pPr>
                    <w:spacing w:line="240" w:lineRule="exact"/>
                    <w:jc w:val="center"/>
                    <w:rPr>
                      <w:rFonts w:ascii="微软雅黑" w:hAnsi="微软雅黑" w:eastAsia="微软雅黑"/>
                      <w:b/>
                      <w:kern w:val="0"/>
                      <w:szCs w:val="21"/>
                    </w:rPr>
                  </w:pPr>
                  <w:r>
                    <w:rPr>
                      <w:rFonts w:hint="eastAsia" w:ascii="微软雅黑" w:hAnsi="微软雅黑" w:eastAsia="微软雅黑"/>
                      <w:b/>
                      <w:szCs w:val="18"/>
                    </w:rPr>
                    <w:t>客户确认（机</w:t>
                  </w:r>
                  <w:r>
                    <w:rPr>
                      <w:rFonts w:hint="eastAsia" w:ascii="微软雅黑" w:hAnsi="微软雅黑" w:eastAsia="微软雅黑"/>
                      <w:b/>
                      <w:szCs w:val="18"/>
                      <w:lang w:val="en-US" w:eastAsia="zh-CN"/>
                    </w:rPr>
                    <w:t>构</w:t>
                  </w:r>
                  <w:r>
                    <w:rPr>
                      <w:rFonts w:hint="eastAsia" w:ascii="微软雅黑" w:hAnsi="微软雅黑" w:eastAsia="微软雅黑"/>
                      <w:b/>
                      <w:szCs w:val="18"/>
                    </w:rPr>
                    <w:t>客户填写）</w:t>
                  </w:r>
                </w:p>
              </w:tc>
            </w:tr>
            <w:tr>
              <w:tblPrEx>
                <w:tblCellMar>
                  <w:top w:w="0" w:type="dxa"/>
                  <w:left w:w="108" w:type="dxa"/>
                  <w:bottom w:w="0" w:type="dxa"/>
                  <w:right w:w="108" w:type="dxa"/>
                </w:tblCellMar>
              </w:tblPrEx>
              <w:trPr>
                <w:trHeight w:val="2830" w:hRule="atLeast"/>
              </w:trPr>
              <w:tc>
                <w:tcPr>
                  <w:tcW w:w="9967" w:type="dxa"/>
                  <w:shd w:val="clear" w:color="auto" w:fill="FFFFFF"/>
                </w:tcPr>
                <w:p>
                  <w:pPr>
                    <w:pStyle w:val="14"/>
                    <w:spacing w:line="340" w:lineRule="exact"/>
                    <w:ind w:firstLine="360"/>
                    <w:rPr>
                      <w:rFonts w:ascii="微软雅黑" w:hAnsi="微软雅黑" w:eastAsia="微软雅黑" w:cs="Times New Roman"/>
                      <w:b/>
                      <w:kern w:val="0"/>
                      <w:sz w:val="18"/>
                      <w:szCs w:val="18"/>
                    </w:rPr>
                  </w:pPr>
                  <w:r>
                    <w:rPr>
                      <w:rFonts w:hint="eastAsia" w:ascii="微软雅黑" w:hAnsi="微软雅黑" w:eastAsia="微软雅黑" w:cs="Times New Roman"/>
                      <w:b/>
                      <w:kern w:val="0"/>
                      <w:sz w:val="18"/>
                      <w:szCs w:val="18"/>
                    </w:rPr>
                    <w:t>本人为公司授权签字人。本授权签字人已阅读了产品风险提示。瑞丰银行向本授权签字人说明了本产品所涉及到的各种风险。认购本产品是经过我公司独立判断之后所做出的符合本公司意愿的决定。</w:t>
                  </w:r>
                </w:p>
                <w:p>
                  <w:pPr>
                    <w:spacing w:line="400" w:lineRule="exact"/>
                    <w:ind w:firstLine="420" w:firstLineChars="200"/>
                    <w:rPr>
                      <w:rFonts w:ascii="微软雅黑" w:hAnsi="微软雅黑" w:eastAsia="微软雅黑"/>
                      <w:kern w:val="0"/>
                      <w:szCs w:val="21"/>
                    </w:rPr>
                  </w:pPr>
                </w:p>
                <w:p>
                  <w:pPr>
                    <w:spacing w:line="400" w:lineRule="exact"/>
                    <w:ind w:firstLine="360" w:firstLineChars="200"/>
                    <w:rPr>
                      <w:rFonts w:ascii="微软雅黑" w:hAnsi="微软雅黑" w:eastAsia="微软雅黑"/>
                      <w:kern w:val="0"/>
                      <w:sz w:val="18"/>
                      <w:szCs w:val="18"/>
                      <w:u w:val="single"/>
                    </w:rPr>
                  </w:pPr>
                  <w:r>
                    <w:rPr>
                      <w:rFonts w:hint="eastAsia" w:ascii="微软雅黑" w:hAnsi="微软雅黑" w:eastAsia="微软雅黑"/>
                      <w:kern w:val="0"/>
                      <w:sz w:val="18"/>
                      <w:szCs w:val="18"/>
                    </w:rPr>
                    <w:t>机构公章：公司授权人签名：</w:t>
                  </w:r>
                </w:p>
                <w:p>
                  <w:pPr>
                    <w:spacing w:line="400" w:lineRule="exact"/>
                    <w:ind w:firstLine="360" w:firstLineChars="200"/>
                    <w:rPr>
                      <w:rFonts w:ascii="微软雅黑" w:hAnsi="微软雅黑" w:eastAsia="微软雅黑"/>
                      <w:kern w:val="0"/>
                      <w:szCs w:val="21"/>
                    </w:rPr>
                  </w:pPr>
                  <w:r>
                    <w:rPr>
                      <w:rFonts w:hint="eastAsia" w:ascii="微软雅黑" w:hAnsi="微软雅黑" w:eastAsia="微软雅黑"/>
                      <w:kern w:val="0"/>
                      <w:sz w:val="18"/>
                      <w:szCs w:val="18"/>
                    </w:rPr>
                    <w:t>银行经办人签名：日期：</w:t>
                  </w:r>
                </w:p>
              </w:tc>
            </w:tr>
          </w:tbl>
          <w:p>
            <w:pPr>
              <w:autoSpaceDE w:val="0"/>
              <w:autoSpaceDN w:val="0"/>
              <w:adjustRightInd w:val="0"/>
              <w:snapToGrid w:val="0"/>
              <w:spacing w:line="240" w:lineRule="exact"/>
              <w:jc w:val="center"/>
              <w:textAlignment w:val="baseline"/>
              <w:rPr>
                <w:rFonts w:ascii="微软雅黑" w:hAnsi="微软雅黑" w:eastAsia="微软雅黑"/>
                <w:b/>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b/>
                <w:color w:val="000000"/>
                <w:szCs w:val="18"/>
              </w:rPr>
            </w:pPr>
            <w:r>
              <w:rPr>
                <w:rFonts w:hint="eastAsia" w:ascii="微软雅黑" w:hAnsi="微软雅黑" w:eastAsia="微软雅黑"/>
                <w:b/>
                <w:color w:val="000000"/>
                <w:szCs w:val="18"/>
              </w:rPr>
              <w:t>产品基本信息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运作模式</w:t>
            </w:r>
          </w:p>
        </w:tc>
        <w:tc>
          <w:tcPr>
            <w:tcW w:w="3686" w:type="dxa"/>
            <w:shd w:val="clear" w:color="auto" w:fill="auto"/>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封闭式净值型理财产品</w:t>
            </w:r>
          </w:p>
        </w:tc>
        <w:tc>
          <w:tcPr>
            <w:tcW w:w="1700"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发行币种</w:t>
            </w:r>
          </w:p>
        </w:tc>
        <w:tc>
          <w:tcPr>
            <w:tcW w:w="2630" w:type="dxa"/>
            <w:shd w:val="clear" w:color="auto" w:fill="auto"/>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投资性质</w:t>
            </w:r>
          </w:p>
        </w:tc>
        <w:tc>
          <w:tcPr>
            <w:tcW w:w="3686" w:type="dxa"/>
            <w:shd w:val="clear" w:color="auto" w:fill="auto"/>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固定收益类产品</w:t>
            </w:r>
          </w:p>
        </w:tc>
        <w:tc>
          <w:tcPr>
            <w:tcW w:w="1700"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风险等级</w:t>
            </w:r>
          </w:p>
        </w:tc>
        <w:tc>
          <w:tcPr>
            <w:tcW w:w="2630" w:type="dxa"/>
            <w:shd w:val="clear" w:color="auto" w:fill="auto"/>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PR2级，中低风险级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适合投资者</w:t>
            </w:r>
          </w:p>
        </w:tc>
        <w:tc>
          <w:tcPr>
            <w:tcW w:w="3686" w:type="dxa"/>
            <w:shd w:val="clear" w:color="auto" w:fill="auto"/>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风险评级谨慎型（含）以上的客户</w:t>
            </w:r>
          </w:p>
        </w:tc>
        <w:tc>
          <w:tcPr>
            <w:tcW w:w="1700"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是否分级</w:t>
            </w:r>
          </w:p>
        </w:tc>
        <w:tc>
          <w:tcPr>
            <w:tcW w:w="2630" w:type="dxa"/>
            <w:shd w:val="clear" w:color="auto" w:fill="auto"/>
            <w:vAlign w:val="center"/>
          </w:tcPr>
          <w:p>
            <w:pPr>
              <w:autoSpaceDE w:val="0"/>
              <w:autoSpaceDN w:val="0"/>
              <w:adjustRightInd w:val="0"/>
              <w:snapToGrid w:val="0"/>
              <w:spacing w:line="240" w:lineRule="exact"/>
              <w:ind w:firstLine="720" w:firstLineChars="40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color w:val="000000"/>
                <w:sz w:val="18"/>
                <w:szCs w:val="18"/>
              </w:rPr>
              <w:t>募集方式</w:t>
            </w:r>
          </w:p>
        </w:tc>
        <w:tc>
          <w:tcPr>
            <w:tcW w:w="3686" w:type="dxa"/>
            <w:shd w:val="clear" w:color="auto" w:fill="auto"/>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公募发行</w:t>
            </w:r>
          </w:p>
        </w:tc>
        <w:tc>
          <w:tcPr>
            <w:tcW w:w="1700" w:type="dxa"/>
            <w:shd w:val="clear" w:color="auto" w:fill="D9D9D9"/>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销售渠道</w:t>
            </w:r>
          </w:p>
        </w:tc>
        <w:tc>
          <w:tcPr>
            <w:tcW w:w="2630" w:type="dxa"/>
            <w:shd w:val="clear" w:color="auto" w:fill="auto"/>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柜面及电子渠道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产品名称</w:t>
            </w:r>
          </w:p>
        </w:tc>
        <w:tc>
          <w:tcPr>
            <w:tcW w:w="8016" w:type="dxa"/>
            <w:gridSpan w:val="3"/>
            <w:shd w:val="clear" w:color="auto" w:fill="auto"/>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禧瑞尊赢</w:t>
            </w:r>
            <w:r>
              <w:rPr>
                <w:rFonts w:hint="eastAsia" w:ascii="微软雅黑" w:hAnsi="微软雅黑" w:eastAsia="微软雅黑"/>
                <w:sz w:val="18"/>
                <w:szCs w:val="18"/>
                <w:lang w:val="en-US" w:eastAsia="zh-CN"/>
              </w:rPr>
              <w:t>22021</w:t>
            </w:r>
            <w:r>
              <w:rPr>
                <w:rFonts w:hint="eastAsia" w:ascii="微软雅黑" w:hAnsi="微软雅黑" w:eastAsia="微软雅黑"/>
                <w:sz w:val="18"/>
                <w:szCs w:val="18"/>
              </w:rPr>
              <w:t>期封闭式净值型理财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产品编码</w:t>
            </w:r>
          </w:p>
        </w:tc>
        <w:tc>
          <w:tcPr>
            <w:tcW w:w="8016" w:type="dxa"/>
            <w:gridSpan w:val="3"/>
            <w:shd w:val="clear" w:color="auto" w:fill="auto"/>
            <w:vAlign w:val="center"/>
          </w:tcPr>
          <w:p>
            <w:pPr>
              <w:adjustRightInd w:val="0"/>
              <w:snapToGrid w:val="0"/>
              <w:spacing w:line="240" w:lineRule="exact"/>
              <w:jc w:val="center"/>
              <w:textAlignment w:val="baseline"/>
              <w:rPr>
                <w:rFonts w:ascii="微软雅黑" w:hAnsi="微软雅黑" w:eastAsia="微软雅黑"/>
                <w:b w:val="0"/>
                <w:kern w:val="0"/>
                <w:sz w:val="18"/>
                <w:szCs w:val="18"/>
              </w:rPr>
            </w:pPr>
            <w:r>
              <w:rPr>
                <w:rFonts w:hint="eastAsia" w:ascii="微软雅黑" w:hAnsi="微软雅黑" w:eastAsia="微软雅黑"/>
                <w:b/>
                <w:kern w:val="0"/>
                <w:sz w:val="18"/>
                <w:szCs w:val="18"/>
                <w:lang w:val="en-US" w:eastAsia="zh-CN"/>
              </w:rPr>
              <w:t>C1124822000046</w:t>
            </w:r>
            <w:r>
              <w:rPr>
                <w:rFonts w:hint="eastAsia" w:ascii="微软雅黑" w:hAnsi="微软雅黑" w:eastAsia="微软雅黑"/>
                <w:b w:val="0"/>
                <w:kern w:val="0"/>
                <w:sz w:val="18"/>
                <w:szCs w:val="18"/>
              </w:rPr>
              <w:t>（客户可依据编码在中国理财网查询产品信息）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hint="eastAsia" w:ascii="微软雅黑" w:hAnsi="微软雅黑" w:eastAsia="微软雅黑"/>
                <w:sz w:val="18"/>
                <w:szCs w:val="18"/>
              </w:rPr>
            </w:pPr>
            <w:r>
              <w:rPr>
                <w:rFonts w:hint="eastAsia" w:ascii="微软雅黑" w:hAnsi="微软雅黑" w:eastAsia="微软雅黑"/>
                <w:sz w:val="18"/>
                <w:szCs w:val="18"/>
              </w:rPr>
              <w:t>产品</w:t>
            </w:r>
            <w:r>
              <w:rPr>
                <w:rFonts w:ascii="微软雅黑" w:hAnsi="微软雅黑" w:eastAsia="微软雅黑"/>
                <w:sz w:val="18"/>
                <w:szCs w:val="18"/>
              </w:rPr>
              <w:t>管理人</w:t>
            </w:r>
          </w:p>
        </w:tc>
        <w:tc>
          <w:tcPr>
            <w:tcW w:w="8016" w:type="dxa"/>
            <w:gridSpan w:val="3"/>
            <w:shd w:val="clear" w:color="auto" w:fill="auto"/>
            <w:vAlign w:val="center"/>
          </w:tcPr>
          <w:p>
            <w:pPr>
              <w:adjustRightInd w:val="0"/>
              <w:snapToGrid w:val="0"/>
              <w:jc w:val="center"/>
              <w:textAlignment w:val="baseline"/>
              <w:rPr>
                <w:rFonts w:hint="eastAsia" w:ascii="微软雅黑" w:hAnsi="微软雅黑" w:eastAsia="微软雅黑"/>
                <w:b w:val="0"/>
                <w:sz w:val="18"/>
                <w:szCs w:val="18"/>
              </w:rPr>
            </w:pPr>
            <w:r>
              <w:rPr>
                <w:rFonts w:hint="eastAsia" w:ascii="微软雅黑" w:hAnsi="微软雅黑" w:eastAsia="微软雅黑"/>
                <w:sz w:val="18"/>
                <w:szCs w:val="18"/>
              </w:rPr>
              <w:t>浙江绍兴瑞丰农村商业银行股份有限公司（或瑞丰银行）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hint="eastAsia" w:ascii="微软雅黑" w:hAnsi="微软雅黑" w:eastAsia="微软雅黑"/>
                <w:sz w:val="18"/>
                <w:szCs w:val="18"/>
              </w:rPr>
            </w:pPr>
            <w:r>
              <w:rPr>
                <w:rFonts w:hint="eastAsia" w:ascii="微软雅黑" w:hAnsi="微软雅黑" w:eastAsia="微软雅黑"/>
                <w:sz w:val="18"/>
                <w:szCs w:val="18"/>
              </w:rPr>
              <w:t>产品</w:t>
            </w:r>
            <w:r>
              <w:rPr>
                <w:rFonts w:ascii="微软雅黑" w:hAnsi="微软雅黑" w:eastAsia="微软雅黑"/>
                <w:sz w:val="18"/>
                <w:szCs w:val="18"/>
              </w:rPr>
              <w:t>托管人</w:t>
            </w:r>
          </w:p>
        </w:tc>
        <w:tc>
          <w:tcPr>
            <w:tcW w:w="8016" w:type="dxa"/>
            <w:gridSpan w:val="3"/>
            <w:shd w:val="clear" w:color="auto" w:fill="auto"/>
            <w:vAlign w:val="center"/>
          </w:tcPr>
          <w:p>
            <w:pPr>
              <w:adjustRightInd w:val="0"/>
              <w:snapToGrid w:val="0"/>
              <w:jc w:val="center"/>
              <w:textAlignment w:val="baseline"/>
              <w:rPr>
                <w:rFonts w:hint="eastAsia" w:ascii="微软雅黑" w:hAnsi="微软雅黑" w:eastAsia="微软雅黑"/>
                <w:b w:val="0"/>
                <w:sz w:val="18"/>
                <w:szCs w:val="18"/>
              </w:rPr>
            </w:pPr>
            <w:r>
              <w:rPr>
                <w:rFonts w:hint="eastAsia" w:ascii="微软雅黑" w:hAnsi="微软雅黑" w:eastAsia="微软雅黑"/>
                <w:sz w:val="18"/>
                <w:szCs w:val="18"/>
              </w:rPr>
              <w:t>招商银行股份有限公司杭州分行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规模</w:t>
            </w:r>
          </w:p>
        </w:tc>
        <w:tc>
          <w:tcPr>
            <w:tcW w:w="8016" w:type="dxa"/>
            <w:gridSpan w:val="3"/>
            <w:shd w:val="clear" w:color="auto" w:fill="auto"/>
            <w:vAlign w:val="center"/>
          </w:tcPr>
          <w:p>
            <w:pPr>
              <w:adjustRightInd w:val="0"/>
              <w:snapToGrid w:val="0"/>
              <w:jc w:val="center"/>
              <w:textAlignment w:val="baseline"/>
              <w:rPr>
                <w:rFonts w:ascii="微软雅黑" w:hAnsi="微软雅黑" w:eastAsia="微软雅黑"/>
                <w:b w:val="0"/>
                <w:sz w:val="18"/>
                <w:szCs w:val="18"/>
              </w:rPr>
            </w:pPr>
            <w:r>
              <w:rPr>
                <w:rFonts w:hint="eastAsia" w:ascii="微软雅黑" w:hAnsi="微软雅黑" w:eastAsia="微软雅黑"/>
                <w:b w:val="0"/>
                <w:sz w:val="18"/>
                <w:szCs w:val="18"/>
              </w:rPr>
              <w:t>不超过</w:t>
            </w:r>
            <w:r>
              <w:rPr>
                <w:rFonts w:ascii="微软雅黑" w:hAnsi="微软雅黑" w:eastAsia="微软雅黑"/>
                <w:b w:val="0"/>
                <w:sz w:val="18"/>
                <w:szCs w:val="18"/>
              </w:rPr>
              <w:t>5</w:t>
            </w:r>
            <w:r>
              <w:rPr>
                <w:rFonts w:hint="eastAsia" w:ascii="微软雅黑" w:hAnsi="微软雅黑" w:eastAsia="微软雅黑"/>
                <w:b w:val="0"/>
                <w:sz w:val="18"/>
                <w:szCs w:val="18"/>
              </w:rPr>
              <w:t>亿元，最终以具体募集为准。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期限</w:t>
            </w:r>
          </w:p>
        </w:tc>
        <w:tc>
          <w:tcPr>
            <w:tcW w:w="8016" w:type="dxa"/>
            <w:gridSpan w:val="3"/>
            <w:shd w:val="clear" w:color="auto" w:fill="auto"/>
            <w:vAlign w:val="center"/>
          </w:tcPr>
          <w:p>
            <w:pPr>
              <w:autoSpaceDE w:val="0"/>
              <w:autoSpaceDN w:val="0"/>
              <w:adjustRightInd w:val="0"/>
              <w:snapToGrid w:val="0"/>
              <w:jc w:val="center"/>
              <w:textAlignment w:val="baseline"/>
              <w:rPr>
                <w:rFonts w:ascii="微软雅黑" w:hAnsi="微软雅黑" w:eastAsia="微软雅黑"/>
                <w:b w:val="0"/>
                <w:sz w:val="18"/>
                <w:szCs w:val="18"/>
              </w:rPr>
            </w:pPr>
            <w:r>
              <w:rPr>
                <w:rFonts w:hint="eastAsia" w:ascii="微软雅黑" w:hAnsi="微软雅黑" w:eastAsia="微软雅黑"/>
                <w:b w:val="0"/>
                <w:sz w:val="18"/>
                <w:szCs w:val="18"/>
                <w:lang w:val="en-US" w:eastAsia="zh-CN"/>
              </w:rPr>
              <w:t>384</w:t>
            </w:r>
            <w:r>
              <w:rPr>
                <w:rFonts w:hint="eastAsia" w:ascii="微软雅黑" w:hAnsi="微软雅黑" w:eastAsia="微软雅黑"/>
                <w:b w:val="0"/>
                <w:sz w:val="18"/>
                <w:szCs w:val="1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认购期</w:t>
            </w:r>
          </w:p>
        </w:tc>
        <w:tc>
          <w:tcPr>
            <w:tcW w:w="8016" w:type="dxa"/>
            <w:gridSpan w:val="3"/>
            <w:shd w:val="clear" w:color="auto" w:fill="auto"/>
            <w:vAlign w:val="center"/>
          </w:tcPr>
          <w:p>
            <w:pPr>
              <w:adjustRightInd w:val="0"/>
              <w:snapToGrid w:val="0"/>
              <w:jc w:val="center"/>
              <w:textAlignment w:val="baseline"/>
              <w:rPr>
                <w:rFonts w:ascii="微软雅黑" w:hAnsi="微软雅黑" w:eastAsia="微软雅黑"/>
                <w:b w:val="0"/>
                <w:sz w:val="18"/>
                <w:szCs w:val="18"/>
              </w:rPr>
            </w:pPr>
            <w:r>
              <w:rPr>
                <w:rFonts w:hint="eastAsia" w:ascii="微软雅黑" w:hAnsi="微软雅黑" w:eastAsia="微软雅黑"/>
                <w:b w:val="0"/>
                <w:sz w:val="18"/>
                <w:szCs w:val="18"/>
                <w:lang w:val="en-US" w:eastAsia="zh-CN"/>
              </w:rPr>
              <w:t>2022</w:t>
            </w:r>
            <w:r>
              <w:rPr>
                <w:rFonts w:hint="eastAsia" w:ascii="微软雅黑" w:hAnsi="微软雅黑" w:eastAsia="微软雅黑"/>
                <w:b w:val="0"/>
                <w:sz w:val="18"/>
                <w:szCs w:val="18"/>
              </w:rPr>
              <w:t>年</w:t>
            </w:r>
            <w:r>
              <w:rPr>
                <w:rFonts w:hint="eastAsia" w:ascii="微软雅黑" w:hAnsi="微软雅黑" w:eastAsia="微软雅黑"/>
                <w:b w:val="0"/>
                <w:sz w:val="18"/>
                <w:szCs w:val="18"/>
                <w:lang w:val="en-US" w:eastAsia="zh-CN"/>
              </w:rPr>
              <w:t>5</w:t>
            </w:r>
            <w:r>
              <w:rPr>
                <w:rFonts w:hint="eastAsia" w:ascii="微软雅黑" w:hAnsi="微软雅黑" w:eastAsia="微软雅黑"/>
                <w:b w:val="0"/>
                <w:sz w:val="18"/>
                <w:szCs w:val="18"/>
              </w:rPr>
              <w:t>月</w:t>
            </w:r>
            <w:r>
              <w:rPr>
                <w:rFonts w:hint="eastAsia" w:ascii="微软雅黑" w:hAnsi="微软雅黑" w:eastAsia="微软雅黑"/>
                <w:b w:val="0"/>
                <w:sz w:val="18"/>
                <w:szCs w:val="18"/>
                <w:lang w:val="en-US" w:eastAsia="zh-CN"/>
              </w:rPr>
              <w:t>25</w:t>
            </w:r>
            <w:r>
              <w:rPr>
                <w:rFonts w:hint="eastAsia" w:ascii="微软雅黑" w:hAnsi="微软雅黑" w:eastAsia="微软雅黑"/>
                <w:b w:val="0"/>
                <w:sz w:val="18"/>
                <w:szCs w:val="18"/>
              </w:rPr>
              <w:t>日至</w:t>
            </w:r>
            <w:r>
              <w:rPr>
                <w:rFonts w:hint="eastAsia" w:ascii="微软雅黑" w:hAnsi="微软雅黑" w:eastAsia="微软雅黑"/>
                <w:b w:val="0"/>
                <w:sz w:val="18"/>
                <w:szCs w:val="18"/>
                <w:lang w:val="en-US" w:eastAsia="zh-CN"/>
              </w:rPr>
              <w:t>2022</w:t>
            </w:r>
            <w:r>
              <w:rPr>
                <w:rFonts w:hint="eastAsia" w:ascii="微软雅黑" w:hAnsi="微软雅黑" w:eastAsia="微软雅黑"/>
                <w:b w:val="0"/>
                <w:sz w:val="18"/>
                <w:szCs w:val="18"/>
              </w:rPr>
              <w:t>年</w:t>
            </w:r>
            <w:r>
              <w:rPr>
                <w:rFonts w:hint="eastAsia" w:ascii="微软雅黑" w:hAnsi="微软雅黑" w:eastAsia="微软雅黑"/>
                <w:b w:val="0"/>
                <w:sz w:val="18"/>
                <w:szCs w:val="18"/>
                <w:lang w:val="en-US" w:eastAsia="zh-CN"/>
              </w:rPr>
              <w:t>5</w:t>
            </w:r>
            <w:r>
              <w:rPr>
                <w:rFonts w:hint="eastAsia" w:ascii="微软雅黑" w:hAnsi="微软雅黑" w:eastAsia="微软雅黑"/>
                <w:b w:val="0"/>
                <w:sz w:val="18"/>
                <w:szCs w:val="18"/>
              </w:rPr>
              <w:t>月</w:t>
            </w:r>
            <w:r>
              <w:rPr>
                <w:rFonts w:hint="eastAsia" w:ascii="微软雅黑" w:hAnsi="微软雅黑" w:eastAsia="微软雅黑"/>
                <w:b w:val="0"/>
                <w:sz w:val="18"/>
                <w:szCs w:val="18"/>
                <w:lang w:val="en-US" w:eastAsia="zh-CN"/>
              </w:rPr>
              <w:t>31</w:t>
            </w:r>
            <w:r>
              <w:rPr>
                <w:rFonts w:hint="eastAsia" w:ascii="微软雅黑" w:hAnsi="微软雅黑" w:eastAsia="微软雅黑"/>
                <w:b w:val="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产品成立运作期</w:t>
            </w:r>
          </w:p>
        </w:tc>
        <w:tc>
          <w:tcPr>
            <w:tcW w:w="8016" w:type="dxa"/>
            <w:gridSpan w:val="3"/>
            <w:shd w:val="clear" w:color="auto" w:fill="auto"/>
            <w:vAlign w:val="center"/>
          </w:tcPr>
          <w:p>
            <w:pPr>
              <w:adjustRightInd w:val="0"/>
              <w:snapToGrid w:val="0"/>
              <w:jc w:val="center"/>
              <w:textAlignment w:val="baseline"/>
              <w:rPr>
                <w:rFonts w:ascii="微软雅黑" w:hAnsi="微软雅黑" w:eastAsia="微软雅黑"/>
                <w:b w:val="0"/>
                <w:sz w:val="18"/>
                <w:szCs w:val="18"/>
              </w:rPr>
            </w:pPr>
            <w:r>
              <w:rPr>
                <w:rFonts w:hint="eastAsia" w:ascii="微软雅黑" w:hAnsi="微软雅黑" w:eastAsia="微软雅黑"/>
                <w:b w:val="0"/>
                <w:sz w:val="18"/>
                <w:szCs w:val="18"/>
                <w:lang w:val="en-US" w:eastAsia="zh-CN"/>
              </w:rPr>
              <w:t>2022</w:t>
            </w:r>
            <w:r>
              <w:rPr>
                <w:rFonts w:hint="eastAsia" w:ascii="微软雅黑" w:hAnsi="微软雅黑" w:eastAsia="微软雅黑"/>
                <w:b w:val="0"/>
                <w:sz w:val="18"/>
                <w:szCs w:val="18"/>
              </w:rPr>
              <w:t>年</w:t>
            </w:r>
            <w:r>
              <w:rPr>
                <w:rFonts w:hint="eastAsia" w:ascii="微软雅黑" w:hAnsi="微软雅黑" w:eastAsia="微软雅黑"/>
                <w:b w:val="0"/>
                <w:sz w:val="18"/>
                <w:szCs w:val="18"/>
                <w:lang w:val="en-US" w:eastAsia="zh-CN"/>
              </w:rPr>
              <w:t>6</w:t>
            </w:r>
            <w:r>
              <w:rPr>
                <w:rFonts w:hint="eastAsia" w:ascii="微软雅黑" w:hAnsi="微软雅黑" w:eastAsia="微软雅黑"/>
                <w:b w:val="0"/>
                <w:sz w:val="18"/>
                <w:szCs w:val="18"/>
              </w:rPr>
              <w:t>月</w:t>
            </w:r>
            <w:r>
              <w:rPr>
                <w:rFonts w:hint="eastAsia" w:ascii="微软雅黑" w:hAnsi="微软雅黑" w:eastAsia="微软雅黑"/>
                <w:b w:val="0"/>
                <w:sz w:val="18"/>
                <w:szCs w:val="18"/>
                <w:lang w:val="en-US" w:eastAsia="zh-CN"/>
              </w:rPr>
              <w:t>1</w:t>
            </w:r>
            <w:r>
              <w:rPr>
                <w:rFonts w:hint="eastAsia" w:ascii="微软雅黑" w:hAnsi="微软雅黑" w:eastAsia="微软雅黑"/>
                <w:b w:val="0"/>
                <w:sz w:val="18"/>
                <w:szCs w:val="18"/>
              </w:rPr>
              <w:t>日至</w:t>
            </w:r>
            <w:r>
              <w:rPr>
                <w:rFonts w:hint="eastAsia" w:ascii="微软雅黑" w:hAnsi="微软雅黑" w:eastAsia="微软雅黑"/>
                <w:b w:val="0"/>
                <w:sz w:val="18"/>
                <w:szCs w:val="18"/>
                <w:lang w:val="en-US" w:eastAsia="zh-CN"/>
              </w:rPr>
              <w:t>2023</w:t>
            </w:r>
            <w:r>
              <w:rPr>
                <w:rFonts w:hint="eastAsia" w:ascii="微软雅黑" w:hAnsi="微软雅黑" w:eastAsia="微软雅黑"/>
                <w:b w:val="0"/>
                <w:sz w:val="18"/>
                <w:szCs w:val="18"/>
              </w:rPr>
              <w:t>年</w:t>
            </w:r>
            <w:r>
              <w:rPr>
                <w:rFonts w:hint="eastAsia" w:ascii="微软雅黑" w:hAnsi="微软雅黑" w:eastAsia="微软雅黑"/>
                <w:b w:val="0"/>
                <w:sz w:val="18"/>
                <w:szCs w:val="18"/>
                <w:lang w:val="en-US" w:eastAsia="zh-CN"/>
              </w:rPr>
              <w:t>6</w:t>
            </w:r>
            <w:r>
              <w:rPr>
                <w:rFonts w:hint="eastAsia" w:ascii="微软雅黑" w:hAnsi="微软雅黑" w:eastAsia="微软雅黑"/>
                <w:b w:val="0"/>
                <w:sz w:val="18"/>
                <w:szCs w:val="18"/>
              </w:rPr>
              <w:t>月</w:t>
            </w:r>
            <w:r>
              <w:rPr>
                <w:rFonts w:hint="eastAsia" w:ascii="微软雅黑" w:hAnsi="微软雅黑" w:eastAsia="微软雅黑"/>
                <w:b w:val="0"/>
                <w:sz w:val="18"/>
                <w:szCs w:val="18"/>
                <w:lang w:val="en-US" w:eastAsia="zh-CN"/>
              </w:rPr>
              <w:t>20</w:t>
            </w:r>
            <w:r>
              <w:rPr>
                <w:rFonts w:hint="eastAsia" w:ascii="微软雅黑" w:hAnsi="微软雅黑" w:eastAsia="微软雅黑"/>
                <w:b w:val="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产品到期日</w:t>
            </w:r>
          </w:p>
        </w:tc>
        <w:tc>
          <w:tcPr>
            <w:tcW w:w="8016" w:type="dxa"/>
            <w:gridSpan w:val="3"/>
            <w:shd w:val="clear" w:color="auto" w:fill="auto"/>
            <w:vAlign w:val="center"/>
          </w:tcPr>
          <w:p>
            <w:pPr>
              <w:adjustRightInd w:val="0"/>
              <w:snapToGrid w:val="0"/>
              <w:jc w:val="center"/>
              <w:textAlignment w:val="baseline"/>
              <w:rPr>
                <w:rFonts w:ascii="微软雅黑" w:hAnsi="微软雅黑" w:eastAsia="微软雅黑"/>
                <w:b w:val="0"/>
                <w:sz w:val="18"/>
                <w:szCs w:val="18"/>
              </w:rPr>
            </w:pPr>
            <w:r>
              <w:rPr>
                <w:rFonts w:hint="eastAsia" w:ascii="微软雅黑" w:hAnsi="微软雅黑" w:eastAsia="微软雅黑"/>
                <w:b w:val="0"/>
                <w:sz w:val="18"/>
                <w:szCs w:val="18"/>
                <w:lang w:val="en-US" w:eastAsia="zh-CN"/>
              </w:rPr>
              <w:t>2023</w:t>
            </w:r>
            <w:r>
              <w:rPr>
                <w:rFonts w:hint="eastAsia" w:ascii="微软雅黑" w:hAnsi="微软雅黑" w:eastAsia="微软雅黑"/>
                <w:b w:val="0"/>
                <w:sz w:val="18"/>
                <w:szCs w:val="18"/>
              </w:rPr>
              <w:t>年</w:t>
            </w:r>
            <w:r>
              <w:rPr>
                <w:rFonts w:hint="eastAsia" w:ascii="微软雅黑" w:hAnsi="微软雅黑" w:eastAsia="微软雅黑"/>
                <w:b w:val="0"/>
                <w:sz w:val="18"/>
                <w:szCs w:val="18"/>
                <w:lang w:val="en-US" w:eastAsia="zh-CN"/>
              </w:rPr>
              <w:t>6</w:t>
            </w:r>
            <w:r>
              <w:rPr>
                <w:rFonts w:hint="eastAsia" w:ascii="微软雅黑" w:hAnsi="微软雅黑" w:eastAsia="微软雅黑"/>
                <w:b w:val="0"/>
                <w:sz w:val="18"/>
                <w:szCs w:val="18"/>
              </w:rPr>
              <w:t>月</w:t>
            </w:r>
            <w:r>
              <w:rPr>
                <w:rFonts w:hint="eastAsia" w:ascii="微软雅黑" w:hAnsi="微软雅黑" w:eastAsia="微软雅黑"/>
                <w:b w:val="0"/>
                <w:sz w:val="18"/>
                <w:szCs w:val="18"/>
                <w:lang w:val="en-US" w:eastAsia="zh-CN"/>
              </w:rPr>
              <w:t>20</w:t>
            </w:r>
            <w:r>
              <w:rPr>
                <w:rFonts w:hint="eastAsia" w:ascii="微软雅黑" w:hAnsi="微软雅黑" w:eastAsia="微软雅黑"/>
                <w:b w:val="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产品</w:t>
            </w:r>
            <w:r>
              <w:rPr>
                <w:rFonts w:ascii="微软雅黑" w:hAnsi="微软雅黑" w:eastAsia="微软雅黑"/>
                <w:sz w:val="18"/>
                <w:szCs w:val="18"/>
              </w:rPr>
              <w:t>业绩比较基准</w:t>
            </w:r>
          </w:p>
        </w:tc>
        <w:tc>
          <w:tcPr>
            <w:tcW w:w="8016" w:type="dxa"/>
            <w:gridSpan w:val="3"/>
            <w:shd w:val="clear" w:color="auto" w:fill="auto"/>
            <w:vAlign w:val="center"/>
          </w:tcPr>
          <w:p>
            <w:pPr>
              <w:adjustRightInd w:val="0"/>
              <w:snapToGrid w:val="0"/>
              <w:ind w:firstLine="360" w:firstLineChars="200"/>
              <w:textAlignment w:val="baseline"/>
              <w:rPr>
                <w:rFonts w:ascii="微软雅黑" w:hAnsi="微软雅黑" w:eastAsia="微软雅黑" w:cs="宋体"/>
                <w:sz w:val="18"/>
                <w:szCs w:val="18"/>
              </w:rPr>
            </w:pPr>
            <w:r>
              <w:rPr>
                <w:rFonts w:hint="eastAsia" w:ascii="微软雅黑" w:hAnsi="微软雅黑" w:eastAsia="微软雅黑" w:cs="宋体"/>
                <w:sz w:val="18"/>
                <w:szCs w:val="18"/>
              </w:rPr>
              <w:t>1、本理财产品为净值型产品，其业绩表现将随市场波动，具有不确定性。</w:t>
            </w:r>
          </w:p>
          <w:p>
            <w:pPr>
              <w:adjustRightInd w:val="0"/>
              <w:snapToGrid w:val="0"/>
              <w:ind w:firstLine="360" w:firstLineChars="200"/>
              <w:textAlignment w:val="baseline"/>
              <w:rPr>
                <w:rFonts w:ascii="微软雅黑" w:hAnsi="微软雅黑" w:eastAsia="微软雅黑" w:cs="宋体"/>
                <w:sz w:val="18"/>
                <w:szCs w:val="18"/>
              </w:rPr>
            </w:pPr>
            <w:r>
              <w:rPr>
                <w:rFonts w:hint="eastAsia" w:ascii="微软雅黑" w:hAnsi="微软雅黑" w:eastAsia="微软雅黑" w:cs="宋体"/>
                <w:sz w:val="18"/>
                <w:szCs w:val="18"/>
              </w:rPr>
              <w:t>2、本理财产品根据产品说明书约定的投资范围内各类资产的收益率水平、投资比例、市场情况进行静态测算和情景分析，本运作周期业绩比较基准为年化</w:t>
            </w:r>
            <w:r>
              <w:rPr>
                <w:rFonts w:hint="eastAsia" w:ascii="微软雅黑" w:hAnsi="微软雅黑" w:eastAsia="微软雅黑" w:cs="宋体"/>
                <w:sz w:val="18"/>
                <w:szCs w:val="18"/>
                <w:lang w:val="en-US" w:eastAsia="zh-CN"/>
              </w:rPr>
              <w:t>4.00</w:t>
            </w:r>
            <w:bookmarkStart w:id="0" w:name="_GoBack"/>
            <w:bookmarkEnd w:id="0"/>
            <w:r>
              <w:rPr>
                <w:rFonts w:hint="eastAsia" w:ascii="微软雅黑" w:hAnsi="微软雅黑" w:eastAsia="微软雅黑" w:cs="宋体"/>
                <w:sz w:val="18"/>
                <w:szCs w:val="18"/>
              </w:rPr>
              <w:t>%。</w:t>
            </w:r>
          </w:p>
          <w:p>
            <w:pPr>
              <w:adjustRightInd w:val="0"/>
              <w:snapToGrid w:val="0"/>
              <w:ind w:firstLine="360" w:firstLineChars="200"/>
              <w:textAlignment w:val="baseline"/>
              <w:rPr>
                <w:rFonts w:ascii="微软雅黑" w:hAnsi="微软雅黑" w:eastAsia="微软雅黑"/>
                <w:b/>
                <w:sz w:val="18"/>
                <w:szCs w:val="18"/>
              </w:rPr>
            </w:pPr>
            <w:r>
              <w:rPr>
                <w:rFonts w:hint="eastAsia" w:ascii="微软雅黑" w:hAnsi="微软雅黑" w:eastAsia="微软雅黑" w:cs="宋体"/>
                <w:sz w:val="18"/>
                <w:szCs w:val="18"/>
              </w:rPr>
              <w:t>任何业绩比较基准或类似表述均属不具有法律约束力的用语，不代表投资者可能获得的实际收益，亦不构成瑞丰银行对本理财产品的任何收益承诺。瑞丰银行将根据市场情况调整业绩比较基准，并将提前2个工作日公告。理财产品过往业绩亦不代表其未来表现，不等于理财产品实际收益，投资需谨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b/>
                <w:color w:val="000000"/>
                <w:szCs w:val="18"/>
              </w:rPr>
            </w:pPr>
            <w:r>
              <w:rPr>
                <w:rFonts w:hint="eastAsia" w:ascii="微软雅黑" w:hAnsi="微软雅黑" w:eastAsia="微软雅黑"/>
                <w:b/>
                <w:color w:val="000000"/>
                <w:szCs w:val="18"/>
              </w:rPr>
              <w:t>产品说明书部分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D9D9D9"/>
            <w:vAlign w:val="center"/>
          </w:tcPr>
          <w:p>
            <w:pPr>
              <w:autoSpaceDE w:val="0"/>
              <w:autoSpaceDN w:val="0"/>
              <w:adjustRightInd w:val="0"/>
              <w:snapToGrid w:val="0"/>
              <w:spacing w:line="240" w:lineRule="exact"/>
              <w:ind w:firstLine="4097" w:firstLineChars="1950"/>
              <w:jc w:val="both"/>
              <w:textAlignment w:val="baseline"/>
              <w:rPr>
                <w:rFonts w:ascii="微软雅黑" w:hAnsi="微软雅黑" w:eastAsia="微软雅黑"/>
                <w:sz w:val="18"/>
                <w:szCs w:val="18"/>
              </w:rPr>
            </w:pPr>
            <w:r>
              <w:rPr>
                <w:rFonts w:hint="eastAsia" w:ascii="微软雅黑" w:hAnsi="微软雅黑" w:eastAsia="微软雅黑"/>
                <w:b/>
                <w:color w:val="000000"/>
                <w:szCs w:val="18"/>
              </w:rPr>
              <w:t>产品运作方式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认购起点金额</w:t>
            </w:r>
          </w:p>
        </w:tc>
        <w:tc>
          <w:tcPr>
            <w:tcW w:w="8016" w:type="dxa"/>
            <w:gridSpan w:val="3"/>
            <w:tcBorders>
              <w:bottom w:val="single" w:color="auto" w:sz="4" w:space="0"/>
            </w:tcBorders>
            <w:shd w:val="clear" w:color="auto" w:fill="auto"/>
            <w:vAlign w:val="center"/>
          </w:tcPr>
          <w:p>
            <w:pPr>
              <w:autoSpaceDE w:val="0"/>
              <w:autoSpaceDN w:val="0"/>
              <w:adjustRightInd w:val="0"/>
              <w:snapToGrid w:val="0"/>
              <w:spacing w:line="240" w:lineRule="exact"/>
              <w:ind w:firstLine="360" w:firstLineChars="200"/>
              <w:jc w:val="both"/>
              <w:textAlignment w:val="baseline"/>
              <w:rPr>
                <w:rFonts w:ascii="微软雅黑" w:hAnsi="微软雅黑" w:eastAsia="微软雅黑"/>
                <w:sz w:val="18"/>
                <w:szCs w:val="18"/>
              </w:rPr>
            </w:pPr>
            <w:r>
              <w:rPr>
                <w:rFonts w:hint="eastAsia" w:ascii="微软雅黑" w:hAnsi="微软雅黑" w:eastAsia="微软雅黑"/>
                <w:color w:val="000000"/>
                <w:sz w:val="18"/>
                <w:szCs w:val="18"/>
              </w:rPr>
              <w:t>认购起点金额为5万元，高于认购起点金额以人民币1万</w:t>
            </w:r>
            <w:r>
              <w:rPr>
                <w:rFonts w:hint="eastAsia" w:ascii="微软雅黑" w:hAnsi="微软雅黑" w:eastAsia="微软雅黑"/>
                <w:sz w:val="18"/>
                <w:szCs w:val="18"/>
              </w:rPr>
              <w:t>元的整数倍递增。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认购安排</w:t>
            </w:r>
          </w:p>
        </w:tc>
        <w:tc>
          <w:tcPr>
            <w:tcW w:w="8016" w:type="dxa"/>
            <w:gridSpan w:val="3"/>
            <w:tcBorders>
              <w:bottom w:val="single" w:color="auto" w:sz="4" w:space="0"/>
            </w:tcBorders>
            <w:shd w:val="clear" w:color="auto" w:fill="auto"/>
            <w:vAlign w:val="center"/>
          </w:tcPr>
          <w:p>
            <w:pPr>
              <w:autoSpaceDE w:val="0"/>
              <w:autoSpaceDN w:val="0"/>
              <w:adjustRightInd w:val="0"/>
              <w:snapToGrid w:val="0"/>
              <w:ind w:firstLine="360" w:firstLineChars="200"/>
              <w:textAlignment w:val="baseline"/>
              <w:rPr>
                <w:rFonts w:ascii="微软雅黑" w:hAnsi="微软雅黑" w:eastAsia="微软雅黑"/>
                <w:sz w:val="18"/>
                <w:szCs w:val="18"/>
              </w:rPr>
            </w:pPr>
            <w:r>
              <w:rPr>
                <w:rFonts w:hint="eastAsia" w:ascii="微软雅黑" w:hAnsi="微软雅黑" w:eastAsia="微软雅黑"/>
                <w:sz w:val="18"/>
                <w:szCs w:val="18"/>
              </w:rPr>
              <w:t>1、认购期内客户先到先得，认购期届满或募集资金达到5亿或银行认可的规模，则认购停止；瑞丰银行有权提前结束认购。</w:t>
            </w:r>
          </w:p>
          <w:p>
            <w:pPr>
              <w:autoSpaceDE w:val="0"/>
              <w:autoSpaceDN w:val="0"/>
              <w:adjustRightInd w:val="0"/>
              <w:snapToGrid w:val="0"/>
              <w:ind w:firstLine="360" w:firstLineChars="200"/>
              <w:textAlignment w:val="baseline"/>
              <w:rPr>
                <w:rFonts w:ascii="微软雅黑" w:hAnsi="微软雅黑" w:eastAsia="微软雅黑"/>
                <w:sz w:val="18"/>
                <w:szCs w:val="18"/>
              </w:rPr>
            </w:pPr>
            <w:r>
              <w:rPr>
                <w:rFonts w:hint="eastAsia" w:ascii="微软雅黑" w:hAnsi="微软雅黑" w:eastAsia="微软雅黑"/>
                <w:sz w:val="18"/>
                <w:szCs w:val="18"/>
              </w:rPr>
              <w:t>2、本理财产品认购期结束后至到期日之前，不办理认购。客户无权追加投资。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认购价格</w:t>
            </w:r>
          </w:p>
        </w:tc>
        <w:tc>
          <w:tcPr>
            <w:tcW w:w="8016" w:type="dxa"/>
            <w:gridSpan w:val="3"/>
            <w:tcBorders>
              <w:bottom w:val="single" w:color="auto" w:sz="4" w:space="0"/>
            </w:tcBorders>
            <w:shd w:val="clear" w:color="auto" w:fill="auto"/>
            <w:vAlign w:val="center"/>
          </w:tcPr>
          <w:p>
            <w:pPr>
              <w:autoSpaceDE w:val="0"/>
              <w:autoSpaceDN w:val="0"/>
              <w:adjustRightInd w:val="0"/>
              <w:snapToGrid w:val="0"/>
              <w:spacing w:line="240" w:lineRule="exact"/>
              <w:ind w:firstLine="360" w:firstLineChars="200"/>
              <w:jc w:val="left"/>
              <w:textAlignment w:val="baseline"/>
              <w:rPr>
                <w:rFonts w:ascii="微软雅黑" w:hAnsi="微软雅黑" w:eastAsia="微软雅黑"/>
                <w:sz w:val="18"/>
                <w:szCs w:val="18"/>
              </w:rPr>
            </w:pPr>
            <w:r>
              <w:rPr>
                <w:rFonts w:hint="eastAsia" w:ascii="微软雅黑" w:hAnsi="微软雅黑" w:eastAsia="微软雅黑"/>
                <w:sz w:val="18"/>
                <w:szCs w:val="18"/>
              </w:rPr>
              <w:t>每份理财份额人民币1元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份额认购</w:t>
            </w:r>
          </w:p>
        </w:tc>
        <w:tc>
          <w:tcPr>
            <w:tcW w:w="8016" w:type="dxa"/>
            <w:gridSpan w:val="3"/>
            <w:tcBorders>
              <w:bottom w:val="single" w:color="auto" w:sz="4" w:space="0"/>
            </w:tcBorders>
            <w:shd w:val="clear" w:color="auto" w:fill="auto"/>
            <w:vAlign w:val="center"/>
          </w:tcPr>
          <w:p>
            <w:pPr>
              <w:autoSpaceDE w:val="0"/>
              <w:autoSpaceDN w:val="0"/>
              <w:adjustRightInd w:val="0"/>
              <w:snapToGrid w:val="0"/>
              <w:spacing w:line="240" w:lineRule="exact"/>
              <w:ind w:firstLine="360" w:firstLineChars="200"/>
              <w:jc w:val="left"/>
              <w:textAlignment w:val="baseline"/>
              <w:rPr>
                <w:rFonts w:ascii="微软雅黑" w:hAnsi="微软雅黑" w:eastAsia="微软雅黑"/>
                <w:sz w:val="18"/>
                <w:szCs w:val="18"/>
              </w:rPr>
            </w:pPr>
            <w:r>
              <w:rPr>
                <w:rFonts w:hint="eastAsia" w:ascii="微软雅黑" w:hAnsi="微软雅黑" w:eastAsia="微软雅黑"/>
                <w:sz w:val="18"/>
                <w:szCs w:val="18"/>
              </w:rPr>
              <w:t>认购份额=认购金额/1元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cs="宋体"/>
                <w:sz w:val="18"/>
                <w:szCs w:val="18"/>
              </w:rPr>
              <w:t>理财产品单位净值</w:t>
            </w:r>
          </w:p>
        </w:tc>
        <w:tc>
          <w:tcPr>
            <w:tcW w:w="8016" w:type="dxa"/>
            <w:gridSpan w:val="3"/>
            <w:tcBorders>
              <w:bottom w:val="single" w:color="auto" w:sz="4" w:space="0"/>
            </w:tcBorders>
            <w:shd w:val="clear" w:color="auto" w:fill="auto"/>
            <w:vAlign w:val="center"/>
          </w:tcPr>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理财产品单位份额净值=理财产品净值/理财产品份额</w:t>
            </w:r>
          </w:p>
          <w:p>
            <w:pPr>
              <w:autoSpaceDE w:val="0"/>
              <w:autoSpaceDN w:val="0"/>
              <w:adjustRightInd w:val="0"/>
              <w:snapToGrid w:val="0"/>
              <w:spacing w:line="240" w:lineRule="exact"/>
              <w:ind w:firstLine="360" w:firstLineChars="200"/>
              <w:jc w:val="left"/>
              <w:textAlignment w:val="baseline"/>
              <w:rPr>
                <w:rFonts w:ascii="微软雅黑" w:hAnsi="微软雅黑" w:eastAsia="微软雅黑"/>
                <w:sz w:val="18"/>
                <w:szCs w:val="18"/>
              </w:rPr>
            </w:pPr>
            <w:r>
              <w:rPr>
                <w:rFonts w:hint="eastAsia" w:ascii="微软雅黑" w:hAnsi="微软雅黑" w:eastAsia="微软雅黑" w:cs="宋体"/>
                <w:sz w:val="18"/>
                <w:szCs w:val="18"/>
              </w:rPr>
              <w:t>理财产品单位份额净值为提取相关费用后的净值，客户按该单位份额净值进行到期、提前终止时的分配。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产品成立</w:t>
            </w:r>
          </w:p>
        </w:tc>
        <w:tc>
          <w:tcPr>
            <w:tcW w:w="8016" w:type="dxa"/>
            <w:gridSpan w:val="3"/>
            <w:shd w:val="clear" w:color="auto" w:fill="auto"/>
            <w:vAlign w:val="center"/>
          </w:tcPr>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1、认购期届满，累计募集金额达到5亿元或银行认可的规模，理财产品成立。</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2、认购期结束时，若认购期内募集资金累计金额低于1000万元，或未达到银行认可的规模，则本理财产品不成立。此种情况下，将客户认购资金在认购期结束后2个工作日内(如遇国家法定节假日顺延)退还客户。</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3、适用的节假日调整惯例：如遇国家法定节假日，理财产品成立日延后至节假日后2个工作日内。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投资范围及投资比例</w:t>
            </w:r>
          </w:p>
        </w:tc>
        <w:tc>
          <w:tcPr>
            <w:tcW w:w="8016" w:type="dxa"/>
            <w:gridSpan w:val="3"/>
            <w:shd w:val="clear" w:color="auto" w:fill="auto"/>
            <w:vAlign w:val="center"/>
          </w:tcPr>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投资范围及投资比例如下：</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1、逆回购、同业存款、同业拆借、货币市场基金、现金资产、国债、地方政府债、央行票据、政府机构债券、金融债、企业债、中期票据、短期融资债券、资产支持证券、公司债、可转换公司债、可交换公司债、定向债务融资工具、理财直融工具、债券类基金、信托计划、资产管理计划等固定收益类资产：80%-100%；</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2、直接或间接投资于挂钩沪深300指数或中证500指数的场外期权等衍生金融工具：0%-5%；</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ascii="微软雅黑" w:hAnsi="微软雅黑" w:eastAsia="微软雅黑" w:cs="宋体"/>
                <w:sz w:val="18"/>
                <w:szCs w:val="18"/>
              </w:rPr>
              <w:t>3</w:t>
            </w:r>
            <w:r>
              <w:rPr>
                <w:rFonts w:hint="eastAsia" w:ascii="微软雅黑" w:hAnsi="微软雅黑" w:eastAsia="微软雅黑" w:cs="宋体"/>
                <w:sz w:val="18"/>
                <w:szCs w:val="18"/>
              </w:rPr>
              <w:t>、股票、公募证券投资基金等权益类资产及国务院银行业监督管理机构认可的其他资产：0%-20%；</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本理财产品杠杆水平不超过200%。</w:t>
            </w:r>
          </w:p>
          <w:p>
            <w:pPr>
              <w:autoSpaceDE w:val="0"/>
              <w:autoSpaceDN w:val="0"/>
              <w:adjustRightInd w:val="0"/>
              <w:snapToGrid w:val="0"/>
              <w:ind w:firstLine="360" w:firstLineChars="200"/>
              <w:outlineLvl w:val="0"/>
              <w:rPr>
                <w:rFonts w:ascii="微软雅黑" w:hAnsi="微软雅黑" w:eastAsia="微软雅黑" w:cs="宋体"/>
                <w:b/>
                <w:sz w:val="18"/>
                <w:szCs w:val="18"/>
              </w:rPr>
            </w:pPr>
            <w:r>
              <w:rPr>
                <w:rFonts w:hint="eastAsia" w:ascii="微软雅黑" w:hAnsi="微软雅黑" w:eastAsia="微软雅黑" w:cs="宋体"/>
                <w:b/>
                <w:sz w:val="18"/>
                <w:szCs w:val="18"/>
              </w:rPr>
              <w:t>特别提示：瑞丰银行将本着诚实信用、谨慎勤勉的原则，在规定的范围内运用理财资金进行投资，投资比例可在不影响客户权益、产品风险评级的前提下合理浮动。本产品投资市场存在一定市场风险及投资风险，瑞丰银行将采取谨慎中性的投资策略进行管理。因市场变化和投资周期理财资金大幅变化等情况可能在短期内使投资比例暂时突破上述投资比例配置限制且可能对理财产品收益产生重大影响的，瑞丰银行将在</w:t>
            </w:r>
            <w:r>
              <w:rPr>
                <w:rFonts w:ascii="微软雅黑" w:hAnsi="微软雅黑" w:eastAsia="微软雅黑" w:cs="宋体"/>
                <w:b/>
                <w:sz w:val="18"/>
                <w:szCs w:val="18"/>
              </w:rPr>
              <w:t>3</w:t>
            </w:r>
            <w:r>
              <w:rPr>
                <w:rFonts w:hint="eastAsia" w:ascii="微软雅黑" w:hAnsi="微软雅黑" w:eastAsia="微软雅黑" w:cs="宋体"/>
                <w:b/>
                <w:sz w:val="18"/>
                <w:szCs w:val="18"/>
              </w:rPr>
              <w:t>个工作日内及时进行公告，并在合理期限内进行及时调整，使之符合投资配置策略要求。</w:t>
            </w:r>
          </w:p>
          <w:p>
            <w:pPr>
              <w:autoSpaceDE w:val="0"/>
              <w:autoSpaceDN w:val="0"/>
              <w:adjustRightInd w:val="0"/>
              <w:snapToGrid w:val="0"/>
              <w:ind w:firstLine="360" w:firstLineChars="200"/>
              <w:outlineLvl w:val="0"/>
              <w:rPr>
                <w:rFonts w:ascii="微软雅黑" w:hAnsi="微软雅黑" w:eastAsia="微软雅黑" w:cs="宋体"/>
                <w:sz w:val="18"/>
                <w:szCs w:val="18"/>
              </w:rPr>
            </w:pPr>
            <w:r>
              <w:rPr>
                <w:rFonts w:hint="eastAsia" w:ascii="微软雅黑" w:hAnsi="微软雅黑" w:eastAsia="微软雅黑" w:cs="宋体"/>
                <w:b/>
                <w:sz w:val="18"/>
                <w:szCs w:val="18"/>
              </w:rPr>
              <w:t>瑞丰银行按照法律法规、产品说明书及其他相关约定，诚实信用、谨慎勤勉地实施投资管理行为，以专业技能管理理财产品资产，依法维护理财产品全体客户的利益。瑞丰银行不对本理财产品的收益情况作出承诺或保证，亦不会承诺或保证最低收益或本金安全。瑞丰银行按照本产品说明书及其他相关规定进行投资运作，由此所产生的损失，瑞丰银行不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资金划转</w:t>
            </w:r>
          </w:p>
        </w:tc>
        <w:tc>
          <w:tcPr>
            <w:tcW w:w="8016" w:type="dxa"/>
            <w:gridSpan w:val="3"/>
            <w:shd w:val="clear" w:color="auto" w:fill="auto"/>
            <w:vAlign w:val="center"/>
          </w:tcPr>
          <w:p>
            <w:pPr>
              <w:autoSpaceDE w:val="0"/>
              <w:autoSpaceDN w:val="0"/>
              <w:adjustRightInd w:val="0"/>
              <w:snapToGrid w:val="0"/>
              <w:spacing w:line="240" w:lineRule="exact"/>
              <w:ind w:firstLine="360" w:firstLineChars="200"/>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客户签署或确认认购委托后，瑞丰银行将依据约定划款。划款时将不与客户再次进行确认。</w:t>
            </w:r>
          </w:p>
          <w:p>
            <w:pPr>
              <w:autoSpaceDE w:val="0"/>
              <w:autoSpaceDN w:val="0"/>
              <w:adjustRightInd w:val="0"/>
              <w:snapToGrid w:val="0"/>
              <w:spacing w:line="240" w:lineRule="exact"/>
              <w:ind w:firstLine="360" w:firstLineChars="200"/>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客户认购风险较高或单笔金额较大的理财产品时，也适用前述操作规则。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产品估值</w:t>
            </w:r>
          </w:p>
        </w:tc>
        <w:tc>
          <w:tcPr>
            <w:tcW w:w="8016" w:type="dxa"/>
            <w:gridSpan w:val="3"/>
            <w:tcBorders>
              <w:bottom w:val="single" w:color="auto" w:sz="4" w:space="0"/>
            </w:tcBorders>
            <w:shd w:val="clear" w:color="auto" w:fill="auto"/>
            <w:vAlign w:val="center"/>
          </w:tcPr>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1、估值对象：本产品所持有的各类证券和银行存款本息及其他投资等资产。</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2、估值方法：</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w:t>
            </w:r>
            <w:r>
              <w:rPr>
                <w:rFonts w:ascii="微软雅黑" w:hAnsi="微软雅黑" w:eastAsia="微软雅黑"/>
                <w:color w:val="000000"/>
                <w:sz w:val="18"/>
                <w:szCs w:val="18"/>
              </w:rPr>
              <w:t>1）</w:t>
            </w:r>
            <w:r>
              <w:rPr>
                <w:rFonts w:hint="eastAsia" w:ascii="微软雅黑" w:hAnsi="微软雅黑" w:eastAsia="微软雅黑"/>
                <w:color w:val="000000"/>
                <w:sz w:val="18"/>
                <w:szCs w:val="18"/>
              </w:rPr>
              <w:t>持有的银行定期存款或协议存款以本金列示，按协议或合同利率逐日确认利息收入。</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（2）债券、资产支持证券等债权类资产的估值方法：</w:t>
            </w:r>
          </w:p>
          <w:p>
            <w:pPr>
              <w:autoSpaceDE w:val="0"/>
              <w:autoSpaceDN w:val="0"/>
              <w:adjustRightInd w:val="0"/>
              <w:snapToGrid w:val="0"/>
              <w:spacing w:line="240" w:lineRule="exact"/>
              <w:ind w:firstLine="360" w:firstLineChars="200"/>
              <w:jc w:val="left"/>
              <w:textAlignment w:val="baseline"/>
              <w:rPr>
                <w:rFonts w:ascii="微软雅黑" w:hAnsi="微软雅黑" w:eastAsia="微软雅黑" w:cs="微软雅黑"/>
                <w:color w:val="000000"/>
                <w:sz w:val="18"/>
                <w:szCs w:val="18"/>
              </w:rPr>
            </w:pPr>
            <w:r>
              <w:rPr>
                <w:rFonts w:ascii="微软雅黑" w:hAnsi="微软雅黑" w:eastAsia="微软雅黑"/>
                <w:color w:val="000000"/>
                <w:sz w:val="18"/>
                <w:szCs w:val="18"/>
              </w:rPr>
              <w:fldChar w:fldCharType="begin"/>
            </w:r>
            <w:r>
              <w:rPr>
                <w:rFonts w:hint="eastAsia" w:ascii="微软雅黑" w:hAnsi="微软雅黑" w:eastAsia="微软雅黑"/>
                <w:color w:val="000000"/>
                <w:sz w:val="18"/>
                <w:szCs w:val="18"/>
              </w:rPr>
              <w:instrText xml:space="preserve">= 1 \* GB3</w:instrText>
            </w:r>
            <w:r>
              <w:rPr>
                <w:rFonts w:ascii="微软雅黑" w:hAnsi="微软雅黑" w:eastAsia="微软雅黑"/>
                <w:color w:val="000000"/>
                <w:sz w:val="18"/>
                <w:szCs w:val="18"/>
              </w:rPr>
              <w:fldChar w:fldCharType="separate"/>
            </w:r>
            <w:r>
              <w:rPr>
                <w:rFonts w:hint="eastAsia" w:ascii="微软雅黑" w:hAnsi="微软雅黑" w:eastAsia="微软雅黑"/>
                <w:color w:val="000000"/>
                <w:sz w:val="18"/>
                <w:szCs w:val="18"/>
              </w:rPr>
              <w:t>①</w:t>
            </w:r>
            <w:r>
              <w:rPr>
                <w:rFonts w:ascii="微软雅黑" w:hAnsi="微软雅黑" w:eastAsia="微软雅黑"/>
                <w:color w:val="000000"/>
                <w:sz w:val="18"/>
                <w:szCs w:val="18"/>
              </w:rPr>
              <w:fldChar w:fldCharType="end"/>
            </w:r>
            <w:r>
              <w:rPr>
                <w:rFonts w:hint="eastAsia" w:ascii="微软雅黑" w:hAnsi="微软雅黑" w:eastAsia="微软雅黑"/>
                <w:color w:val="000000"/>
                <w:sz w:val="18"/>
                <w:szCs w:val="18"/>
              </w:rPr>
              <w:t>以交易为持有</w:t>
            </w:r>
            <w:r>
              <w:rPr>
                <w:rFonts w:ascii="微软雅黑" w:hAnsi="微软雅黑" w:eastAsia="微软雅黑"/>
                <w:color w:val="000000"/>
                <w:sz w:val="18"/>
                <w:szCs w:val="18"/>
              </w:rPr>
              <w:t>目的的债权类资产采用公允价值进行估值</w:t>
            </w:r>
            <w:r>
              <w:rPr>
                <w:rFonts w:hint="eastAsia" w:ascii="微软雅黑" w:hAnsi="微软雅黑" w:eastAsia="微软雅黑"/>
                <w:color w:val="000000"/>
                <w:sz w:val="18"/>
                <w:szCs w:val="18"/>
              </w:rPr>
              <w:t>；</w:t>
            </w:r>
            <w:r>
              <w:rPr>
                <w:rFonts w:ascii="微软雅黑" w:hAnsi="微软雅黑" w:eastAsia="微软雅黑"/>
                <w:color w:val="000000"/>
                <w:sz w:val="18"/>
                <w:szCs w:val="18"/>
              </w:rPr>
              <w:fldChar w:fldCharType="begin"/>
            </w:r>
            <w:r>
              <w:rPr>
                <w:rFonts w:hint="eastAsia" w:ascii="微软雅黑" w:hAnsi="微软雅黑" w:eastAsia="微软雅黑"/>
                <w:color w:val="000000"/>
                <w:sz w:val="18"/>
                <w:szCs w:val="18"/>
              </w:rPr>
              <w:instrText xml:space="preserve">= 2 \* GB3</w:instrText>
            </w:r>
            <w:r>
              <w:rPr>
                <w:rFonts w:ascii="微软雅黑" w:hAnsi="微软雅黑" w:eastAsia="微软雅黑"/>
                <w:color w:val="000000"/>
                <w:sz w:val="18"/>
                <w:szCs w:val="18"/>
              </w:rPr>
              <w:fldChar w:fldCharType="separate"/>
            </w:r>
            <w:r>
              <w:rPr>
                <w:rFonts w:hint="eastAsia" w:ascii="微软雅黑" w:hAnsi="微软雅黑" w:eastAsia="微软雅黑"/>
                <w:color w:val="000000"/>
                <w:sz w:val="18"/>
                <w:szCs w:val="18"/>
              </w:rPr>
              <w:t>②</w:t>
            </w:r>
            <w:r>
              <w:rPr>
                <w:rFonts w:ascii="微软雅黑" w:hAnsi="微软雅黑" w:eastAsia="微软雅黑"/>
                <w:color w:val="000000"/>
                <w:sz w:val="18"/>
                <w:szCs w:val="18"/>
              </w:rPr>
              <w:fldChar w:fldCharType="end"/>
            </w:r>
            <w:r>
              <w:rPr>
                <w:rFonts w:hint="eastAsia" w:ascii="微软雅黑" w:hAnsi="微软雅黑" w:eastAsia="微软雅黑"/>
                <w:color w:val="000000"/>
                <w:sz w:val="18"/>
                <w:szCs w:val="18"/>
              </w:rPr>
              <w:t>以</w:t>
            </w:r>
            <w:r>
              <w:rPr>
                <w:rFonts w:ascii="微软雅黑" w:hAnsi="微软雅黑" w:eastAsia="微软雅黑"/>
                <w:color w:val="000000"/>
                <w:sz w:val="18"/>
                <w:szCs w:val="18"/>
              </w:rPr>
              <w:t>收取合同现金流量为目的</w:t>
            </w:r>
            <w:r>
              <w:rPr>
                <w:rFonts w:hint="eastAsia" w:ascii="微软雅黑" w:hAnsi="微软雅黑" w:eastAsia="微软雅黑"/>
                <w:color w:val="000000"/>
                <w:sz w:val="18"/>
                <w:szCs w:val="18"/>
              </w:rPr>
              <w:t>、能通过SPPI测试</w:t>
            </w:r>
            <w:r>
              <w:rPr>
                <w:rFonts w:ascii="微软雅黑" w:hAnsi="微软雅黑" w:eastAsia="微软雅黑"/>
                <w:color w:val="000000"/>
                <w:sz w:val="18"/>
                <w:szCs w:val="18"/>
              </w:rPr>
              <w:t>并持有到期</w:t>
            </w:r>
            <w:r>
              <w:rPr>
                <w:rFonts w:hint="eastAsia" w:ascii="微软雅黑" w:hAnsi="微软雅黑" w:eastAsia="微软雅黑"/>
                <w:color w:val="000000"/>
                <w:sz w:val="18"/>
                <w:szCs w:val="18"/>
              </w:rPr>
              <w:t>的</w:t>
            </w:r>
            <w:r>
              <w:rPr>
                <w:rFonts w:ascii="微软雅黑" w:hAnsi="微软雅黑" w:eastAsia="微软雅黑"/>
                <w:color w:val="000000"/>
                <w:sz w:val="18"/>
                <w:szCs w:val="18"/>
              </w:rPr>
              <w:t>债权类资产</w:t>
            </w:r>
            <w:r>
              <w:rPr>
                <w:rFonts w:hint="eastAsia" w:ascii="微软雅黑" w:hAnsi="微软雅黑" w:eastAsia="微软雅黑"/>
                <w:color w:val="000000"/>
                <w:sz w:val="18"/>
                <w:szCs w:val="18"/>
              </w:rPr>
              <w:t>，采用摊余成本法核算并计提减值准备，即计价对象以买入成本列示，按实际利率并考虑其买入时的溢价与折价，在其剩余存续期内摊销，每日计提损益，计提减值不等同于金融资产已发生损失，仅为未来风险的审慎预期。</w:t>
            </w:r>
            <w:r>
              <w:rPr>
                <w:rFonts w:ascii="Calibri" w:hAnsi="Calibri" w:eastAsia="微软雅黑" w:cs="Calibri"/>
                <w:color w:val="000000"/>
                <w:sz w:val="18"/>
                <w:szCs w:val="18"/>
              </w:rPr>
              <w:t>③</w:t>
            </w:r>
            <w:r>
              <w:rPr>
                <w:rFonts w:hint="eastAsia" w:ascii="Calibri" w:hAnsi="Calibri" w:eastAsia="微软雅黑" w:cs="Calibri"/>
                <w:color w:val="000000"/>
                <w:sz w:val="18"/>
                <w:szCs w:val="18"/>
              </w:rPr>
              <w:t>无法通过SPPI测试的债权类资产，采用公允价值进行估值。</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（3）权益类</w:t>
            </w:r>
            <w:r>
              <w:rPr>
                <w:rFonts w:ascii="微软雅黑" w:hAnsi="微软雅黑" w:eastAsia="微软雅黑"/>
                <w:color w:val="000000"/>
                <w:sz w:val="18"/>
                <w:szCs w:val="18"/>
              </w:rPr>
              <w:t>资产的估值方法：</w:t>
            </w:r>
          </w:p>
          <w:p>
            <w:pPr>
              <w:autoSpaceDE w:val="0"/>
              <w:autoSpaceDN w:val="0"/>
              <w:adjustRightInd w:val="0"/>
              <w:snapToGrid w:val="0"/>
              <w:spacing w:line="240" w:lineRule="exact"/>
              <w:ind w:firstLine="360" w:firstLineChars="200"/>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权益类</w:t>
            </w:r>
            <w:r>
              <w:rPr>
                <w:rFonts w:ascii="微软雅黑" w:hAnsi="微软雅黑" w:eastAsia="微软雅黑"/>
                <w:color w:val="000000"/>
                <w:sz w:val="18"/>
                <w:szCs w:val="18"/>
              </w:rPr>
              <w:t>资产</w:t>
            </w:r>
            <w:r>
              <w:rPr>
                <w:rFonts w:hint="eastAsia" w:ascii="微软雅黑" w:hAnsi="微软雅黑" w:eastAsia="微软雅黑"/>
                <w:color w:val="000000"/>
                <w:sz w:val="18"/>
                <w:szCs w:val="18"/>
              </w:rPr>
              <w:t>采用</w:t>
            </w:r>
            <w:r>
              <w:rPr>
                <w:rFonts w:ascii="微软雅黑" w:hAnsi="微软雅黑" w:eastAsia="微软雅黑"/>
                <w:color w:val="000000"/>
                <w:sz w:val="18"/>
                <w:szCs w:val="18"/>
              </w:rPr>
              <w:t>公允价值进行估值；</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w:t>
            </w:r>
            <w:r>
              <w:rPr>
                <w:rFonts w:ascii="微软雅黑" w:hAnsi="微软雅黑" w:eastAsia="微软雅黑"/>
                <w:color w:val="000000"/>
                <w:sz w:val="18"/>
                <w:szCs w:val="18"/>
              </w:rPr>
              <w:t>4</w:t>
            </w:r>
            <w:r>
              <w:rPr>
                <w:rFonts w:hint="eastAsia" w:ascii="微软雅黑" w:hAnsi="微软雅黑" w:eastAsia="微软雅黑"/>
                <w:color w:val="000000"/>
                <w:sz w:val="18"/>
                <w:szCs w:val="18"/>
              </w:rPr>
              <w:t>）公募证券投资基金的</w:t>
            </w:r>
            <w:r>
              <w:rPr>
                <w:rFonts w:ascii="微软雅黑" w:hAnsi="微软雅黑" w:eastAsia="微软雅黑"/>
                <w:color w:val="000000"/>
                <w:sz w:val="18"/>
                <w:szCs w:val="18"/>
              </w:rPr>
              <w:t>估值方法</w:t>
            </w:r>
            <w:r>
              <w:rPr>
                <w:rFonts w:hint="eastAsia" w:ascii="微软雅黑" w:hAnsi="微软雅黑" w:eastAsia="微软雅黑"/>
                <w:color w:val="000000"/>
                <w:sz w:val="18"/>
                <w:szCs w:val="18"/>
              </w:rPr>
              <w:t>：</w:t>
            </w:r>
          </w:p>
          <w:p>
            <w:pPr>
              <w:autoSpaceDE w:val="0"/>
              <w:autoSpaceDN w:val="0"/>
              <w:adjustRightInd w:val="0"/>
              <w:snapToGrid w:val="0"/>
              <w:spacing w:line="240" w:lineRule="exact"/>
              <w:ind w:firstLine="360" w:firstLineChars="200"/>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对于场外开放式</w:t>
            </w:r>
            <w:r>
              <w:rPr>
                <w:rFonts w:ascii="微软雅黑" w:hAnsi="微软雅黑" w:eastAsia="微软雅黑"/>
                <w:color w:val="000000"/>
                <w:sz w:val="18"/>
                <w:szCs w:val="18"/>
              </w:rPr>
              <w:t>非货币</w:t>
            </w:r>
            <w:r>
              <w:rPr>
                <w:rFonts w:hint="eastAsia" w:ascii="微软雅黑" w:hAnsi="微软雅黑" w:eastAsia="微软雅黑"/>
                <w:color w:val="000000"/>
                <w:sz w:val="18"/>
                <w:szCs w:val="18"/>
              </w:rPr>
              <w:t>基金，按估值日前一交易日的基金份额净值估值，对于未</w:t>
            </w:r>
            <w:r>
              <w:rPr>
                <w:rFonts w:ascii="微软雅黑" w:hAnsi="微软雅黑" w:eastAsia="微软雅黑"/>
                <w:color w:val="000000"/>
                <w:sz w:val="18"/>
                <w:szCs w:val="18"/>
              </w:rPr>
              <w:t>在交易所上市的</w:t>
            </w:r>
            <w:r>
              <w:rPr>
                <w:rFonts w:hint="eastAsia" w:ascii="微软雅黑" w:hAnsi="微软雅黑" w:eastAsia="微软雅黑"/>
                <w:color w:val="000000"/>
                <w:sz w:val="18"/>
                <w:szCs w:val="18"/>
              </w:rPr>
              <w:t>货币市场基金，按基金管理公司披露的估值日前一交易日的每万份收益计提收益，</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w:t>
            </w:r>
            <w:r>
              <w:rPr>
                <w:rFonts w:ascii="微软雅黑" w:hAnsi="微软雅黑" w:eastAsia="微软雅黑"/>
                <w:color w:val="000000"/>
                <w:sz w:val="18"/>
                <w:szCs w:val="18"/>
              </w:rPr>
              <w:t>5</w:t>
            </w:r>
            <w:r>
              <w:rPr>
                <w:rFonts w:hint="eastAsia" w:ascii="微软雅黑" w:hAnsi="微软雅黑" w:eastAsia="微软雅黑"/>
                <w:color w:val="000000"/>
                <w:sz w:val="18"/>
                <w:szCs w:val="18"/>
              </w:rPr>
              <w:t>）资产管理计划类估值方法：</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有明确预期收益率的，按实际持有期间进行逐日计提收益；如公布净值，按照最新净值估值（该日无交易的，以最近一交易日的净值计算）；</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（6）其他资产的估值方法</w:t>
            </w:r>
          </w:p>
          <w:p>
            <w:pPr>
              <w:autoSpaceDE w:val="0"/>
              <w:autoSpaceDN w:val="0"/>
              <w:adjustRightInd w:val="0"/>
              <w:snapToGrid w:val="0"/>
              <w:spacing w:line="240" w:lineRule="exact"/>
              <w:ind w:firstLine="360" w:firstLineChars="200"/>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存在公允价值的，按照公允价值估值，公允价值不能确定的按照摊余成本法进行估值。</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3、其他</w:t>
            </w:r>
          </w:p>
          <w:p>
            <w:pPr>
              <w:autoSpaceDE w:val="0"/>
              <w:autoSpaceDN w:val="0"/>
              <w:adjustRightInd w:val="0"/>
              <w:snapToGrid w:val="0"/>
              <w:spacing w:line="240" w:lineRule="exact"/>
              <w:ind w:firstLine="360" w:firstLineChars="200"/>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如果管理人或托管人认为按以上规定的方法对产品资产进行估值不能客观反映其公允价值的，可提出异议，管理人和托管人协商一致后，变更公允价值的确定方式，在管理人与托管人协商一致日起执行。如有新增事项或变更事项，按国家最新规定或银行理财管理人最新的约定估值。</w:t>
            </w:r>
          </w:p>
          <w:p>
            <w:pPr>
              <w:autoSpaceDE w:val="0"/>
              <w:autoSpaceDN w:val="0"/>
              <w:adjustRightInd w:val="0"/>
              <w:snapToGrid w:val="0"/>
              <w:spacing w:line="240" w:lineRule="exact"/>
              <w:textAlignment w:val="baseline"/>
              <w:outlineLvl w:val="0"/>
              <w:rPr>
                <w:rFonts w:ascii="微软雅黑" w:hAnsi="微软雅黑" w:eastAsia="微软雅黑"/>
                <w:color w:val="000000"/>
                <w:sz w:val="18"/>
                <w:szCs w:val="18"/>
              </w:rPr>
            </w:pPr>
            <w:r>
              <w:rPr>
                <w:rFonts w:hint="eastAsia" w:ascii="微软雅黑" w:hAnsi="微软雅黑" w:eastAsia="微软雅黑"/>
                <w:color w:val="000000"/>
                <w:sz w:val="18"/>
                <w:szCs w:val="18"/>
              </w:rPr>
              <w:t>4、估值错误处理</w:t>
            </w:r>
          </w:p>
          <w:p>
            <w:pPr>
              <w:autoSpaceDE w:val="0"/>
              <w:autoSpaceDN w:val="0"/>
              <w:adjustRightInd w:val="0"/>
              <w:snapToGrid w:val="0"/>
              <w:spacing w:line="240" w:lineRule="exact"/>
              <w:textAlignment w:val="baseline"/>
              <w:outlineLvl w:val="0"/>
              <w:rPr>
                <w:rFonts w:ascii="微软雅黑" w:hAnsi="微软雅黑" w:eastAsia="微软雅黑"/>
                <w:color w:val="000000"/>
                <w:sz w:val="18"/>
                <w:szCs w:val="18"/>
              </w:rPr>
            </w:pPr>
            <w:r>
              <w:rPr>
                <w:rFonts w:hint="eastAsia" w:ascii="微软雅黑" w:hAnsi="微软雅黑" w:eastAsia="微软雅黑"/>
                <w:color w:val="000000"/>
                <w:sz w:val="18"/>
                <w:szCs w:val="18"/>
              </w:rPr>
              <w:t>在任何情况下，瑞丰银行如采用上述规定的方法对理财财产进行估值，均应被认为采用了适当的估值方法。由于本产品估值所用的价格来源出现错误，或由于其他不可抗力原因，理财产品管理人（或其授权人）虽已采取必要、适当合理的措施进行检查，但未能发现错误的，由此造成的产品资产估值错误，理财产品管理人（或其授权人）可以免除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s="宋体"/>
                <w:sz w:val="18"/>
                <w:szCs w:val="18"/>
              </w:rPr>
              <w:t>理财产品费用</w:t>
            </w:r>
          </w:p>
        </w:tc>
        <w:tc>
          <w:tcPr>
            <w:tcW w:w="8016" w:type="dxa"/>
            <w:gridSpan w:val="3"/>
            <w:tcBorders>
              <w:bottom w:val="single" w:color="auto" w:sz="4" w:space="0"/>
            </w:tcBorders>
            <w:shd w:val="clear" w:color="auto" w:fill="auto"/>
            <w:vAlign w:val="center"/>
          </w:tcPr>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1、产品的费用</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（1）托管费；</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w:t>
            </w:r>
            <w:r>
              <w:rPr>
                <w:rFonts w:ascii="微软雅黑" w:hAnsi="微软雅黑" w:eastAsia="微软雅黑" w:cs="宋体"/>
                <w:sz w:val="18"/>
                <w:szCs w:val="18"/>
              </w:rPr>
              <w:t>2</w:t>
            </w:r>
            <w:r>
              <w:rPr>
                <w:rFonts w:hint="eastAsia" w:ascii="微软雅黑" w:hAnsi="微软雅黑" w:eastAsia="微软雅黑" w:cs="宋体"/>
                <w:sz w:val="18"/>
                <w:szCs w:val="18"/>
              </w:rPr>
              <w:t>）浮动</w:t>
            </w:r>
            <w:r>
              <w:rPr>
                <w:rFonts w:ascii="微软雅黑" w:hAnsi="微软雅黑" w:eastAsia="微软雅黑" w:cs="宋体"/>
                <w:sz w:val="18"/>
                <w:szCs w:val="18"/>
              </w:rPr>
              <w:t>管理费</w:t>
            </w:r>
            <w:r>
              <w:rPr>
                <w:rFonts w:hint="eastAsia" w:ascii="微软雅黑" w:hAnsi="微软雅黑" w:eastAsia="微软雅黑" w:cs="宋体"/>
                <w:sz w:val="18"/>
                <w:szCs w:val="18"/>
              </w:rPr>
              <w:t>;</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w:t>
            </w:r>
            <w:r>
              <w:rPr>
                <w:rFonts w:ascii="微软雅黑" w:hAnsi="微软雅黑" w:eastAsia="微软雅黑" w:cs="宋体"/>
                <w:sz w:val="18"/>
                <w:szCs w:val="18"/>
              </w:rPr>
              <w:t>3</w:t>
            </w:r>
            <w:r>
              <w:rPr>
                <w:rFonts w:hint="eastAsia" w:ascii="微软雅黑" w:hAnsi="微软雅黑" w:eastAsia="微软雅黑" w:cs="宋体"/>
                <w:sz w:val="18"/>
                <w:szCs w:val="18"/>
              </w:rPr>
              <w:t>）增值税及增值税附加税费；</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w:t>
            </w:r>
            <w:r>
              <w:rPr>
                <w:rFonts w:ascii="微软雅黑" w:hAnsi="微软雅黑" w:eastAsia="微软雅黑" w:cs="宋体"/>
                <w:sz w:val="18"/>
                <w:szCs w:val="18"/>
              </w:rPr>
              <w:t>4</w:t>
            </w:r>
            <w:r>
              <w:rPr>
                <w:rFonts w:hint="eastAsia" w:ascii="微软雅黑" w:hAnsi="微软雅黑" w:eastAsia="微软雅黑" w:cs="宋体"/>
                <w:sz w:val="18"/>
                <w:szCs w:val="18"/>
              </w:rPr>
              <w:t>）应当由本理财产品承担的其他费用。</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2、理财产品费用计提方法、计提标准和支付方式</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（1）托管费</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按前一自然日结束时资产净值的 0.0</w:t>
            </w:r>
            <w:r>
              <w:rPr>
                <w:rFonts w:ascii="微软雅黑" w:hAnsi="微软雅黑" w:eastAsia="微软雅黑" w:cs="宋体"/>
                <w:sz w:val="18"/>
                <w:szCs w:val="18"/>
              </w:rPr>
              <w:t>1</w:t>
            </w:r>
            <w:r>
              <w:rPr>
                <w:rFonts w:hint="eastAsia" w:ascii="微软雅黑" w:hAnsi="微软雅黑" w:eastAsia="微软雅黑" w:cs="宋体"/>
                <w:sz w:val="18"/>
                <w:szCs w:val="18"/>
              </w:rPr>
              <w:t>%年费率计算，每日计提。</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（2）浮动</w:t>
            </w:r>
            <w:r>
              <w:rPr>
                <w:rFonts w:ascii="微软雅黑" w:hAnsi="微软雅黑" w:eastAsia="微软雅黑" w:cs="宋体"/>
                <w:sz w:val="18"/>
                <w:szCs w:val="18"/>
              </w:rPr>
              <w:t>管理费</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本理财产品</w:t>
            </w:r>
            <w:r>
              <w:rPr>
                <w:rFonts w:ascii="微软雅黑" w:hAnsi="微软雅黑" w:eastAsia="微软雅黑" w:cs="宋体"/>
                <w:sz w:val="18"/>
                <w:szCs w:val="18"/>
              </w:rPr>
              <w:t>投资收益扣除理财产品应承担的费用后，年化收益率</w:t>
            </w:r>
            <w:r>
              <w:rPr>
                <w:rFonts w:hint="eastAsia" w:ascii="微软雅黑" w:hAnsi="微软雅黑" w:eastAsia="微软雅黑" w:cs="宋体"/>
                <w:sz w:val="18"/>
                <w:szCs w:val="18"/>
              </w:rPr>
              <w:t>超过</w:t>
            </w:r>
            <w:r>
              <w:rPr>
                <w:rFonts w:ascii="微软雅黑" w:hAnsi="微软雅黑" w:eastAsia="微软雅黑" w:cs="宋体"/>
                <w:sz w:val="18"/>
                <w:szCs w:val="18"/>
              </w:rPr>
              <w:t>约定的业绩比较基准</w:t>
            </w:r>
            <w:r>
              <w:rPr>
                <w:rFonts w:hint="eastAsia" w:ascii="微软雅黑" w:hAnsi="微软雅黑" w:eastAsia="微软雅黑" w:cs="宋体"/>
                <w:sz w:val="18"/>
                <w:szCs w:val="18"/>
              </w:rPr>
              <w:t>，</w:t>
            </w:r>
            <w:r>
              <w:rPr>
                <w:rFonts w:ascii="微软雅黑" w:hAnsi="微软雅黑" w:eastAsia="微软雅黑" w:cs="宋体"/>
                <w:sz w:val="18"/>
                <w:szCs w:val="18"/>
              </w:rPr>
              <w:t>超出部分</w:t>
            </w:r>
            <w:r>
              <w:rPr>
                <w:rFonts w:hint="eastAsia" w:ascii="微软雅黑" w:hAnsi="微软雅黑" w:eastAsia="微软雅黑" w:cs="宋体"/>
                <w:sz w:val="18"/>
                <w:szCs w:val="18"/>
              </w:rPr>
              <w:t>按照1</w:t>
            </w:r>
            <w:r>
              <w:rPr>
                <w:rFonts w:ascii="微软雅黑" w:hAnsi="微软雅黑" w:eastAsia="微软雅黑" w:cs="宋体"/>
                <w:sz w:val="18"/>
                <w:szCs w:val="18"/>
              </w:rPr>
              <w:t>00</w:t>
            </w:r>
            <w:r>
              <w:rPr>
                <w:rFonts w:hint="eastAsia" w:ascii="微软雅黑" w:hAnsi="微软雅黑" w:eastAsia="微软雅黑" w:cs="宋体"/>
                <w:sz w:val="18"/>
                <w:szCs w:val="18"/>
              </w:rPr>
              <w:t>%</w:t>
            </w:r>
            <w:r>
              <w:rPr>
                <w:rFonts w:ascii="微软雅黑" w:hAnsi="微软雅黑" w:eastAsia="微软雅黑" w:cs="宋体"/>
                <w:sz w:val="18"/>
                <w:szCs w:val="18"/>
              </w:rPr>
              <w:t>的比例计提浮动管理费</w:t>
            </w:r>
            <w:r>
              <w:rPr>
                <w:rFonts w:hint="eastAsia" w:ascii="微软雅黑" w:hAnsi="微软雅黑" w:eastAsia="微软雅黑" w:cs="宋体"/>
                <w:sz w:val="18"/>
                <w:szCs w:val="18"/>
              </w:rPr>
              <w:t>；如果</w:t>
            </w:r>
            <w:r>
              <w:rPr>
                <w:rFonts w:ascii="微软雅黑" w:hAnsi="微软雅黑" w:eastAsia="微软雅黑" w:cs="宋体"/>
                <w:sz w:val="18"/>
                <w:szCs w:val="18"/>
              </w:rPr>
              <w:t>低于或等于约定的业绩比较基准，则</w:t>
            </w:r>
            <w:r>
              <w:rPr>
                <w:rFonts w:hint="eastAsia" w:ascii="微软雅黑" w:hAnsi="微软雅黑" w:eastAsia="微软雅黑" w:cs="宋体"/>
                <w:sz w:val="18"/>
                <w:szCs w:val="18"/>
              </w:rPr>
              <w:t>不</w:t>
            </w:r>
            <w:r>
              <w:rPr>
                <w:rFonts w:ascii="微软雅黑" w:hAnsi="微软雅黑" w:eastAsia="微软雅黑" w:cs="宋体"/>
                <w:sz w:val="18"/>
                <w:szCs w:val="18"/>
              </w:rPr>
              <w:t>计提浮动管理费。</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w:t>
            </w:r>
            <w:r>
              <w:rPr>
                <w:rFonts w:ascii="微软雅黑" w:hAnsi="微软雅黑" w:eastAsia="微软雅黑" w:cs="宋体"/>
                <w:sz w:val="18"/>
                <w:szCs w:val="18"/>
              </w:rPr>
              <w:t>3</w:t>
            </w:r>
            <w:r>
              <w:rPr>
                <w:rFonts w:hint="eastAsia" w:ascii="微软雅黑" w:hAnsi="微软雅黑" w:eastAsia="微软雅黑" w:cs="宋体"/>
                <w:sz w:val="18"/>
                <w:szCs w:val="18"/>
              </w:rPr>
              <w:t>）增值税及增值税附加税费</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本理财产品投资运作期间发生的增值税及增值税附加税费，按照国家相关法律法规执行。</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w:t>
            </w:r>
            <w:r>
              <w:rPr>
                <w:rFonts w:ascii="微软雅黑" w:hAnsi="微软雅黑" w:eastAsia="微软雅黑" w:cs="宋体"/>
                <w:sz w:val="18"/>
                <w:szCs w:val="18"/>
              </w:rPr>
              <w:t>4</w:t>
            </w:r>
            <w:r>
              <w:rPr>
                <w:rFonts w:hint="eastAsia" w:ascii="微软雅黑" w:hAnsi="微软雅黑" w:eastAsia="微软雅黑" w:cs="宋体"/>
                <w:sz w:val="18"/>
                <w:szCs w:val="18"/>
              </w:rPr>
              <w:t>）产品运作和清算中产生的其他费用，包括但不限于资金汇划费、结算费、交易手续费、注册登记费、信息披露费、账户服务费、审计费、律师费等费用，按照实际发生情况从产品中列支。</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（5）上述费用将按相关合同约定的时间和方式支付给收款方。</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s="宋体"/>
                <w:sz w:val="18"/>
                <w:szCs w:val="18"/>
              </w:rPr>
              <w:t>（6）产品管理人有权根据市场情况等调整上述各项收费项目、收费条件、收费标准和收费方式，并至少于调整日之前2个工作日进行公告。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color w:val="000000"/>
                <w:sz w:val="18"/>
                <w:szCs w:val="18"/>
              </w:rPr>
              <w:t>理财赎回及到期安排</w:t>
            </w:r>
          </w:p>
        </w:tc>
        <w:tc>
          <w:tcPr>
            <w:tcW w:w="8016" w:type="dxa"/>
            <w:gridSpan w:val="3"/>
            <w:tcBorders>
              <w:bottom w:val="single" w:color="auto" w:sz="4" w:space="0"/>
            </w:tcBorders>
            <w:shd w:val="clear" w:color="auto" w:fill="auto"/>
            <w:vAlign w:val="center"/>
          </w:tcPr>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瑞丰银行将于理财产品到期/终止日后2个工作日，根据实际投资结果向投资者一次性划付理财本金及收益（如有）。</w:t>
            </w:r>
          </w:p>
          <w:p>
            <w:pPr>
              <w:autoSpaceDE w:val="0"/>
              <w:autoSpaceDN w:val="0"/>
              <w:adjustRightInd w:val="0"/>
              <w:snapToGrid w:val="0"/>
              <w:ind w:firstLine="360" w:firstLineChars="200"/>
              <w:jc w:val="left"/>
              <w:textAlignment w:val="baseline"/>
              <w:rPr>
                <w:rFonts w:ascii="微软雅黑" w:hAnsi="微软雅黑" w:eastAsia="微软雅黑"/>
                <w:color w:val="000000"/>
                <w:sz w:val="18"/>
                <w:szCs w:val="18"/>
              </w:rPr>
            </w:pPr>
            <w:r>
              <w:rPr>
                <w:rFonts w:hint="eastAsia" w:ascii="微软雅黑" w:hAnsi="微软雅黑" w:eastAsia="微软雅黑" w:cs="宋体"/>
                <w:sz w:val="18"/>
                <w:szCs w:val="18"/>
              </w:rPr>
              <w:t>到期/终止兑付金额=理财产品到期/终止时存续的理财产品份额×本理财产品到期/终止日的份额净值，金额计算保留到小数点后2位，小数点后第3位舍去。理财产品期满，瑞丰银行在收到托管人划付的足额理财利益（包括理财本金和理财收益，下同）后3个工作日内(如遇国家法定节假日顺延)将客户理财本金和应得收益自动划转至客户指定理财账户。理财产品到期日（含）到理财本金与收益返还到账日为还本清算期，还本清算期内不对本金和收益计付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sz w:val="18"/>
                <w:szCs w:val="18"/>
              </w:rPr>
              <w:t>产品提前终止</w:t>
            </w:r>
          </w:p>
        </w:tc>
        <w:tc>
          <w:tcPr>
            <w:tcW w:w="8016" w:type="dxa"/>
            <w:gridSpan w:val="3"/>
            <w:tcBorders>
              <w:bottom w:val="single" w:color="auto" w:sz="4" w:space="0"/>
            </w:tcBorders>
            <w:shd w:val="clear" w:color="auto" w:fill="auto"/>
            <w:vAlign w:val="center"/>
          </w:tcPr>
          <w:p>
            <w:pPr>
              <w:autoSpaceDE w:val="0"/>
              <w:autoSpaceDN w:val="0"/>
              <w:adjustRightInd w:val="0"/>
              <w:snapToGrid w:val="0"/>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在产品投资运作期间内，投资者无权要求提前终止该理财产品。理财产品管理人对外公告的提前终止日，为本理财产品的实际到期日。</w:t>
            </w:r>
          </w:p>
          <w:p>
            <w:pPr>
              <w:autoSpaceDE w:val="0"/>
              <w:autoSpaceDN w:val="0"/>
              <w:adjustRightInd w:val="0"/>
              <w:snapToGrid w:val="0"/>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当出现以下情形之一时，管理人有权提前终止本产品：</w:t>
            </w:r>
          </w:p>
          <w:p>
            <w:pPr>
              <w:autoSpaceDE w:val="0"/>
              <w:autoSpaceDN w:val="0"/>
              <w:adjustRightInd w:val="0"/>
              <w:snapToGrid w:val="0"/>
              <w:ind w:firstLine="200"/>
              <w:outlineLvl w:val="0"/>
              <w:rPr>
                <w:rFonts w:ascii="微软雅黑" w:hAnsi="微软雅黑" w:eastAsia="微软雅黑" w:cs="宋体"/>
                <w:sz w:val="18"/>
                <w:szCs w:val="18"/>
              </w:rPr>
            </w:pPr>
            <w:r>
              <w:rPr>
                <w:rFonts w:hint="eastAsia" w:ascii="微软雅黑" w:hAnsi="微软雅黑" w:eastAsia="微软雅黑" w:cs="宋体"/>
                <w:sz w:val="18"/>
                <w:szCs w:val="18"/>
              </w:rPr>
              <w:t>1、本理财产品存续期间理财产品资产净值低于</w:t>
            </w:r>
            <w:r>
              <w:rPr>
                <w:rFonts w:ascii="微软雅黑" w:hAnsi="微软雅黑" w:eastAsia="微软雅黑" w:cs="宋体"/>
                <w:sz w:val="18"/>
                <w:szCs w:val="18"/>
              </w:rPr>
              <w:t>100</w:t>
            </w:r>
            <w:r>
              <w:rPr>
                <w:rFonts w:hint="eastAsia" w:ascii="微软雅黑" w:hAnsi="微软雅黑" w:eastAsia="微软雅黑" w:cs="宋体"/>
                <w:sz w:val="18"/>
                <w:szCs w:val="18"/>
              </w:rPr>
              <w:t>万元人民币；</w:t>
            </w:r>
          </w:p>
          <w:p>
            <w:pPr>
              <w:autoSpaceDE w:val="0"/>
              <w:autoSpaceDN w:val="0"/>
              <w:adjustRightInd w:val="0"/>
              <w:snapToGrid w:val="0"/>
              <w:ind w:firstLine="200"/>
              <w:outlineLvl w:val="0"/>
              <w:rPr>
                <w:rFonts w:ascii="微软雅黑" w:hAnsi="微软雅黑" w:eastAsia="微软雅黑" w:cs="宋体"/>
                <w:sz w:val="18"/>
                <w:szCs w:val="18"/>
              </w:rPr>
            </w:pPr>
            <w:r>
              <w:rPr>
                <w:rFonts w:hint="eastAsia" w:ascii="微软雅黑" w:hAnsi="微软雅黑" w:eastAsia="微软雅黑" w:cs="宋体"/>
                <w:sz w:val="18"/>
                <w:szCs w:val="18"/>
              </w:rPr>
              <w:t>2、在本理财产品存续期内，若国家相关法律、法规、监管规定出现重大变更或者其它突发事件引起金融市场情况出现重大变化以及其它原因导致管理人认为本理财产品已经不适合继续帮助投资者实现投资目标的，管理人判断提前终止理财产品可以最大程度保护投资者收益时可以提前终止本理财产品，但需至少提前10个工作日在管理人网站上做出公告；</w:t>
            </w:r>
          </w:p>
          <w:p>
            <w:pPr>
              <w:autoSpaceDE w:val="0"/>
              <w:autoSpaceDN w:val="0"/>
              <w:adjustRightInd w:val="0"/>
              <w:snapToGrid w:val="0"/>
              <w:ind w:firstLine="200"/>
              <w:outlineLvl w:val="0"/>
              <w:rPr>
                <w:rFonts w:ascii="微软雅黑" w:hAnsi="微软雅黑" w:eastAsia="微软雅黑" w:cs="宋体"/>
                <w:sz w:val="18"/>
                <w:szCs w:val="18"/>
              </w:rPr>
            </w:pPr>
            <w:r>
              <w:rPr>
                <w:rFonts w:hint="eastAsia" w:ascii="微软雅黑" w:hAnsi="微软雅黑" w:eastAsia="微软雅黑" w:cs="宋体"/>
                <w:sz w:val="18"/>
                <w:szCs w:val="18"/>
              </w:rPr>
              <w:t>3、管理人因重大违法、违规行为，被银保监会取消业务资格；</w:t>
            </w:r>
          </w:p>
          <w:p>
            <w:pPr>
              <w:autoSpaceDE w:val="0"/>
              <w:autoSpaceDN w:val="0"/>
              <w:adjustRightInd w:val="0"/>
              <w:snapToGrid w:val="0"/>
              <w:ind w:firstLine="200"/>
              <w:outlineLvl w:val="0"/>
              <w:rPr>
                <w:rFonts w:ascii="微软雅黑" w:hAnsi="微软雅黑" w:eastAsia="微软雅黑" w:cs="宋体"/>
                <w:sz w:val="18"/>
                <w:szCs w:val="18"/>
              </w:rPr>
            </w:pPr>
            <w:r>
              <w:rPr>
                <w:rFonts w:hint="eastAsia" w:ascii="微软雅黑" w:hAnsi="微软雅黑" w:eastAsia="微软雅黑" w:cs="宋体"/>
                <w:sz w:val="18"/>
                <w:szCs w:val="18"/>
              </w:rPr>
              <w:t>4、管理人因停业、解散、破产、撤销等原因不能履行相应职责；</w:t>
            </w:r>
          </w:p>
          <w:p>
            <w:pPr>
              <w:autoSpaceDE w:val="0"/>
              <w:autoSpaceDN w:val="0"/>
              <w:adjustRightInd w:val="0"/>
              <w:snapToGrid w:val="0"/>
              <w:ind w:firstLine="200"/>
              <w:outlineLvl w:val="0"/>
              <w:rPr>
                <w:rFonts w:ascii="微软雅黑" w:hAnsi="微软雅黑" w:eastAsia="微软雅黑" w:cs="宋体"/>
                <w:sz w:val="18"/>
                <w:szCs w:val="18"/>
              </w:rPr>
            </w:pPr>
            <w:r>
              <w:rPr>
                <w:rFonts w:hint="eastAsia" w:ascii="微软雅黑" w:hAnsi="微软雅黑" w:eastAsia="微软雅黑" w:cs="宋体"/>
                <w:sz w:val="18"/>
                <w:szCs w:val="18"/>
              </w:rPr>
              <w:t>5、战争、自然灾害等不可抗力的发生导致本理财产品不能存续；</w:t>
            </w:r>
          </w:p>
          <w:p>
            <w:pPr>
              <w:autoSpaceDE w:val="0"/>
              <w:autoSpaceDN w:val="0"/>
              <w:adjustRightInd w:val="0"/>
              <w:snapToGrid w:val="0"/>
              <w:ind w:firstLine="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6、法律法规和银保监会规定的其他情况。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color w:val="000000"/>
                <w:sz w:val="18"/>
                <w:szCs w:val="18"/>
              </w:rPr>
              <w:t>其他事项</w:t>
            </w:r>
          </w:p>
        </w:tc>
        <w:tc>
          <w:tcPr>
            <w:tcW w:w="8016" w:type="dxa"/>
            <w:gridSpan w:val="3"/>
            <w:tcBorders>
              <w:bottom w:val="single" w:color="auto" w:sz="4" w:space="0"/>
            </w:tcBorders>
            <w:shd w:val="clear" w:color="auto" w:fill="auto"/>
            <w:vAlign w:val="center"/>
          </w:tcPr>
          <w:p>
            <w:pPr>
              <w:autoSpaceDE w:val="0"/>
              <w:autoSpaceDN w:val="0"/>
              <w:adjustRightInd w:val="0"/>
              <w:snapToGrid w:val="0"/>
              <w:ind w:firstLine="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1、认购期内按照活期存款利息计息，认购期内的利息不计入认购本金份额。</w:t>
            </w:r>
          </w:p>
          <w:p>
            <w:pPr>
              <w:autoSpaceDE w:val="0"/>
              <w:autoSpaceDN w:val="0"/>
              <w:adjustRightInd w:val="0"/>
              <w:snapToGrid w:val="0"/>
              <w:ind w:firstLine="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2、为保证本理财产品到期后资金（如有）的正常兑付，投资者须确保购买本理财产品的理财资金账户正常有效。</w:t>
            </w:r>
          </w:p>
          <w:p>
            <w:pPr>
              <w:autoSpaceDE w:val="0"/>
              <w:autoSpaceDN w:val="0"/>
              <w:adjustRightInd w:val="0"/>
              <w:snapToGrid w:val="0"/>
              <w:spacing w:line="240" w:lineRule="exact"/>
              <w:ind w:firstLine="200"/>
              <w:outlineLvl w:val="0"/>
              <w:rPr>
                <w:rFonts w:ascii="微软雅黑" w:hAnsi="微软雅黑" w:eastAsia="微软雅黑" w:cs="宋体"/>
                <w:sz w:val="18"/>
                <w:szCs w:val="18"/>
              </w:rPr>
            </w:pPr>
            <w:r>
              <w:rPr>
                <w:rFonts w:hint="eastAsia" w:ascii="微软雅黑" w:hAnsi="微软雅黑" w:eastAsia="微软雅黑" w:cs="宋体"/>
                <w:sz w:val="18"/>
                <w:szCs w:val="18"/>
              </w:rPr>
              <w:t>3、若遇法院等有权机关对投资者的理财份额进行冻结、扣划的，管理人有权根据有权机关的要求执行，有权机关要求扣划理财份额的，管理人无需事先通知或经投资者同意，即有权按照当日净值直接赎回投资者的理财份额并按有权机关的要求执行扣划，由此导致的损失由投资者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b/>
                <w:color w:val="000000"/>
                <w:szCs w:val="18"/>
              </w:rPr>
            </w:pPr>
            <w:r>
              <w:rPr>
                <w:rFonts w:hint="eastAsia" w:ascii="微软雅黑" w:hAnsi="微软雅黑" w:eastAsia="微软雅黑"/>
                <w:b/>
                <w:color w:val="000000"/>
                <w:szCs w:val="18"/>
              </w:rPr>
              <w:t>收益分配及赎回测算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s="宋体"/>
                <w:sz w:val="18"/>
                <w:szCs w:val="18"/>
              </w:rPr>
              <w:t>赎回价格计算方式</w:t>
            </w:r>
          </w:p>
        </w:tc>
        <w:tc>
          <w:tcPr>
            <w:tcW w:w="8016" w:type="dxa"/>
            <w:gridSpan w:val="3"/>
            <w:shd w:val="clear" w:color="auto" w:fill="auto"/>
            <w:vAlign w:val="center"/>
          </w:tcPr>
          <w:p>
            <w:pPr>
              <w:autoSpaceDE w:val="0"/>
              <w:autoSpaceDN w:val="0"/>
              <w:adjustRightInd w:val="0"/>
              <w:snapToGrid w:val="0"/>
              <w:spacing w:line="240" w:lineRule="exact"/>
              <w:jc w:val="center"/>
              <w:outlineLvl w:val="0"/>
              <w:rPr>
                <w:rFonts w:ascii="微软雅黑" w:hAnsi="微软雅黑" w:eastAsia="微软雅黑" w:cs="宋体"/>
                <w:sz w:val="18"/>
                <w:szCs w:val="18"/>
              </w:rPr>
            </w:pPr>
            <w:r>
              <w:rPr>
                <w:rFonts w:hint="eastAsia" w:ascii="微软雅黑" w:hAnsi="微软雅黑" w:eastAsia="微软雅黑" w:cs="宋体"/>
                <w:sz w:val="18"/>
                <w:szCs w:val="18"/>
              </w:rPr>
              <w:t>产品实际本金及收益＝认购份额×单位净值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s="宋体"/>
                <w:sz w:val="18"/>
                <w:szCs w:val="18"/>
              </w:rPr>
              <w:t>假设条件</w:t>
            </w:r>
          </w:p>
        </w:tc>
        <w:tc>
          <w:tcPr>
            <w:tcW w:w="8016" w:type="dxa"/>
            <w:gridSpan w:val="3"/>
            <w:shd w:val="clear" w:color="auto" w:fill="auto"/>
            <w:vAlign w:val="center"/>
          </w:tcPr>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理财金额10万元，则认购后理财份额为10万份，业绩比较基准为4.2%，期限为180天；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cs="宋体"/>
                <w:sz w:val="18"/>
                <w:szCs w:val="18"/>
              </w:rPr>
              <w:t>较好情形</w:t>
            </w:r>
          </w:p>
        </w:tc>
        <w:tc>
          <w:tcPr>
            <w:tcW w:w="8016" w:type="dxa"/>
            <w:gridSpan w:val="3"/>
            <w:shd w:val="clear" w:color="auto" w:fill="auto"/>
            <w:vAlign w:val="center"/>
          </w:tcPr>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假设产品运行较好，产品开放期扣除理财产品费用后，净值为1.0210元，该情形下：</w:t>
            </w:r>
          </w:p>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产品该周期的客户收益=100000*（1.0210-1）=2100元</w:t>
            </w:r>
          </w:p>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产品该周期实际年化收益=2100*365/180/100000=4.26%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cs="宋体"/>
                <w:sz w:val="18"/>
                <w:szCs w:val="18"/>
              </w:rPr>
              <w:t>一般情形</w:t>
            </w:r>
          </w:p>
        </w:tc>
        <w:tc>
          <w:tcPr>
            <w:tcW w:w="8016" w:type="dxa"/>
            <w:gridSpan w:val="3"/>
            <w:shd w:val="clear" w:color="auto" w:fill="auto"/>
            <w:vAlign w:val="center"/>
          </w:tcPr>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假设产品运行一般，产品开放期扣除理财产品费用后，净值为1.0207元，该情形下：</w:t>
            </w:r>
          </w:p>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产品该周期的客户收益=100000*（1.0207-1）=2070元</w:t>
            </w:r>
          </w:p>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产品该周期实际年化收益=2070*365/180/100000=4.20%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s="宋体"/>
                <w:sz w:val="18"/>
                <w:szCs w:val="18"/>
              </w:rPr>
              <w:t>较差情形</w:t>
            </w:r>
          </w:p>
        </w:tc>
        <w:tc>
          <w:tcPr>
            <w:tcW w:w="8016" w:type="dxa"/>
            <w:gridSpan w:val="3"/>
            <w:shd w:val="clear" w:color="auto" w:fill="auto"/>
            <w:vAlign w:val="center"/>
          </w:tcPr>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假设产品运行较差，产品开放期扣除理财产品费用后，净值为1.0205元，该情形下：</w:t>
            </w:r>
          </w:p>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产品该周期的客户收益=100000*（1.0205-1）=2050元</w:t>
            </w:r>
          </w:p>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产品该周期实际年化收益=2050*365/180/100000=4.16%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s="宋体"/>
                <w:sz w:val="18"/>
                <w:szCs w:val="18"/>
              </w:rPr>
              <w:t>极端情形</w:t>
            </w:r>
          </w:p>
        </w:tc>
        <w:tc>
          <w:tcPr>
            <w:tcW w:w="8016" w:type="dxa"/>
            <w:gridSpan w:val="3"/>
            <w:shd w:val="clear" w:color="auto" w:fill="auto"/>
            <w:vAlign w:val="center"/>
          </w:tcPr>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若市场发生重大变动或突发性事件等极端情况时，产品净值剧烈波动，客户有可能损失全部本金和收益。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s="宋体"/>
                <w:sz w:val="18"/>
                <w:szCs w:val="18"/>
              </w:rPr>
            </w:pPr>
            <w:r>
              <w:rPr>
                <w:rFonts w:hint="eastAsia" w:ascii="微软雅黑" w:hAnsi="微软雅黑" w:eastAsia="微软雅黑" w:cs="宋体"/>
                <w:sz w:val="18"/>
                <w:szCs w:val="18"/>
              </w:rPr>
              <w:t>备注</w:t>
            </w:r>
          </w:p>
        </w:tc>
        <w:tc>
          <w:tcPr>
            <w:tcW w:w="8016" w:type="dxa"/>
            <w:gridSpan w:val="3"/>
            <w:tcBorders>
              <w:bottom w:val="single" w:color="auto" w:sz="4" w:space="0"/>
            </w:tcBorders>
            <w:shd w:val="clear" w:color="auto" w:fill="auto"/>
            <w:vAlign w:val="center"/>
          </w:tcPr>
          <w:p>
            <w:pPr>
              <w:pBdr>
                <w:bottom w:val="none" w:color="auto" w:sz="0" w:space="0"/>
              </w:pBdr>
              <w:autoSpaceDE w:val="0"/>
              <w:autoSpaceDN w:val="0"/>
              <w:adjustRightInd w:val="0"/>
              <w:snapToGrid w:val="0"/>
              <w:spacing w:line="240" w:lineRule="exact"/>
              <w:ind w:firstLine="360" w:firstLineChars="200"/>
              <w:jc w:val="both"/>
              <w:outlineLvl w:val="0"/>
              <w:rPr>
                <w:rFonts w:ascii="微软雅黑" w:hAnsi="微软雅黑" w:eastAsia="微软雅黑" w:cs="宋体"/>
                <w:sz w:val="18"/>
                <w:szCs w:val="18"/>
              </w:rPr>
            </w:pPr>
            <w:r>
              <w:rPr>
                <w:rFonts w:hint="eastAsia" w:ascii="微软雅黑" w:hAnsi="微软雅黑" w:eastAsia="微软雅黑" w:cs="宋体"/>
                <w:sz w:val="18"/>
                <w:szCs w:val="18"/>
              </w:rPr>
              <w:t>上述示例采用假设的</w:t>
            </w:r>
            <w:r>
              <w:rPr>
                <w:rFonts w:hint="eastAsia" w:ascii="微软雅黑" w:hAnsi="微软雅黑" w:eastAsia="微软雅黑" w:cs="宋体"/>
                <w:b/>
                <w:sz w:val="18"/>
                <w:szCs w:val="18"/>
              </w:rPr>
              <w:t>模拟数据计算，测算收益不等于客户实际收益，投资须谨慎。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s="宋体"/>
                <w:sz w:val="18"/>
                <w:szCs w:val="18"/>
              </w:rPr>
            </w:pPr>
            <w:r>
              <w:rPr>
                <w:rFonts w:hint="eastAsia" w:ascii="微软雅黑" w:hAnsi="微软雅黑" w:eastAsia="微软雅黑" w:cs="宋体"/>
                <w:sz w:val="18"/>
                <w:szCs w:val="18"/>
              </w:rPr>
              <w:t>投资策略</w:t>
            </w:r>
          </w:p>
        </w:tc>
        <w:tc>
          <w:tcPr>
            <w:tcW w:w="8016" w:type="dxa"/>
            <w:gridSpan w:val="3"/>
            <w:tcBorders>
              <w:bottom w:val="single" w:color="auto" w:sz="4" w:space="0"/>
            </w:tcBorders>
            <w:shd w:val="clear" w:color="auto" w:fill="auto"/>
            <w:vAlign w:val="center"/>
          </w:tcPr>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本产品采用安全性和流动性优先，追求适度收益的投资策略，在资产配置中一定比例投资银行存款、债券回购、短期融资券、金融债、央行票据及高信用级别的企业债、中期票据等固定收益类资产，在投资资产中将严格控制资产到期期限，以满足产品到期兑付的流动性要求。</w:t>
            </w:r>
          </w:p>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本理财产品募集资金、资产将与本行存款、资产相分离，并设立理财资金托管账户进行运作。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D9D9D9"/>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客户权益须知专页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auto"/>
          </w:tcPr>
          <w:p>
            <w:pPr>
              <w:rPr>
                <w:rFonts w:ascii="微软雅黑" w:hAnsi="微软雅黑" w:eastAsia="微软雅黑"/>
                <w:sz w:val="18"/>
                <w:szCs w:val="18"/>
              </w:rPr>
            </w:pPr>
            <w:r>
              <w:rPr>
                <w:rFonts w:hint="eastAsia" w:ascii="微软雅黑" w:hAnsi="微软雅黑" w:eastAsia="微软雅黑"/>
                <w:sz w:val="18"/>
                <w:szCs w:val="18"/>
              </w:rPr>
              <w:t>尊敬的瑞丰银行理财客户：</w:t>
            </w:r>
          </w:p>
          <w:p>
            <w:pPr>
              <w:ind w:firstLine="360" w:firstLineChars="200"/>
              <w:rPr>
                <w:rFonts w:ascii="微软雅黑" w:hAnsi="微软雅黑" w:eastAsia="微软雅黑"/>
                <w:sz w:val="18"/>
                <w:szCs w:val="18"/>
              </w:rPr>
            </w:pPr>
            <w:r>
              <w:rPr>
                <w:rFonts w:hint="eastAsia" w:ascii="微软雅黑" w:hAnsi="微软雅黑" w:eastAsia="微软雅黑"/>
                <w:sz w:val="18"/>
                <w:szCs w:val="18"/>
              </w:rPr>
              <w:t>非常感谢您购买瑞丰银行理财产品。理财投资在获取收益的同时存在投资风险，为了保护您的合法权益，请在认/申购理财产品前认真阅读以下内容，行使您在本业务项下的权利。</w:t>
            </w:r>
            <w:r>
              <w:rPr>
                <w:rFonts w:hint="eastAsia" w:ascii="微软雅黑" w:hAnsi="微软雅黑" w:eastAsia="微软雅黑"/>
                <w:b/>
                <w:sz w:val="18"/>
                <w:szCs w:val="18"/>
              </w:rPr>
              <w:t>本客户权益须知，是帮助您在购买理财产品前了解并清楚知晓产品办理流程，自身风险承受能力，适合购买理财产品类型，理财产品信息披露方式、渠道和频率，投诉方式和程序等的须知。</w:t>
            </w:r>
            <w:r>
              <w:rPr>
                <w:rFonts w:hint="eastAsia" w:ascii="微软雅黑" w:hAnsi="微软雅黑" w:eastAsia="微软雅黑"/>
                <w:sz w:val="18"/>
                <w:szCs w:val="18"/>
              </w:rPr>
              <w:t>本须知仅作为客户教育材料，其中涉及的本行服务内容和流程等如有变化，恕不另行通知，以相关法律法规、理财合同和本行的最新规定为准。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D9D9D9"/>
            <w:vAlign w:val="center"/>
          </w:tcPr>
          <w:p>
            <w:pPr>
              <w:spacing w:line="240" w:lineRule="exact"/>
              <w:jc w:val="center"/>
              <w:rPr>
                <w:rFonts w:ascii="微软雅黑" w:hAnsi="微软雅黑" w:eastAsia="微软雅黑"/>
                <w:szCs w:val="21"/>
              </w:rPr>
            </w:pPr>
            <w:r>
              <w:rPr>
                <w:rFonts w:hint="eastAsia" w:ascii="微软雅黑" w:hAnsi="微软雅黑" w:eastAsia="微软雅黑"/>
                <w:b/>
                <w:szCs w:val="21"/>
              </w:rPr>
              <w:t>客户办理流程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auto"/>
          </w:tcPr>
          <w:p>
            <w:pPr>
              <w:ind w:firstLine="360" w:firstLineChars="200"/>
              <w:rPr>
                <w:rFonts w:ascii="微软雅黑" w:hAnsi="微软雅黑" w:eastAsia="微软雅黑"/>
                <w:sz w:val="18"/>
                <w:szCs w:val="18"/>
              </w:rPr>
            </w:pPr>
            <w:r>
              <w:rPr>
                <w:rFonts w:ascii="微软雅黑" w:hAnsi="微软雅黑" w:eastAsia="微软雅黑"/>
                <w:sz w:val="18"/>
                <w:szCs w:val="18"/>
              </w:rPr>
              <w:t>1.1</w:t>
            </w:r>
            <w:r>
              <w:rPr>
                <w:rFonts w:hint="eastAsia" w:ascii="微软雅黑" w:hAnsi="微软雅黑" w:eastAsia="微软雅黑"/>
                <w:sz w:val="18"/>
                <w:szCs w:val="18"/>
              </w:rPr>
              <w:t>个人客户</w:t>
            </w:r>
            <w:r>
              <w:rPr>
                <w:rFonts w:ascii="微软雅黑" w:hAnsi="微软雅黑" w:eastAsia="微软雅黑"/>
                <w:sz w:val="18"/>
                <w:szCs w:val="18"/>
              </w:rPr>
              <w:tab/>
            </w:r>
          </w:p>
          <w:p>
            <w:pPr>
              <w:ind w:firstLine="360" w:firstLineChars="200"/>
              <w:rPr>
                <w:rFonts w:ascii="微软雅黑" w:hAnsi="微软雅黑" w:eastAsia="微软雅黑"/>
                <w:sz w:val="18"/>
                <w:szCs w:val="18"/>
              </w:rPr>
            </w:pPr>
            <w:r>
              <w:rPr>
                <w:rFonts w:ascii="微软雅黑" w:hAnsi="微软雅黑" w:eastAsia="微软雅黑"/>
                <w:sz w:val="18"/>
                <w:szCs w:val="18"/>
              </w:rPr>
              <w:t>(1)</w:t>
            </w:r>
            <w:r>
              <w:rPr>
                <w:rFonts w:hint="eastAsia" w:ascii="微软雅黑" w:hAnsi="微软雅黑" w:eastAsia="微软雅黑"/>
                <w:sz w:val="18"/>
                <w:szCs w:val="18"/>
              </w:rPr>
              <w:t>持本人有效身份证件，开立或持有本行借记卡或个人结算存折，并存有足额认</w:t>
            </w:r>
            <w:r>
              <w:rPr>
                <w:rFonts w:ascii="微软雅黑" w:hAnsi="微软雅黑" w:eastAsia="微软雅黑"/>
                <w:sz w:val="18"/>
                <w:szCs w:val="18"/>
              </w:rPr>
              <w:t>/</w:t>
            </w:r>
            <w:r>
              <w:rPr>
                <w:rFonts w:hint="eastAsia" w:ascii="微软雅黑" w:hAnsi="微软雅黑" w:eastAsia="微软雅黑"/>
                <w:sz w:val="18"/>
                <w:szCs w:val="18"/>
              </w:rPr>
              <w:t>申购金额；</w:t>
            </w:r>
            <w:r>
              <w:rPr>
                <w:rFonts w:ascii="微软雅黑" w:hAnsi="微软雅黑" w:eastAsia="微软雅黑"/>
                <w:sz w:val="18"/>
                <w:szCs w:val="18"/>
              </w:rPr>
              <w:t>(2)</w:t>
            </w:r>
            <w:r>
              <w:rPr>
                <w:rFonts w:hint="eastAsia" w:ascii="微软雅黑" w:hAnsi="微软雅黑" w:eastAsia="微软雅黑"/>
                <w:sz w:val="18"/>
                <w:szCs w:val="18"/>
              </w:rPr>
              <w:t>完成理财客户签约交易，并完成本行对您的风险承受能力评估，根据评估结果选择适合的产品；</w:t>
            </w:r>
            <w:r>
              <w:rPr>
                <w:rFonts w:ascii="微软雅黑" w:hAnsi="微软雅黑" w:eastAsia="微软雅黑"/>
                <w:sz w:val="18"/>
                <w:szCs w:val="18"/>
              </w:rPr>
              <w:t>(3)</w:t>
            </w:r>
            <w:r>
              <w:rPr>
                <w:rFonts w:hint="eastAsia" w:ascii="微软雅黑" w:hAnsi="微软雅黑" w:eastAsia="微软雅黑"/>
                <w:sz w:val="18"/>
                <w:szCs w:val="18"/>
              </w:rPr>
              <w:t>仔细阅读本《理财产品说明书、风险揭示书及客户权益须知》及其他销售文件</w:t>
            </w:r>
            <w:r>
              <w:rPr>
                <w:rFonts w:ascii="微软雅黑" w:hAnsi="微软雅黑" w:eastAsia="微软雅黑"/>
                <w:sz w:val="18"/>
                <w:szCs w:val="18"/>
              </w:rPr>
              <w:t>(</w:t>
            </w:r>
            <w:r>
              <w:rPr>
                <w:rFonts w:hint="eastAsia" w:ascii="微软雅黑" w:hAnsi="微软雅黑" w:eastAsia="微软雅黑"/>
                <w:sz w:val="18"/>
                <w:szCs w:val="18"/>
              </w:rPr>
              <w:t>如有</w:t>
            </w:r>
            <w:r>
              <w:rPr>
                <w:rFonts w:ascii="微软雅黑" w:hAnsi="微软雅黑" w:eastAsia="微软雅黑"/>
                <w:sz w:val="18"/>
                <w:szCs w:val="18"/>
              </w:rPr>
              <w:t>)</w:t>
            </w:r>
            <w:r>
              <w:rPr>
                <w:rFonts w:hint="eastAsia" w:ascii="微软雅黑" w:hAnsi="微软雅黑" w:eastAsia="微软雅黑"/>
                <w:sz w:val="18"/>
                <w:szCs w:val="18"/>
              </w:rPr>
              <w:t>，确定已同意相关内容、充分了解相关风险并且无疑问和异议后，办理理财产品的认</w:t>
            </w:r>
            <w:r>
              <w:rPr>
                <w:rFonts w:ascii="微软雅黑" w:hAnsi="微软雅黑" w:eastAsia="微软雅黑"/>
                <w:sz w:val="18"/>
                <w:szCs w:val="18"/>
              </w:rPr>
              <w:t>/</w:t>
            </w:r>
            <w:r>
              <w:rPr>
                <w:rFonts w:hint="eastAsia" w:ascii="微软雅黑" w:hAnsi="微软雅黑" w:eastAsia="微软雅黑"/>
                <w:sz w:val="18"/>
                <w:szCs w:val="18"/>
              </w:rPr>
              <w:t>申购手续；</w:t>
            </w:r>
            <w:r>
              <w:rPr>
                <w:rFonts w:ascii="微软雅黑" w:hAnsi="微软雅黑" w:eastAsia="微软雅黑"/>
                <w:sz w:val="18"/>
                <w:szCs w:val="18"/>
              </w:rPr>
              <w:t>(4)</w:t>
            </w:r>
            <w:r>
              <w:rPr>
                <w:rFonts w:hint="eastAsia" w:ascii="微软雅黑" w:hAnsi="微软雅黑" w:eastAsia="微软雅黑"/>
                <w:sz w:val="18"/>
                <w:szCs w:val="18"/>
              </w:rPr>
              <w:t>对本行营业网点打印或者网上银行等电子渠道显示的交易内容进行确认，签署并提交理财合同等销售文件；</w:t>
            </w:r>
            <w:r>
              <w:rPr>
                <w:rFonts w:ascii="微软雅黑" w:hAnsi="微软雅黑" w:eastAsia="微软雅黑"/>
                <w:sz w:val="18"/>
                <w:szCs w:val="18"/>
              </w:rPr>
              <w:t>(5)</w:t>
            </w:r>
            <w:r>
              <w:rPr>
                <w:rFonts w:hint="eastAsia" w:ascii="微软雅黑" w:hAnsi="微软雅黑" w:eastAsia="微软雅黑"/>
                <w:sz w:val="18"/>
                <w:szCs w:val="18"/>
              </w:rPr>
              <w:t>本行营业网点或者网上银行等电子渠道均可办理理财产品的认</w:t>
            </w:r>
            <w:r>
              <w:rPr>
                <w:rFonts w:ascii="微软雅黑" w:hAnsi="微软雅黑" w:eastAsia="微软雅黑"/>
                <w:sz w:val="18"/>
                <w:szCs w:val="18"/>
              </w:rPr>
              <w:t>/</w:t>
            </w:r>
            <w:r>
              <w:rPr>
                <w:rFonts w:hint="eastAsia" w:ascii="微软雅黑" w:hAnsi="微软雅黑" w:eastAsia="微软雅黑"/>
                <w:sz w:val="18"/>
                <w:szCs w:val="18"/>
              </w:rPr>
              <w:t>申购手续，但对于各具体理财产品，本行将自行确定发售渠道。</w:t>
            </w:r>
          </w:p>
          <w:p>
            <w:pPr>
              <w:ind w:firstLine="360" w:firstLineChars="200"/>
              <w:rPr>
                <w:rFonts w:ascii="微软雅黑" w:hAnsi="微软雅黑" w:eastAsia="微软雅黑"/>
                <w:sz w:val="18"/>
                <w:szCs w:val="18"/>
              </w:rPr>
            </w:pPr>
            <w:r>
              <w:rPr>
                <w:rFonts w:ascii="微软雅黑" w:hAnsi="微软雅黑" w:eastAsia="微软雅黑"/>
                <w:sz w:val="18"/>
                <w:szCs w:val="18"/>
              </w:rPr>
              <w:t>1.2</w:t>
            </w:r>
            <w:r>
              <w:rPr>
                <w:rFonts w:hint="eastAsia" w:ascii="微软雅黑" w:hAnsi="微软雅黑" w:eastAsia="微软雅黑"/>
                <w:sz w:val="18"/>
                <w:szCs w:val="18"/>
              </w:rPr>
              <w:t>机构客户</w:t>
            </w:r>
          </w:p>
          <w:p>
            <w:pPr>
              <w:ind w:firstLine="360" w:firstLineChars="200"/>
              <w:rPr>
                <w:rFonts w:ascii="微软雅黑" w:hAnsi="微软雅黑" w:eastAsia="微软雅黑"/>
                <w:sz w:val="18"/>
                <w:szCs w:val="18"/>
              </w:rPr>
            </w:pPr>
            <w:r>
              <w:rPr>
                <w:rFonts w:ascii="微软雅黑" w:hAnsi="微软雅黑" w:eastAsia="微软雅黑"/>
                <w:sz w:val="18"/>
                <w:szCs w:val="18"/>
              </w:rPr>
              <w:t>(1)</w:t>
            </w:r>
            <w:r>
              <w:rPr>
                <w:rFonts w:hint="eastAsia" w:ascii="微软雅黑" w:hAnsi="微软雅黑" w:eastAsia="微软雅黑"/>
                <w:sz w:val="18"/>
                <w:szCs w:val="18"/>
              </w:rPr>
              <w:t>开立或持有本行结算账户；</w:t>
            </w:r>
            <w:r>
              <w:rPr>
                <w:rFonts w:ascii="微软雅黑" w:hAnsi="微软雅黑" w:eastAsia="微软雅黑"/>
                <w:sz w:val="18"/>
                <w:szCs w:val="18"/>
              </w:rPr>
              <w:t>(2)</w:t>
            </w:r>
            <w:r>
              <w:rPr>
                <w:rFonts w:hint="eastAsia" w:ascii="微软雅黑" w:hAnsi="微软雅黑" w:eastAsia="微软雅黑"/>
                <w:sz w:val="18"/>
                <w:szCs w:val="18"/>
              </w:rPr>
              <w:t>法定代表人持营业执照（正本或副本）或组织机构代码证、法定代表人本人有效身份证件，按法律或章程规定需有权机构授权的则提供相应的授权书。由非法定代表人亲自办理的，授权代理人还需持法定代表人授权委托书及授权代理人（经办人）有效身份证件；</w:t>
            </w:r>
            <w:r>
              <w:rPr>
                <w:rFonts w:ascii="微软雅黑" w:hAnsi="微软雅黑" w:eastAsia="微软雅黑"/>
                <w:sz w:val="18"/>
                <w:szCs w:val="18"/>
              </w:rPr>
              <w:t>(3)</w:t>
            </w:r>
            <w:r>
              <w:rPr>
                <w:rFonts w:hint="eastAsia" w:ascii="微软雅黑" w:hAnsi="微软雅黑" w:eastAsia="微软雅黑"/>
                <w:sz w:val="18"/>
                <w:szCs w:val="18"/>
              </w:rPr>
              <w:t>完成理财客户签约交易；</w:t>
            </w:r>
            <w:r>
              <w:rPr>
                <w:rFonts w:ascii="微软雅黑" w:hAnsi="微软雅黑" w:eastAsia="微软雅黑"/>
                <w:sz w:val="18"/>
                <w:szCs w:val="18"/>
              </w:rPr>
              <w:t>(4)</w:t>
            </w:r>
            <w:r>
              <w:rPr>
                <w:rFonts w:hint="eastAsia" w:ascii="微软雅黑" w:hAnsi="微软雅黑" w:eastAsia="微软雅黑"/>
                <w:sz w:val="18"/>
                <w:szCs w:val="18"/>
              </w:rPr>
              <w:t>仔细阅读本《理财产品说明书、风险揭示书及客户权益须知》及其他销售文件</w:t>
            </w:r>
            <w:r>
              <w:rPr>
                <w:rFonts w:ascii="微软雅黑" w:hAnsi="微软雅黑" w:eastAsia="微软雅黑"/>
                <w:sz w:val="18"/>
                <w:szCs w:val="18"/>
              </w:rPr>
              <w:t>(</w:t>
            </w:r>
            <w:r>
              <w:rPr>
                <w:rFonts w:hint="eastAsia" w:ascii="微软雅黑" w:hAnsi="微软雅黑" w:eastAsia="微软雅黑"/>
                <w:sz w:val="18"/>
                <w:szCs w:val="18"/>
              </w:rPr>
              <w:t>如有</w:t>
            </w:r>
            <w:r>
              <w:rPr>
                <w:rFonts w:ascii="微软雅黑" w:hAnsi="微软雅黑" w:eastAsia="微软雅黑"/>
                <w:sz w:val="18"/>
                <w:szCs w:val="18"/>
              </w:rPr>
              <w:t>)</w:t>
            </w:r>
            <w:r>
              <w:rPr>
                <w:rFonts w:hint="eastAsia" w:ascii="微软雅黑" w:hAnsi="微软雅黑" w:eastAsia="微软雅黑"/>
                <w:sz w:val="18"/>
                <w:szCs w:val="18"/>
              </w:rPr>
              <w:t>，确定已同意相关内容、充分了解相关风险并且无疑问和异议后，办理理财产品的认</w:t>
            </w:r>
            <w:r>
              <w:rPr>
                <w:rFonts w:ascii="微软雅黑" w:hAnsi="微软雅黑" w:eastAsia="微软雅黑"/>
                <w:sz w:val="18"/>
                <w:szCs w:val="18"/>
              </w:rPr>
              <w:t>/</w:t>
            </w:r>
            <w:r>
              <w:rPr>
                <w:rFonts w:hint="eastAsia" w:ascii="微软雅黑" w:hAnsi="微软雅黑" w:eastAsia="微软雅黑"/>
                <w:sz w:val="18"/>
                <w:szCs w:val="18"/>
              </w:rPr>
              <w:t>申购手续；</w:t>
            </w:r>
            <w:r>
              <w:rPr>
                <w:rFonts w:ascii="微软雅黑" w:hAnsi="微软雅黑" w:eastAsia="微软雅黑"/>
                <w:sz w:val="18"/>
                <w:szCs w:val="18"/>
              </w:rPr>
              <w:t>(5)</w:t>
            </w:r>
            <w:r>
              <w:rPr>
                <w:rFonts w:hint="eastAsia" w:ascii="微软雅黑" w:hAnsi="微软雅黑" w:eastAsia="微软雅黑"/>
                <w:sz w:val="18"/>
                <w:szCs w:val="18"/>
              </w:rPr>
              <w:t>由机构客户经办人对本行营业网点打印或者网上银行等电子渠道显示的交易内容进行确认，签署并提交理财合同等销售文件；</w:t>
            </w:r>
            <w:r>
              <w:rPr>
                <w:rFonts w:ascii="微软雅黑" w:hAnsi="微软雅黑" w:eastAsia="微软雅黑"/>
                <w:sz w:val="18"/>
                <w:szCs w:val="18"/>
              </w:rPr>
              <w:t>(6)</w:t>
            </w:r>
            <w:r>
              <w:rPr>
                <w:rFonts w:hint="eastAsia" w:ascii="微软雅黑" w:hAnsi="微软雅黑" w:eastAsia="微软雅黑"/>
                <w:sz w:val="18"/>
                <w:szCs w:val="18"/>
              </w:rPr>
              <w:t>本行营业网点或者网上银行等电子渠道均可办理理财产品的认</w:t>
            </w:r>
            <w:r>
              <w:rPr>
                <w:rFonts w:ascii="微软雅黑" w:hAnsi="微软雅黑" w:eastAsia="微软雅黑"/>
                <w:sz w:val="18"/>
                <w:szCs w:val="18"/>
              </w:rPr>
              <w:t>/</w:t>
            </w:r>
            <w:r>
              <w:rPr>
                <w:rFonts w:hint="eastAsia" w:ascii="微软雅黑" w:hAnsi="微软雅黑" w:eastAsia="微软雅黑"/>
                <w:sz w:val="18"/>
                <w:szCs w:val="18"/>
              </w:rPr>
              <w:t>申购手续，但对于各具体理财产品，本行将自行确定发售渠道。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spacing w:line="240" w:lineRule="exact"/>
              <w:jc w:val="center"/>
              <w:rPr>
                <w:rFonts w:ascii="微软雅黑" w:hAnsi="微软雅黑" w:eastAsia="微软雅黑"/>
                <w:szCs w:val="21"/>
              </w:rPr>
            </w:pPr>
            <w:r>
              <w:rPr>
                <w:rFonts w:hint="eastAsia" w:ascii="微软雅黑" w:hAnsi="微软雅黑" w:eastAsia="微软雅黑"/>
                <w:b/>
                <w:szCs w:val="21"/>
              </w:rPr>
              <w:t>客户风险承受能力评估流程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auto"/>
          </w:tcPr>
          <w:p>
            <w:pPr>
              <w:ind w:firstLine="360" w:firstLineChars="200"/>
              <w:rPr>
                <w:rFonts w:ascii="微软雅黑" w:hAnsi="微软雅黑" w:eastAsia="微软雅黑"/>
                <w:sz w:val="18"/>
                <w:szCs w:val="18"/>
              </w:rPr>
            </w:pPr>
            <w:r>
              <w:rPr>
                <w:rFonts w:ascii="微软雅黑" w:hAnsi="微软雅黑" w:eastAsia="微软雅黑"/>
                <w:sz w:val="18"/>
                <w:szCs w:val="18"/>
              </w:rPr>
              <w:t>2.1</w:t>
            </w:r>
            <w:r>
              <w:rPr>
                <w:rFonts w:hint="eastAsia" w:ascii="微软雅黑" w:hAnsi="微软雅黑" w:eastAsia="微软雅黑"/>
                <w:sz w:val="18"/>
                <w:szCs w:val="18"/>
              </w:rPr>
              <w:t>个人客户</w:t>
            </w:r>
          </w:p>
          <w:p>
            <w:pPr>
              <w:ind w:firstLine="360" w:firstLineChars="200"/>
              <w:rPr>
                <w:rFonts w:ascii="微软雅黑" w:hAnsi="微软雅黑" w:eastAsia="微软雅黑"/>
                <w:sz w:val="18"/>
                <w:szCs w:val="18"/>
              </w:rPr>
            </w:pPr>
            <w:r>
              <w:rPr>
                <w:rFonts w:ascii="微软雅黑" w:hAnsi="微软雅黑" w:eastAsia="微软雅黑"/>
                <w:sz w:val="18"/>
                <w:szCs w:val="18"/>
              </w:rPr>
              <w:t>(1)</w:t>
            </w:r>
            <w:r>
              <w:rPr>
                <w:rFonts w:hint="eastAsia" w:ascii="微软雅黑" w:hAnsi="微软雅黑" w:eastAsia="微软雅黑"/>
                <w:sz w:val="18"/>
                <w:szCs w:val="18"/>
              </w:rPr>
              <w:t>评估场所：首次在本行认</w:t>
            </w:r>
            <w:r>
              <w:rPr>
                <w:rFonts w:ascii="微软雅黑" w:hAnsi="微软雅黑" w:eastAsia="微软雅黑"/>
                <w:sz w:val="18"/>
                <w:szCs w:val="18"/>
              </w:rPr>
              <w:t>/</w:t>
            </w:r>
            <w:r>
              <w:rPr>
                <w:rFonts w:hint="eastAsia" w:ascii="微软雅黑" w:hAnsi="微软雅黑" w:eastAsia="微软雅黑"/>
                <w:sz w:val="18"/>
                <w:szCs w:val="18"/>
              </w:rPr>
              <w:t>申购理财产品的，您需亲自至本行营业网点接受风险承受能力评估；</w:t>
            </w:r>
            <w:r>
              <w:rPr>
                <w:rFonts w:ascii="微软雅黑" w:hAnsi="微软雅黑" w:eastAsia="微软雅黑"/>
                <w:sz w:val="18"/>
                <w:szCs w:val="18"/>
              </w:rPr>
              <w:t>(2)</w:t>
            </w:r>
            <w:r>
              <w:rPr>
                <w:rFonts w:hint="eastAsia" w:ascii="微软雅黑" w:hAnsi="微软雅黑" w:eastAsia="微软雅黑"/>
                <w:sz w:val="18"/>
                <w:szCs w:val="18"/>
              </w:rPr>
              <w:t>评估流程：填写《瑞丰银行理财客户风险评估问卷》，经您和评估人员双方确认后，由本行将评估结果录入系统；</w:t>
            </w:r>
            <w:r>
              <w:rPr>
                <w:rFonts w:ascii="微软雅黑" w:hAnsi="微软雅黑" w:eastAsia="微软雅黑"/>
                <w:sz w:val="18"/>
                <w:szCs w:val="18"/>
              </w:rPr>
              <w:t>(3)</w:t>
            </w:r>
            <w:r>
              <w:rPr>
                <w:rFonts w:hint="eastAsia" w:ascii="微软雅黑" w:hAnsi="微软雅黑" w:eastAsia="微软雅黑"/>
                <w:sz w:val="18"/>
                <w:szCs w:val="18"/>
              </w:rPr>
              <w:t>客户风险承受能力评级：本行根据客户的财务状况、投资经验、投资风格、风险承受能力等因素设计评估问卷并确定评估标准后，将客户的风险承受能力分为五级，按照风险承受能力从低到高的顺序依次为：保守型、谨慎型、稳健型、进取型、激进型；</w:t>
            </w:r>
            <w:r>
              <w:rPr>
                <w:rFonts w:ascii="微软雅黑" w:hAnsi="微软雅黑" w:eastAsia="微软雅黑"/>
                <w:sz w:val="18"/>
                <w:szCs w:val="18"/>
              </w:rPr>
              <w:t>(4)</w:t>
            </w:r>
            <w:r>
              <w:rPr>
                <w:rFonts w:hint="eastAsia" w:ascii="微软雅黑" w:hAnsi="微软雅黑" w:eastAsia="微软雅黑"/>
                <w:sz w:val="18"/>
                <w:szCs w:val="18"/>
              </w:rPr>
              <w:t>理财产品风险等级：本行根据自身管理制度和要求及其确定的内部标准，将理财产品的风险等级分为五级，按照产品风险从低到高的顺序依次为：</w:t>
            </w:r>
            <w:r>
              <w:rPr>
                <w:rFonts w:ascii="微软雅黑" w:hAnsi="微软雅黑" w:eastAsia="微软雅黑"/>
                <w:sz w:val="18"/>
                <w:szCs w:val="18"/>
              </w:rPr>
              <w:t xml:space="preserve"> PR1</w:t>
            </w:r>
            <w:r>
              <w:rPr>
                <w:rFonts w:hint="eastAsia" w:ascii="微软雅黑" w:hAnsi="微软雅黑" w:eastAsia="微软雅黑"/>
                <w:sz w:val="18"/>
                <w:szCs w:val="18"/>
              </w:rPr>
              <w:t>级（低风险级）、</w:t>
            </w:r>
            <w:r>
              <w:rPr>
                <w:rFonts w:ascii="微软雅黑" w:hAnsi="微软雅黑" w:eastAsia="微软雅黑"/>
                <w:sz w:val="18"/>
                <w:szCs w:val="18"/>
              </w:rPr>
              <w:t>PR2</w:t>
            </w:r>
            <w:r>
              <w:rPr>
                <w:rFonts w:hint="eastAsia" w:ascii="微软雅黑" w:hAnsi="微软雅黑" w:eastAsia="微软雅黑"/>
                <w:sz w:val="18"/>
                <w:szCs w:val="18"/>
              </w:rPr>
              <w:t>级（中低风险级）、</w:t>
            </w:r>
            <w:r>
              <w:rPr>
                <w:rFonts w:ascii="微软雅黑" w:hAnsi="微软雅黑" w:eastAsia="微软雅黑"/>
                <w:sz w:val="18"/>
                <w:szCs w:val="18"/>
              </w:rPr>
              <w:t>PR3</w:t>
            </w:r>
            <w:r>
              <w:rPr>
                <w:rFonts w:hint="eastAsia" w:ascii="微软雅黑" w:hAnsi="微软雅黑" w:eastAsia="微软雅黑"/>
                <w:sz w:val="18"/>
                <w:szCs w:val="18"/>
              </w:rPr>
              <w:t>级（中等风险级）、</w:t>
            </w:r>
            <w:r>
              <w:rPr>
                <w:rFonts w:ascii="微软雅黑" w:hAnsi="微软雅黑" w:eastAsia="微软雅黑"/>
                <w:sz w:val="18"/>
                <w:szCs w:val="18"/>
              </w:rPr>
              <w:t>PR4</w:t>
            </w:r>
            <w:r>
              <w:rPr>
                <w:rFonts w:hint="eastAsia" w:ascii="微软雅黑" w:hAnsi="微软雅黑" w:eastAsia="微软雅黑"/>
                <w:sz w:val="18"/>
                <w:szCs w:val="18"/>
              </w:rPr>
              <w:t>级（中高风险级）、</w:t>
            </w:r>
            <w:r>
              <w:rPr>
                <w:rFonts w:ascii="微软雅黑" w:hAnsi="微软雅黑" w:eastAsia="微软雅黑"/>
                <w:sz w:val="18"/>
                <w:szCs w:val="18"/>
              </w:rPr>
              <w:t>PR5</w:t>
            </w:r>
            <w:r>
              <w:rPr>
                <w:rFonts w:hint="eastAsia" w:ascii="微软雅黑" w:hAnsi="微软雅黑" w:eastAsia="微软雅黑"/>
                <w:sz w:val="18"/>
                <w:szCs w:val="18"/>
              </w:rPr>
              <w:t>级（高风险级）；</w:t>
            </w:r>
            <w:r>
              <w:rPr>
                <w:rFonts w:ascii="微软雅黑" w:hAnsi="微软雅黑" w:eastAsia="微软雅黑"/>
                <w:sz w:val="18"/>
                <w:szCs w:val="18"/>
              </w:rPr>
              <w:t>(5)</w:t>
            </w:r>
            <w:r>
              <w:rPr>
                <w:rFonts w:hint="eastAsia" w:ascii="微软雅黑" w:hAnsi="微软雅黑" w:eastAsia="微软雅黑"/>
                <w:sz w:val="18"/>
                <w:szCs w:val="18"/>
              </w:rPr>
              <w:t>客户风险承受能力与适合购买的理财产品的对应关系为：保守型</w:t>
            </w:r>
            <w:r>
              <w:rPr>
                <w:rFonts w:ascii="微软雅黑" w:hAnsi="微软雅黑" w:eastAsia="微软雅黑"/>
                <w:sz w:val="18"/>
                <w:szCs w:val="18"/>
              </w:rPr>
              <w:t>——PR1</w:t>
            </w:r>
            <w:r>
              <w:rPr>
                <w:rFonts w:hint="eastAsia" w:ascii="微软雅黑" w:hAnsi="微软雅黑" w:eastAsia="微软雅黑"/>
                <w:sz w:val="18"/>
                <w:szCs w:val="18"/>
              </w:rPr>
              <w:t>级；谨慎型</w:t>
            </w:r>
            <w:r>
              <w:rPr>
                <w:rFonts w:ascii="微软雅黑" w:hAnsi="微软雅黑" w:eastAsia="微软雅黑"/>
                <w:sz w:val="18"/>
                <w:szCs w:val="18"/>
              </w:rPr>
              <w:t>——PR2</w:t>
            </w:r>
            <w:r>
              <w:rPr>
                <w:rFonts w:hint="eastAsia" w:ascii="微软雅黑" w:hAnsi="微软雅黑" w:eastAsia="微软雅黑"/>
                <w:sz w:val="18"/>
                <w:szCs w:val="18"/>
              </w:rPr>
              <w:t>级（含）以下；稳健型</w:t>
            </w:r>
            <w:r>
              <w:rPr>
                <w:rFonts w:ascii="微软雅黑" w:hAnsi="微软雅黑" w:eastAsia="微软雅黑"/>
                <w:sz w:val="18"/>
                <w:szCs w:val="18"/>
              </w:rPr>
              <w:t>——PR3</w:t>
            </w:r>
            <w:r>
              <w:rPr>
                <w:rFonts w:hint="eastAsia" w:ascii="微软雅黑" w:hAnsi="微软雅黑" w:eastAsia="微软雅黑"/>
                <w:sz w:val="18"/>
                <w:szCs w:val="18"/>
              </w:rPr>
              <w:t>级（含）以下、进取型</w:t>
            </w:r>
            <w:r>
              <w:rPr>
                <w:rFonts w:ascii="微软雅黑" w:hAnsi="微软雅黑" w:eastAsia="微软雅黑"/>
                <w:sz w:val="18"/>
                <w:szCs w:val="18"/>
              </w:rPr>
              <w:t>——PR4</w:t>
            </w:r>
            <w:r>
              <w:rPr>
                <w:rFonts w:hint="eastAsia" w:ascii="微软雅黑" w:hAnsi="微软雅黑" w:eastAsia="微软雅黑"/>
                <w:sz w:val="18"/>
                <w:szCs w:val="18"/>
              </w:rPr>
              <w:t>级（含）以下；激进型</w:t>
            </w:r>
            <w:r>
              <w:rPr>
                <w:rFonts w:ascii="微软雅黑" w:hAnsi="微软雅黑" w:eastAsia="微软雅黑"/>
                <w:sz w:val="18"/>
                <w:szCs w:val="18"/>
              </w:rPr>
              <w:t>——PR5</w:t>
            </w:r>
            <w:r>
              <w:rPr>
                <w:rFonts w:hint="eastAsia" w:ascii="微软雅黑" w:hAnsi="微软雅黑" w:eastAsia="微软雅黑"/>
                <w:sz w:val="18"/>
                <w:szCs w:val="18"/>
              </w:rPr>
              <w:t>级（含）以下；</w:t>
            </w:r>
            <w:r>
              <w:rPr>
                <w:rFonts w:ascii="微软雅黑" w:hAnsi="微软雅黑" w:eastAsia="微软雅黑"/>
                <w:sz w:val="18"/>
                <w:szCs w:val="18"/>
              </w:rPr>
              <w:t>(6)</w:t>
            </w:r>
            <w:r>
              <w:rPr>
                <w:rFonts w:hint="eastAsia" w:ascii="微软雅黑" w:hAnsi="微软雅黑" w:eastAsia="微软雅黑"/>
                <w:sz w:val="18"/>
                <w:szCs w:val="18"/>
              </w:rPr>
              <w:t>如果您超过一年未在本行进行风险承受能力评估，或者发生影响您自身风险承受能力的情况，请在再次认</w:t>
            </w:r>
            <w:r>
              <w:rPr>
                <w:rFonts w:ascii="微软雅黑" w:hAnsi="微软雅黑" w:eastAsia="微软雅黑"/>
                <w:sz w:val="18"/>
                <w:szCs w:val="18"/>
              </w:rPr>
              <w:t>/</w:t>
            </w:r>
            <w:r>
              <w:rPr>
                <w:rFonts w:hint="eastAsia" w:ascii="微软雅黑" w:hAnsi="微软雅黑" w:eastAsia="微软雅黑"/>
                <w:sz w:val="18"/>
                <w:szCs w:val="18"/>
              </w:rPr>
              <w:t>申购理财产品前主动要求及接受本行对您再次进行风险承受能力评估。</w:t>
            </w:r>
          </w:p>
          <w:p>
            <w:pPr>
              <w:ind w:firstLine="360" w:firstLineChars="200"/>
              <w:rPr>
                <w:rFonts w:ascii="微软雅黑" w:hAnsi="微软雅黑" w:eastAsia="微软雅黑"/>
                <w:sz w:val="18"/>
                <w:szCs w:val="18"/>
              </w:rPr>
            </w:pPr>
            <w:r>
              <w:rPr>
                <w:rFonts w:ascii="微软雅黑" w:hAnsi="微软雅黑" w:eastAsia="微软雅黑"/>
                <w:sz w:val="18"/>
                <w:szCs w:val="18"/>
              </w:rPr>
              <w:t>2.2</w:t>
            </w:r>
            <w:r>
              <w:rPr>
                <w:rFonts w:hint="eastAsia" w:ascii="微软雅黑" w:hAnsi="微软雅黑" w:eastAsia="微软雅黑"/>
                <w:sz w:val="18"/>
                <w:szCs w:val="18"/>
              </w:rPr>
              <w:t>机构客户</w:t>
            </w:r>
          </w:p>
          <w:p>
            <w:pPr>
              <w:ind w:firstLine="360" w:firstLineChars="200"/>
              <w:rPr>
                <w:rFonts w:ascii="微软雅黑" w:hAnsi="微软雅黑" w:eastAsia="微软雅黑"/>
                <w:sz w:val="18"/>
                <w:szCs w:val="18"/>
              </w:rPr>
            </w:pPr>
            <w:r>
              <w:rPr>
                <w:rFonts w:hint="eastAsia" w:ascii="微软雅黑" w:hAnsi="微软雅黑" w:eastAsia="微软雅黑"/>
                <w:sz w:val="18"/>
                <w:szCs w:val="18"/>
              </w:rPr>
              <w:t>机构客户请根据自身的财务状况、投资经验、投资目标、风险认知、风险判断及其他因素综合考量理财产品的投资风险及自身的风险承受能力，本行不再进行风险承受能力评估。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信息披露的方式、渠道和频率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auto"/>
          </w:tcPr>
          <w:p>
            <w:pPr>
              <w:ind w:firstLine="360" w:firstLineChars="200"/>
              <w:rPr>
                <w:rFonts w:ascii="微软雅黑" w:hAnsi="微软雅黑" w:eastAsia="微软雅黑"/>
                <w:sz w:val="18"/>
                <w:szCs w:val="18"/>
              </w:rPr>
            </w:pPr>
            <w:r>
              <w:rPr>
                <w:rFonts w:hint="eastAsia" w:ascii="微软雅黑" w:hAnsi="微软雅黑" w:eastAsia="微软雅黑"/>
                <w:sz w:val="18"/>
                <w:szCs w:val="18"/>
              </w:rPr>
              <w:t>3.1本行将以下述至少一种方式和渠道进行信息披露：</w:t>
            </w:r>
          </w:p>
          <w:p>
            <w:pPr>
              <w:ind w:firstLine="360" w:firstLineChars="200"/>
              <w:rPr>
                <w:rFonts w:ascii="微软雅黑" w:hAnsi="微软雅黑" w:eastAsia="微软雅黑"/>
                <w:sz w:val="18"/>
                <w:szCs w:val="18"/>
              </w:rPr>
            </w:pPr>
            <w:r>
              <w:rPr>
                <w:rFonts w:hint="eastAsia" w:ascii="微软雅黑" w:hAnsi="微软雅黑" w:eastAsia="微软雅黑"/>
                <w:sz w:val="18"/>
                <w:szCs w:val="18"/>
              </w:rPr>
              <w:t>(1)在本行官方网站（</w:t>
            </w:r>
            <w:r>
              <w:fldChar w:fldCharType="begin"/>
            </w:r>
            <w:r>
              <w:instrText xml:space="preserve"> HYPERLINK "http://www.borf.cn/" </w:instrText>
            </w:r>
            <w:r>
              <w:fldChar w:fldCharType="separate"/>
            </w:r>
            <w:r>
              <w:rPr>
                <w:rFonts w:ascii="微软雅黑" w:hAnsi="微软雅黑" w:eastAsia="微软雅黑"/>
                <w:sz w:val="18"/>
                <w:szCs w:val="18"/>
              </w:rPr>
              <w:t>http://www.borf.cn/</w:t>
            </w:r>
            <w:r>
              <w:rPr>
                <w:rFonts w:ascii="微软雅黑" w:hAnsi="微软雅黑" w:eastAsia="微软雅黑"/>
                <w:sz w:val="18"/>
                <w:szCs w:val="18"/>
              </w:rPr>
              <w:fldChar w:fldCharType="end"/>
            </w:r>
            <w:r>
              <w:rPr>
                <w:rFonts w:hint="eastAsia" w:ascii="微软雅黑" w:hAnsi="微软雅黑" w:eastAsia="微软雅黑"/>
                <w:sz w:val="18"/>
                <w:szCs w:val="18"/>
              </w:rPr>
              <w:t>）发布公告；(2)在本行营业网点发布公告；(3)通过网上银行等电子渠道查询或公告形式进行披露；(4)通过与客户书面约定的其他方式进行披露。</w:t>
            </w:r>
          </w:p>
          <w:p>
            <w:pPr>
              <w:ind w:firstLine="360" w:firstLineChars="200"/>
              <w:rPr>
                <w:rFonts w:ascii="微软雅黑" w:hAnsi="微软雅黑" w:eastAsia="微软雅黑"/>
                <w:sz w:val="18"/>
                <w:szCs w:val="18"/>
              </w:rPr>
            </w:pPr>
            <w:r>
              <w:rPr>
                <w:rFonts w:hint="eastAsia" w:ascii="微软雅黑" w:hAnsi="微软雅黑" w:eastAsia="微软雅黑"/>
                <w:sz w:val="18"/>
                <w:szCs w:val="18"/>
              </w:rPr>
              <w:t>协议约定本行官方网站作为信息披露主要方式及渠道点，客户签署本协议即默认为确认本行官方网站为默认信息披露渠道。</w:t>
            </w:r>
          </w:p>
          <w:p>
            <w:pPr>
              <w:ind w:firstLine="360" w:firstLineChars="200"/>
              <w:rPr>
                <w:rFonts w:ascii="微软雅黑" w:hAnsi="微软雅黑" w:eastAsia="微软雅黑"/>
                <w:sz w:val="18"/>
                <w:szCs w:val="18"/>
              </w:rPr>
            </w:pPr>
            <w:r>
              <w:rPr>
                <w:rFonts w:hint="eastAsia" w:ascii="微软雅黑" w:hAnsi="微软雅黑" w:eastAsia="微软雅黑"/>
                <w:sz w:val="18"/>
                <w:szCs w:val="18"/>
              </w:rPr>
              <w:t>3.2信息披露的内容和频率：</w:t>
            </w:r>
          </w:p>
          <w:p>
            <w:pPr>
              <w:ind w:firstLine="360" w:firstLineChars="200"/>
              <w:rPr>
                <w:rFonts w:ascii="微软雅黑" w:hAnsi="微软雅黑" w:eastAsia="微软雅黑"/>
                <w:sz w:val="18"/>
                <w:szCs w:val="18"/>
              </w:rPr>
            </w:pPr>
            <w:r>
              <w:rPr>
                <w:rFonts w:hint="eastAsia" w:ascii="微软雅黑" w:hAnsi="微软雅黑" w:eastAsia="微软雅黑"/>
                <w:sz w:val="18"/>
                <w:szCs w:val="18"/>
              </w:rPr>
              <w:t>(1)如果市场发生重大变化导致理财产品所投资的各项金融工具的实际投资比例暂时超出产品合约约定的浮动区间且可能对客户收益产生重大影响，本行将按照约定进行披露；(2)如果本行根据市场情况调整投资范围、投资品种或者超出产品合约约定的浮动区间调整投资比例，则本行将按照约定进行披露；(3)如果本行根据相关法律和国家政策规定，需要对理财合同已约定的收费项目、条件、标准或方式进行调整，则本行将按照约定进行披露；(4)在理财产品到期日(或本行提前终止日)后一定期间内(具体期限以理财合同为准)，本行将按照上述信息披露方式向客户提供一次理财计划清算报告，对理财产品资产的投资概况、收益状况和理财产品分配情况做出说明。(5)本行将按照理财合同的约定披露其他重大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客户投诉的方式和程序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auto"/>
            <w:vAlign w:val="center"/>
          </w:tcPr>
          <w:p>
            <w:pPr>
              <w:spacing w:line="240" w:lineRule="exact"/>
              <w:ind w:firstLine="360" w:firstLineChars="200"/>
              <w:rPr>
                <w:rFonts w:ascii="微软雅黑" w:hAnsi="微软雅黑" w:eastAsia="微软雅黑"/>
                <w:sz w:val="18"/>
                <w:szCs w:val="18"/>
              </w:rPr>
            </w:pPr>
            <w:r>
              <w:rPr>
                <w:rFonts w:hint="eastAsia" w:ascii="微软雅黑" w:hAnsi="微软雅黑" w:eastAsia="微软雅黑"/>
                <w:sz w:val="18"/>
                <w:szCs w:val="18"/>
              </w:rPr>
              <w:t>如您对本行理财产品或服务有任何疑问、意见或建议，均可联系本行理财经理或反馈至本行营业网点，也可致电本行全国统一客户服务热线：40088-96596。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本行联系方式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auto"/>
            <w:vAlign w:val="center"/>
          </w:tcPr>
          <w:p>
            <w:pPr>
              <w:spacing w:line="240" w:lineRule="exact"/>
              <w:ind w:firstLine="360" w:firstLineChars="200"/>
              <w:rPr>
                <w:rFonts w:ascii="微软雅黑" w:hAnsi="微软雅黑" w:eastAsia="微软雅黑"/>
                <w:sz w:val="18"/>
                <w:szCs w:val="18"/>
              </w:rPr>
            </w:pPr>
            <w:r>
              <w:rPr>
                <w:rFonts w:hint="eastAsia" w:ascii="微软雅黑" w:hAnsi="微软雅黑" w:eastAsia="微软雅黑"/>
                <w:sz w:val="18"/>
                <w:szCs w:val="18"/>
              </w:rPr>
              <w:t>网址：</w:t>
            </w:r>
            <w:r>
              <w:fldChar w:fldCharType="begin"/>
            </w:r>
            <w:r>
              <w:instrText xml:space="preserve"> HYPERLINK "http://www.borf.cn/" </w:instrText>
            </w:r>
            <w:r>
              <w:fldChar w:fldCharType="separate"/>
            </w:r>
            <w:r>
              <w:rPr>
                <w:rFonts w:ascii="Arial" w:hAnsi="Arial" w:eastAsia="Arial Unicode MS" w:cs="Arial"/>
                <w:sz w:val="18"/>
                <w:szCs w:val="18"/>
              </w:rPr>
              <w:t>http://www.borf.cn/</w:t>
            </w:r>
            <w:r>
              <w:rPr>
                <w:rFonts w:ascii="Arial" w:hAnsi="Arial" w:eastAsia="Arial Unicode MS" w:cs="Arial"/>
                <w:sz w:val="18"/>
                <w:szCs w:val="18"/>
              </w:rPr>
              <w:fldChar w:fldCharType="end"/>
            </w:r>
            <w:r>
              <w:rPr>
                <w:rFonts w:hint="eastAsia" w:ascii="微软雅黑" w:hAnsi="微软雅黑" w:eastAsia="微软雅黑"/>
                <w:sz w:val="18"/>
                <w:szCs w:val="18"/>
              </w:rPr>
              <w:t>客户服务热线：0575-81105384</w:t>
            </w:r>
          </w:p>
          <w:p>
            <w:pPr>
              <w:spacing w:line="240" w:lineRule="exact"/>
              <w:ind w:firstLine="360" w:firstLineChars="200"/>
              <w:rPr>
                <w:rFonts w:ascii="微软雅黑" w:hAnsi="微软雅黑" w:eastAsia="微软雅黑"/>
                <w:sz w:val="18"/>
                <w:szCs w:val="18"/>
              </w:rPr>
            </w:pPr>
            <w:r>
              <w:rPr>
                <w:rFonts w:hint="eastAsia" w:ascii="微软雅黑" w:hAnsi="微软雅黑" w:eastAsia="微软雅黑"/>
                <w:sz w:val="18"/>
                <w:szCs w:val="18"/>
              </w:rPr>
              <w:t>联系地址：绍兴市柯桥区笛扬路1363号瑞丰大厦邮编：312030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特别申明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FFFFFF"/>
            <w:vAlign w:val="center"/>
          </w:tcPr>
          <w:p>
            <w:pPr>
              <w:autoSpaceDE w:val="0"/>
              <w:autoSpaceDN w:val="0"/>
              <w:adjustRightInd w:val="0"/>
              <w:snapToGrid w:val="0"/>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1、若客户对本《</w:t>
            </w:r>
            <w:r>
              <w:rPr>
                <w:rFonts w:hint="eastAsia" w:ascii="微软雅黑" w:hAnsi="微软雅黑" w:eastAsia="微软雅黑"/>
                <w:b/>
                <w:kern w:val="0"/>
                <w:sz w:val="18"/>
                <w:szCs w:val="18"/>
              </w:rPr>
              <w:t>理财产品说明书、风险揭示书及客户权益须知</w:t>
            </w:r>
            <w:r>
              <w:rPr>
                <w:rFonts w:hint="eastAsia" w:ascii="微软雅黑" w:hAnsi="微软雅黑" w:eastAsia="微软雅黑" w:cs="宋体"/>
                <w:b/>
                <w:bCs/>
                <w:sz w:val="18"/>
                <w:szCs w:val="18"/>
              </w:rPr>
              <w:t>》内容有任何疑问，请向瑞丰银行销售人员咨询，本理财产品只根据本《</w:t>
            </w:r>
            <w:r>
              <w:rPr>
                <w:rFonts w:hint="eastAsia" w:ascii="微软雅黑" w:hAnsi="微软雅黑" w:eastAsia="微软雅黑"/>
                <w:b/>
                <w:kern w:val="0"/>
                <w:sz w:val="18"/>
                <w:szCs w:val="18"/>
              </w:rPr>
              <w:t>理财产品说明书、风险揭示书及客户权益须知</w:t>
            </w:r>
            <w:r>
              <w:rPr>
                <w:rFonts w:hint="eastAsia" w:ascii="微软雅黑" w:hAnsi="微软雅黑" w:eastAsia="微软雅黑" w:cs="宋体"/>
                <w:b/>
                <w:bCs/>
                <w:sz w:val="18"/>
                <w:szCs w:val="18"/>
              </w:rPr>
              <w:t>》所载事项操作。</w:t>
            </w:r>
          </w:p>
          <w:p>
            <w:pPr>
              <w:autoSpaceDE w:val="0"/>
              <w:autoSpaceDN w:val="0"/>
              <w:adjustRightInd w:val="0"/>
              <w:snapToGrid w:val="0"/>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2、本《</w:t>
            </w:r>
            <w:r>
              <w:rPr>
                <w:rFonts w:hint="eastAsia" w:ascii="微软雅黑" w:hAnsi="微软雅黑" w:eastAsia="微软雅黑"/>
                <w:b/>
                <w:kern w:val="0"/>
                <w:sz w:val="18"/>
                <w:szCs w:val="18"/>
              </w:rPr>
              <w:t>理财产品说明书、风险揭示书及客户权益须知</w:t>
            </w:r>
            <w:r>
              <w:rPr>
                <w:rFonts w:hint="eastAsia" w:ascii="微软雅黑" w:hAnsi="微软雅黑" w:eastAsia="微软雅黑" w:cs="宋体"/>
                <w:b/>
                <w:bCs/>
                <w:sz w:val="18"/>
                <w:szCs w:val="18"/>
              </w:rPr>
              <w:t>》与《瑞丰银行理财产品总协议书》、《瑞丰银行理财业务协议书》为不可分割之组成部分, 客户购买本理财产品需仔细阅读本《</w:t>
            </w:r>
            <w:r>
              <w:rPr>
                <w:rFonts w:hint="eastAsia" w:ascii="微软雅黑" w:hAnsi="微软雅黑" w:eastAsia="微软雅黑"/>
                <w:b/>
                <w:kern w:val="0"/>
                <w:sz w:val="18"/>
                <w:szCs w:val="18"/>
              </w:rPr>
              <w:t>理财产品说明书、风险揭示书及客户权益须知</w:t>
            </w:r>
            <w:r>
              <w:rPr>
                <w:rFonts w:hint="eastAsia" w:ascii="微软雅黑" w:hAnsi="微软雅黑" w:eastAsia="微软雅黑" w:cs="宋体"/>
                <w:b/>
                <w:bCs/>
                <w:sz w:val="18"/>
                <w:szCs w:val="18"/>
              </w:rPr>
              <w:t>》与《瑞丰银行理财产品总协议书》并签字确认。</w:t>
            </w:r>
          </w:p>
          <w:p>
            <w:pPr>
              <w:autoSpaceDE w:val="0"/>
              <w:autoSpaceDN w:val="0"/>
              <w:adjustRightInd w:val="0"/>
              <w:snapToGrid w:val="0"/>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3、本期人民币理财产品业绩比较基准仅供客户参考，并不作为瑞丰银行向客户支付理财收益的承诺；客户所能获得的最终收益以瑞丰银行实际支付的为准。</w:t>
            </w:r>
          </w:p>
          <w:p>
            <w:pPr>
              <w:autoSpaceDE w:val="0"/>
              <w:autoSpaceDN w:val="0"/>
              <w:adjustRightInd w:val="0"/>
              <w:snapToGrid w:val="0"/>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4、客户应密切关注瑞丰银行与本理财产品有关的信息公告，以免造成不必要的损失。</w:t>
            </w:r>
          </w:p>
          <w:p>
            <w:pPr>
              <w:autoSpaceDE w:val="0"/>
              <w:autoSpaceDN w:val="0"/>
              <w:adjustRightInd w:val="0"/>
              <w:snapToGrid w:val="0"/>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5、根据《中国银行保险监督管理委员会办公厅关于进一步做好银行理财信息登记工作有关事项的通知》的规定，客户持有理财产品期间，销售银行需持续向银行业理财登记托管中心（以下简称理财中心）报送客户身份信息及持有理财产品信息，包括但不限于客户证件号码、名称、性别、手机号码、邮箱、持有产品登记编码、持有份额、持有金额等信息。客户签署本协议书则被视为已授权销售银行向理财中心报送上述信息。通过电子渠道办理理财产品认购或申购的，一经认购或申购，则被视为已授权销售银行向理财中心报送上述信息。</w:t>
            </w:r>
          </w:p>
          <w:p>
            <w:pPr>
              <w:autoSpaceDE w:val="0"/>
              <w:autoSpaceDN w:val="0"/>
              <w:adjustRightInd w:val="0"/>
              <w:snapToGrid w:val="0"/>
              <w:spacing w:line="240" w:lineRule="exact"/>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6、本产品存续期间，我行可提供客户对账单，客户如有需求，请自行前往我行任意网点获取。</w:t>
            </w:r>
          </w:p>
          <w:p>
            <w:pPr>
              <w:autoSpaceDE w:val="0"/>
              <w:autoSpaceDN w:val="0"/>
              <w:adjustRightInd w:val="0"/>
              <w:snapToGrid w:val="0"/>
              <w:spacing w:line="240" w:lineRule="exact"/>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7、本产品说明书一式二份，银行执一份，客户执一份。</w:t>
            </w:r>
          </w:p>
          <w:p>
            <w:pPr>
              <w:spacing w:line="240" w:lineRule="exact"/>
              <w:ind w:firstLine="360" w:firstLineChars="200"/>
              <w:rPr>
                <w:rFonts w:ascii="微软雅黑" w:hAnsi="微软雅黑" w:eastAsia="微软雅黑"/>
                <w:sz w:val="18"/>
                <w:szCs w:val="18"/>
              </w:rPr>
            </w:pPr>
            <w:r>
              <w:rPr>
                <w:rFonts w:hint="eastAsia" w:ascii="微软雅黑" w:hAnsi="微软雅黑" w:eastAsia="微软雅黑" w:cs="宋体"/>
                <w:b/>
                <w:bCs/>
                <w:sz w:val="18"/>
                <w:szCs w:val="18"/>
              </w:rPr>
              <w:t>8、本理财产品说明书的最终解释权归瑞丰银行所有。</w:t>
            </w:r>
          </w:p>
        </w:tc>
      </w:tr>
    </w:tbl>
    <w:p>
      <w:pPr>
        <w:spacing w:line="240" w:lineRule="exact"/>
        <w:ind w:right="-1021" w:rightChars="-486"/>
        <w:rPr>
          <w:rFonts w:ascii="微软雅黑" w:hAnsi="微软雅黑" w:eastAsia="微软雅黑"/>
          <w:b/>
          <w:kern w:val="0"/>
          <w:szCs w:val="21"/>
        </w:rPr>
      </w:pPr>
    </w:p>
    <w:sectPr>
      <w:headerReference r:id="rId3" w:type="default"/>
      <w:footerReference r:id="rId4" w:type="default"/>
      <w:pgSz w:w="11906" w:h="16838"/>
      <w:pgMar w:top="885" w:right="1021" w:bottom="709" w:left="1134" w:header="730" w:footer="22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875"/>
        <w:tab w:val="clear" w:pos="4153"/>
        <w:tab w:val="clear" w:pos="8306"/>
      </w:tabs>
      <w:rPr>
        <w:sz w:val="13"/>
        <w:szCs w:val="13"/>
      </w:rPr>
    </w:pPr>
    <w:r>
      <w:rPr>
        <w:sz w:val="24"/>
      </w:rPr>
      <w:pict>
        <v:shape id="文本框4" o:spid="_x0000_s4097" o:spt="202" type="#_x0000_t202" style="position:absolute;left:0pt;margin-left:210pt;margin-top:4.5pt;height:13.6pt;width:55.55pt;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">
          <v:path/>
          <v:fill on="f" focussize="0,0"/>
          <v:stroke on="f" joinstyle="miter"/>
          <v:imagedata o:title=""/>
          <o:lock v:ext="edit"/>
          <v:textbox inset="0mm,0mm,0mm,0mm" style="mso-fit-shape-to-text:t;">
            <w:txbxContent>
              <w:p>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r>
                  <w:rPr>
                    <w:rFonts w:hint="eastAsia"/>
                    <w:sz w:val="18"/>
                  </w:rPr>
                  <w:t>页共</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7</w:t>
                </w:r>
                <w:r>
                  <w:rPr>
                    <w:rFonts w:hint="eastAsia"/>
                    <w:sz w:val="18"/>
                  </w:rPr>
                  <w:fldChar w:fldCharType="end"/>
                </w:r>
                <w:r>
                  <w:rPr>
                    <w:rFonts w:hint="eastAsia"/>
                    <w:sz w:val="18"/>
                  </w:rPr>
                  <w:t>页</w:t>
                </w:r>
              </w:p>
              <w:p>
                <w:pPr>
                  <w:snapToGrid w:val="0"/>
                  <w:rPr>
                    <w:sz w:val="18"/>
                  </w:rPr>
                </w:pPr>
              </w:p>
            </w:txbxContent>
          </v:textbox>
        </v:shape>
      </w:pict>
    </w:r>
    <w:r>
      <w:rPr>
        <w:rFonts w:hint="eastAsia" w:ascii="微软雅黑" w:hAnsi="微软雅黑" w:eastAsia="微软雅黑"/>
        <w:b/>
        <w:sz w:val="24"/>
      </w:rPr>
      <w:t>理财非存款、产品有风险、投资须谨慎</w:t>
    </w:r>
    <w:r>
      <w:rPr>
        <w:sz w:val="13"/>
        <w:szCs w:val="13"/>
      </w:rPr>
      <w:tab/>
    </w:r>
  </w:p>
  <w:p>
    <w:pPr>
      <w:rPr>
        <w:rFonts w:ascii="微软雅黑" w:hAnsi="微软雅黑" w:eastAsia="微软雅黑"/>
        <w:b/>
        <w:sz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r>
      <w:drawing>
        <wp:anchor distT="0" distB="0" distL="114300" distR="114300" simplePos="0" relativeHeight="251658240" behindDoc="0" locked="0" layoutInCell="1" allowOverlap="1">
          <wp:simplePos x="0" y="0"/>
          <wp:positionH relativeFrom="column">
            <wp:posOffset>5090160</wp:posOffset>
          </wp:positionH>
          <wp:positionV relativeFrom="paragraph">
            <wp:posOffset>-191135</wp:posOffset>
          </wp:positionV>
          <wp:extent cx="984250" cy="252730"/>
          <wp:effectExtent l="19050" t="0" r="6350" b="0"/>
          <wp:wrapNone/>
          <wp:docPr id="1" name="Picture 6" descr="致富理财ICON [转换]-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致富理财ICON [转换]-01"/>
                  <pic:cNvPicPr>
                    <a:picLocks noChangeAspect="1" noChangeArrowheads="1"/>
                  </pic:cNvPicPr>
                </pic:nvPicPr>
                <pic:blipFill>
                  <a:blip r:embed="rId1"/>
                  <a:srcRect l="6451" t="21858" r="6451" b="19850"/>
                  <a:stretch>
                    <a:fillRect/>
                  </a:stretch>
                </pic:blipFill>
                <pic:spPr>
                  <a:xfrm>
                    <a:off x="0" y="0"/>
                    <a:ext cx="984250" cy="252730"/>
                  </a:xfrm>
                  <a:prstGeom prst="rect">
                    <a:avLst/>
                  </a:prstGeom>
                  <a:noFill/>
                  <a:ln w="9525">
                    <a:noFill/>
                    <a:miter lim="800000"/>
                    <a:headEnd/>
                    <a:tailEnd/>
                  </a:ln>
                </pic:spPr>
              </pic:pic>
            </a:graphicData>
          </a:graphic>
        </wp:anchor>
      </w:drawing>
    </w:r>
    <w:r>
      <w:drawing>
        <wp:anchor distT="0" distB="0" distL="114300" distR="114300" simplePos="0" relativeHeight="251657216" behindDoc="0" locked="0" layoutInCell="1" allowOverlap="1">
          <wp:simplePos x="0" y="0"/>
          <wp:positionH relativeFrom="column">
            <wp:posOffset>37465</wp:posOffset>
          </wp:positionH>
          <wp:positionV relativeFrom="paragraph">
            <wp:posOffset>-220980</wp:posOffset>
          </wp:positionV>
          <wp:extent cx="1045845" cy="282575"/>
          <wp:effectExtent l="0" t="0" r="0" b="0"/>
          <wp:wrapNone/>
          <wp:docPr id="2" name="Picture 5" descr="瑞丰银行 logo - slogan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瑞丰银行 logo - slogan2-02"/>
                  <pic:cNvPicPr>
                    <a:picLocks noChangeAspect="1" noChangeArrowheads="1"/>
                  </pic:cNvPicPr>
                </pic:nvPicPr>
                <pic:blipFill>
                  <a:blip r:embed="rId2"/>
                  <a:srcRect/>
                  <a:stretch>
                    <a:fillRect/>
                  </a:stretch>
                </pic:blipFill>
                <pic:spPr>
                  <a:xfrm>
                    <a:off x="0" y="0"/>
                    <a:ext cx="1045845" cy="28257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64C"/>
    <w:rsid w:val="000129CC"/>
    <w:rsid w:val="00012AC7"/>
    <w:rsid w:val="000141EB"/>
    <w:rsid w:val="00015B83"/>
    <w:rsid w:val="000172B8"/>
    <w:rsid w:val="00017422"/>
    <w:rsid w:val="00017553"/>
    <w:rsid w:val="000203AC"/>
    <w:rsid w:val="00025EFE"/>
    <w:rsid w:val="000320E7"/>
    <w:rsid w:val="0003558E"/>
    <w:rsid w:val="00035F4E"/>
    <w:rsid w:val="000361D0"/>
    <w:rsid w:val="000435BF"/>
    <w:rsid w:val="00045FA5"/>
    <w:rsid w:val="00054D81"/>
    <w:rsid w:val="000574F9"/>
    <w:rsid w:val="000575D4"/>
    <w:rsid w:val="000579DD"/>
    <w:rsid w:val="00062C12"/>
    <w:rsid w:val="000630D8"/>
    <w:rsid w:val="00063B27"/>
    <w:rsid w:val="0006738A"/>
    <w:rsid w:val="00072974"/>
    <w:rsid w:val="0007495D"/>
    <w:rsid w:val="000771E4"/>
    <w:rsid w:val="00081288"/>
    <w:rsid w:val="000856AB"/>
    <w:rsid w:val="000861A6"/>
    <w:rsid w:val="00086373"/>
    <w:rsid w:val="00093994"/>
    <w:rsid w:val="0009478C"/>
    <w:rsid w:val="00096A92"/>
    <w:rsid w:val="000A1B1B"/>
    <w:rsid w:val="000A7190"/>
    <w:rsid w:val="000A723C"/>
    <w:rsid w:val="000A7C0A"/>
    <w:rsid w:val="000B0D3B"/>
    <w:rsid w:val="000B0F94"/>
    <w:rsid w:val="000B151E"/>
    <w:rsid w:val="000B1F37"/>
    <w:rsid w:val="000B4AD6"/>
    <w:rsid w:val="000B67B5"/>
    <w:rsid w:val="000B6ADA"/>
    <w:rsid w:val="000C077F"/>
    <w:rsid w:val="000E0702"/>
    <w:rsid w:val="000E3850"/>
    <w:rsid w:val="000E47B5"/>
    <w:rsid w:val="000E5115"/>
    <w:rsid w:val="000E6F28"/>
    <w:rsid w:val="000F3696"/>
    <w:rsid w:val="000F3D79"/>
    <w:rsid w:val="001024A7"/>
    <w:rsid w:val="00104412"/>
    <w:rsid w:val="00105B6A"/>
    <w:rsid w:val="001133E9"/>
    <w:rsid w:val="00115793"/>
    <w:rsid w:val="001164D0"/>
    <w:rsid w:val="00116C5D"/>
    <w:rsid w:val="00123005"/>
    <w:rsid w:val="00130BB2"/>
    <w:rsid w:val="00131995"/>
    <w:rsid w:val="001320F7"/>
    <w:rsid w:val="00132C83"/>
    <w:rsid w:val="00132E18"/>
    <w:rsid w:val="001354BA"/>
    <w:rsid w:val="00136C2D"/>
    <w:rsid w:val="0014124D"/>
    <w:rsid w:val="0014587F"/>
    <w:rsid w:val="00145E52"/>
    <w:rsid w:val="00152992"/>
    <w:rsid w:val="0015404F"/>
    <w:rsid w:val="00157366"/>
    <w:rsid w:val="001600C7"/>
    <w:rsid w:val="00162200"/>
    <w:rsid w:val="0016336E"/>
    <w:rsid w:val="00171065"/>
    <w:rsid w:val="00172A27"/>
    <w:rsid w:val="00173E2D"/>
    <w:rsid w:val="00183977"/>
    <w:rsid w:val="00185B23"/>
    <w:rsid w:val="0019530C"/>
    <w:rsid w:val="00196182"/>
    <w:rsid w:val="001A1545"/>
    <w:rsid w:val="001A5221"/>
    <w:rsid w:val="001B0603"/>
    <w:rsid w:val="001B3720"/>
    <w:rsid w:val="001C0170"/>
    <w:rsid w:val="001C1B53"/>
    <w:rsid w:val="001C54C3"/>
    <w:rsid w:val="001C6B2C"/>
    <w:rsid w:val="001C7526"/>
    <w:rsid w:val="001D1038"/>
    <w:rsid w:val="001D1B5C"/>
    <w:rsid w:val="001D46AA"/>
    <w:rsid w:val="001D4F7E"/>
    <w:rsid w:val="001D71DF"/>
    <w:rsid w:val="001D7489"/>
    <w:rsid w:val="001D7CD0"/>
    <w:rsid w:val="001E3F05"/>
    <w:rsid w:val="001F4791"/>
    <w:rsid w:val="001F61D1"/>
    <w:rsid w:val="001F6404"/>
    <w:rsid w:val="001F713F"/>
    <w:rsid w:val="00201CAE"/>
    <w:rsid w:val="00202BF6"/>
    <w:rsid w:val="002104CF"/>
    <w:rsid w:val="002113B3"/>
    <w:rsid w:val="002167CA"/>
    <w:rsid w:val="0021785C"/>
    <w:rsid w:val="00221A4C"/>
    <w:rsid w:val="0022303C"/>
    <w:rsid w:val="00237AEF"/>
    <w:rsid w:val="00240023"/>
    <w:rsid w:val="00243E08"/>
    <w:rsid w:val="002441AC"/>
    <w:rsid w:val="00250E0F"/>
    <w:rsid w:val="002573A4"/>
    <w:rsid w:val="00264CB4"/>
    <w:rsid w:val="00265FCD"/>
    <w:rsid w:val="00266EBE"/>
    <w:rsid w:val="00267EA1"/>
    <w:rsid w:val="00271876"/>
    <w:rsid w:val="002764F6"/>
    <w:rsid w:val="002837CE"/>
    <w:rsid w:val="002941AD"/>
    <w:rsid w:val="00295587"/>
    <w:rsid w:val="002A180B"/>
    <w:rsid w:val="002A23DC"/>
    <w:rsid w:val="002B369C"/>
    <w:rsid w:val="002B4E8E"/>
    <w:rsid w:val="002C051C"/>
    <w:rsid w:val="002C3B1C"/>
    <w:rsid w:val="002D1128"/>
    <w:rsid w:val="002D2D52"/>
    <w:rsid w:val="002D35C5"/>
    <w:rsid w:val="002D4C08"/>
    <w:rsid w:val="002D708A"/>
    <w:rsid w:val="002E079B"/>
    <w:rsid w:val="002E2883"/>
    <w:rsid w:val="002E7346"/>
    <w:rsid w:val="002F158F"/>
    <w:rsid w:val="00301B23"/>
    <w:rsid w:val="0030234A"/>
    <w:rsid w:val="00305F21"/>
    <w:rsid w:val="003065ED"/>
    <w:rsid w:val="00306ADA"/>
    <w:rsid w:val="003174B4"/>
    <w:rsid w:val="0032056E"/>
    <w:rsid w:val="003268EA"/>
    <w:rsid w:val="003305DE"/>
    <w:rsid w:val="00331201"/>
    <w:rsid w:val="00340FF5"/>
    <w:rsid w:val="00342566"/>
    <w:rsid w:val="00346A05"/>
    <w:rsid w:val="00351FE3"/>
    <w:rsid w:val="00355F3A"/>
    <w:rsid w:val="003615F4"/>
    <w:rsid w:val="00361EC5"/>
    <w:rsid w:val="00377146"/>
    <w:rsid w:val="003832A1"/>
    <w:rsid w:val="003858E7"/>
    <w:rsid w:val="003936D8"/>
    <w:rsid w:val="00396A78"/>
    <w:rsid w:val="003B7C78"/>
    <w:rsid w:val="003C52B9"/>
    <w:rsid w:val="003C5610"/>
    <w:rsid w:val="003D497B"/>
    <w:rsid w:val="003E0BCD"/>
    <w:rsid w:val="003E24AB"/>
    <w:rsid w:val="003E30FF"/>
    <w:rsid w:val="003E3A75"/>
    <w:rsid w:val="003E4672"/>
    <w:rsid w:val="003E56C7"/>
    <w:rsid w:val="003E64D4"/>
    <w:rsid w:val="003E7F73"/>
    <w:rsid w:val="003F2795"/>
    <w:rsid w:val="003F4C7B"/>
    <w:rsid w:val="003F59B7"/>
    <w:rsid w:val="004075B5"/>
    <w:rsid w:val="00412FB7"/>
    <w:rsid w:val="00413E2F"/>
    <w:rsid w:val="004163FF"/>
    <w:rsid w:val="004166D5"/>
    <w:rsid w:val="00417CB0"/>
    <w:rsid w:val="00420413"/>
    <w:rsid w:val="004212F0"/>
    <w:rsid w:val="0042402D"/>
    <w:rsid w:val="004240E1"/>
    <w:rsid w:val="004265DD"/>
    <w:rsid w:val="00430D3E"/>
    <w:rsid w:val="00431B6A"/>
    <w:rsid w:val="00440166"/>
    <w:rsid w:val="004406A7"/>
    <w:rsid w:val="004423A9"/>
    <w:rsid w:val="004426D2"/>
    <w:rsid w:val="0044379E"/>
    <w:rsid w:val="00444DC7"/>
    <w:rsid w:val="00446738"/>
    <w:rsid w:val="0045235F"/>
    <w:rsid w:val="00454A5B"/>
    <w:rsid w:val="004553E1"/>
    <w:rsid w:val="00457AEE"/>
    <w:rsid w:val="0046603C"/>
    <w:rsid w:val="00467334"/>
    <w:rsid w:val="004679BE"/>
    <w:rsid w:val="0047096E"/>
    <w:rsid w:val="00472A5F"/>
    <w:rsid w:val="00476154"/>
    <w:rsid w:val="004771BF"/>
    <w:rsid w:val="004844DF"/>
    <w:rsid w:val="004905F6"/>
    <w:rsid w:val="0049241D"/>
    <w:rsid w:val="004946DF"/>
    <w:rsid w:val="00497A44"/>
    <w:rsid w:val="004A3622"/>
    <w:rsid w:val="004A7394"/>
    <w:rsid w:val="004B182E"/>
    <w:rsid w:val="004B4F94"/>
    <w:rsid w:val="004B5635"/>
    <w:rsid w:val="004C186D"/>
    <w:rsid w:val="004C7103"/>
    <w:rsid w:val="004C71BE"/>
    <w:rsid w:val="004D0949"/>
    <w:rsid w:val="004D0F74"/>
    <w:rsid w:val="004D3E02"/>
    <w:rsid w:val="004E1951"/>
    <w:rsid w:val="004E27FB"/>
    <w:rsid w:val="004E6B53"/>
    <w:rsid w:val="004F2697"/>
    <w:rsid w:val="005008B4"/>
    <w:rsid w:val="00502E4F"/>
    <w:rsid w:val="00505D79"/>
    <w:rsid w:val="00510413"/>
    <w:rsid w:val="005217D7"/>
    <w:rsid w:val="00523647"/>
    <w:rsid w:val="00533732"/>
    <w:rsid w:val="00534797"/>
    <w:rsid w:val="00537E62"/>
    <w:rsid w:val="00544586"/>
    <w:rsid w:val="00555693"/>
    <w:rsid w:val="00557694"/>
    <w:rsid w:val="00566CDC"/>
    <w:rsid w:val="005700D1"/>
    <w:rsid w:val="005774B4"/>
    <w:rsid w:val="00581A11"/>
    <w:rsid w:val="00583E4D"/>
    <w:rsid w:val="00584217"/>
    <w:rsid w:val="00586B7A"/>
    <w:rsid w:val="0059563A"/>
    <w:rsid w:val="005A4B3E"/>
    <w:rsid w:val="005B0444"/>
    <w:rsid w:val="005B1465"/>
    <w:rsid w:val="005B1681"/>
    <w:rsid w:val="005B1920"/>
    <w:rsid w:val="005B3856"/>
    <w:rsid w:val="005B3C3B"/>
    <w:rsid w:val="005B5C6A"/>
    <w:rsid w:val="005B61BF"/>
    <w:rsid w:val="005C0C34"/>
    <w:rsid w:val="005C14F0"/>
    <w:rsid w:val="005C73D4"/>
    <w:rsid w:val="005D04BA"/>
    <w:rsid w:val="005D380A"/>
    <w:rsid w:val="005D42D1"/>
    <w:rsid w:val="005D4301"/>
    <w:rsid w:val="005D6742"/>
    <w:rsid w:val="005E50A5"/>
    <w:rsid w:val="005E5BBA"/>
    <w:rsid w:val="005E67DB"/>
    <w:rsid w:val="005F2031"/>
    <w:rsid w:val="005F29CD"/>
    <w:rsid w:val="005F2DFA"/>
    <w:rsid w:val="00600599"/>
    <w:rsid w:val="00600F88"/>
    <w:rsid w:val="00601307"/>
    <w:rsid w:val="00606542"/>
    <w:rsid w:val="00607154"/>
    <w:rsid w:val="0062148E"/>
    <w:rsid w:val="00624AF6"/>
    <w:rsid w:val="00626F8D"/>
    <w:rsid w:val="00627B4E"/>
    <w:rsid w:val="00631112"/>
    <w:rsid w:val="00631552"/>
    <w:rsid w:val="00631904"/>
    <w:rsid w:val="00633B63"/>
    <w:rsid w:val="00635AB2"/>
    <w:rsid w:val="0063670C"/>
    <w:rsid w:val="006429BD"/>
    <w:rsid w:val="00643251"/>
    <w:rsid w:val="00643FF3"/>
    <w:rsid w:val="006450FF"/>
    <w:rsid w:val="00647763"/>
    <w:rsid w:val="00652709"/>
    <w:rsid w:val="0065570B"/>
    <w:rsid w:val="00655928"/>
    <w:rsid w:val="0066064E"/>
    <w:rsid w:val="00661305"/>
    <w:rsid w:val="006654D6"/>
    <w:rsid w:val="0066560B"/>
    <w:rsid w:val="00666E4B"/>
    <w:rsid w:val="0066780A"/>
    <w:rsid w:val="0067281A"/>
    <w:rsid w:val="00673C9A"/>
    <w:rsid w:val="006756C8"/>
    <w:rsid w:val="006801B8"/>
    <w:rsid w:val="006818A2"/>
    <w:rsid w:val="00691A0C"/>
    <w:rsid w:val="00693004"/>
    <w:rsid w:val="00693671"/>
    <w:rsid w:val="006A3BC6"/>
    <w:rsid w:val="006A40AB"/>
    <w:rsid w:val="006B41EB"/>
    <w:rsid w:val="006B5455"/>
    <w:rsid w:val="006B5777"/>
    <w:rsid w:val="006C03E6"/>
    <w:rsid w:val="006C0E0B"/>
    <w:rsid w:val="006C28E0"/>
    <w:rsid w:val="006C6520"/>
    <w:rsid w:val="006C7F85"/>
    <w:rsid w:val="006D0C93"/>
    <w:rsid w:val="006E1791"/>
    <w:rsid w:val="006E54DC"/>
    <w:rsid w:val="006E72D9"/>
    <w:rsid w:val="006F08F1"/>
    <w:rsid w:val="00701F94"/>
    <w:rsid w:val="00712F8F"/>
    <w:rsid w:val="0071487E"/>
    <w:rsid w:val="00720CE2"/>
    <w:rsid w:val="007221F9"/>
    <w:rsid w:val="00724D61"/>
    <w:rsid w:val="007263C1"/>
    <w:rsid w:val="00726553"/>
    <w:rsid w:val="007318F7"/>
    <w:rsid w:val="0073248B"/>
    <w:rsid w:val="00732E94"/>
    <w:rsid w:val="00734966"/>
    <w:rsid w:val="00741129"/>
    <w:rsid w:val="00741D39"/>
    <w:rsid w:val="00744ABA"/>
    <w:rsid w:val="00747884"/>
    <w:rsid w:val="00750874"/>
    <w:rsid w:val="007553DC"/>
    <w:rsid w:val="00757929"/>
    <w:rsid w:val="00757E9C"/>
    <w:rsid w:val="007613C9"/>
    <w:rsid w:val="00762F1E"/>
    <w:rsid w:val="00764579"/>
    <w:rsid w:val="00765772"/>
    <w:rsid w:val="00766863"/>
    <w:rsid w:val="00772B03"/>
    <w:rsid w:val="00774863"/>
    <w:rsid w:val="007770A5"/>
    <w:rsid w:val="007813E9"/>
    <w:rsid w:val="00783AF5"/>
    <w:rsid w:val="007840AF"/>
    <w:rsid w:val="00785D30"/>
    <w:rsid w:val="007875B7"/>
    <w:rsid w:val="00787DBB"/>
    <w:rsid w:val="00791B28"/>
    <w:rsid w:val="007A2D40"/>
    <w:rsid w:val="007A4A9B"/>
    <w:rsid w:val="007A5F44"/>
    <w:rsid w:val="007A629E"/>
    <w:rsid w:val="007B0058"/>
    <w:rsid w:val="007C0AE9"/>
    <w:rsid w:val="007C0E75"/>
    <w:rsid w:val="007C480C"/>
    <w:rsid w:val="007D024A"/>
    <w:rsid w:val="007D37B7"/>
    <w:rsid w:val="007D3B77"/>
    <w:rsid w:val="007D607D"/>
    <w:rsid w:val="007D6748"/>
    <w:rsid w:val="007E62E4"/>
    <w:rsid w:val="007E682D"/>
    <w:rsid w:val="007E6AA4"/>
    <w:rsid w:val="007F25D6"/>
    <w:rsid w:val="007F301A"/>
    <w:rsid w:val="007F4CB1"/>
    <w:rsid w:val="007F4FED"/>
    <w:rsid w:val="007F6AB9"/>
    <w:rsid w:val="00800B96"/>
    <w:rsid w:val="008023A4"/>
    <w:rsid w:val="008071D2"/>
    <w:rsid w:val="008116F7"/>
    <w:rsid w:val="008124AA"/>
    <w:rsid w:val="00812AC9"/>
    <w:rsid w:val="00814D83"/>
    <w:rsid w:val="00814E8D"/>
    <w:rsid w:val="00815FA0"/>
    <w:rsid w:val="008202BD"/>
    <w:rsid w:val="00822638"/>
    <w:rsid w:val="00824BD9"/>
    <w:rsid w:val="00825259"/>
    <w:rsid w:val="0082583A"/>
    <w:rsid w:val="008276C7"/>
    <w:rsid w:val="00833A42"/>
    <w:rsid w:val="00841E7D"/>
    <w:rsid w:val="00842BC9"/>
    <w:rsid w:val="00845C0F"/>
    <w:rsid w:val="008461F2"/>
    <w:rsid w:val="008528F1"/>
    <w:rsid w:val="00852CD1"/>
    <w:rsid w:val="00857B76"/>
    <w:rsid w:val="0086102B"/>
    <w:rsid w:val="00871018"/>
    <w:rsid w:val="00874B22"/>
    <w:rsid w:val="008807B9"/>
    <w:rsid w:val="0088335F"/>
    <w:rsid w:val="0088375C"/>
    <w:rsid w:val="008838E7"/>
    <w:rsid w:val="008915F9"/>
    <w:rsid w:val="00893EC6"/>
    <w:rsid w:val="00893FEC"/>
    <w:rsid w:val="00894D0F"/>
    <w:rsid w:val="00897047"/>
    <w:rsid w:val="008A1196"/>
    <w:rsid w:val="008A1B32"/>
    <w:rsid w:val="008A2007"/>
    <w:rsid w:val="008A342D"/>
    <w:rsid w:val="008A779F"/>
    <w:rsid w:val="008B2B2D"/>
    <w:rsid w:val="008C1EB3"/>
    <w:rsid w:val="008C6E11"/>
    <w:rsid w:val="008C72F3"/>
    <w:rsid w:val="008C73DA"/>
    <w:rsid w:val="008D6876"/>
    <w:rsid w:val="008D7880"/>
    <w:rsid w:val="008E2518"/>
    <w:rsid w:val="008E4CA0"/>
    <w:rsid w:val="008E5034"/>
    <w:rsid w:val="008E5834"/>
    <w:rsid w:val="008E614C"/>
    <w:rsid w:val="008F2654"/>
    <w:rsid w:val="008F4F6D"/>
    <w:rsid w:val="008F61D6"/>
    <w:rsid w:val="008F6CAE"/>
    <w:rsid w:val="0090235B"/>
    <w:rsid w:val="00915EA7"/>
    <w:rsid w:val="00917859"/>
    <w:rsid w:val="009210C8"/>
    <w:rsid w:val="009258C7"/>
    <w:rsid w:val="009262FF"/>
    <w:rsid w:val="00927C8A"/>
    <w:rsid w:val="00932179"/>
    <w:rsid w:val="00933C89"/>
    <w:rsid w:val="0093668A"/>
    <w:rsid w:val="00947CE7"/>
    <w:rsid w:val="00951B87"/>
    <w:rsid w:val="00951E3D"/>
    <w:rsid w:val="009530C1"/>
    <w:rsid w:val="00953397"/>
    <w:rsid w:val="00953E15"/>
    <w:rsid w:val="00955990"/>
    <w:rsid w:val="00966A42"/>
    <w:rsid w:val="0096770F"/>
    <w:rsid w:val="0097080B"/>
    <w:rsid w:val="0097092C"/>
    <w:rsid w:val="00971261"/>
    <w:rsid w:val="00981279"/>
    <w:rsid w:val="009823F2"/>
    <w:rsid w:val="00990C2F"/>
    <w:rsid w:val="009910A3"/>
    <w:rsid w:val="00995027"/>
    <w:rsid w:val="009A54EB"/>
    <w:rsid w:val="009A796C"/>
    <w:rsid w:val="009A7AEC"/>
    <w:rsid w:val="009B2170"/>
    <w:rsid w:val="009B2C6B"/>
    <w:rsid w:val="009B71B4"/>
    <w:rsid w:val="009B72B1"/>
    <w:rsid w:val="009C020A"/>
    <w:rsid w:val="009C026F"/>
    <w:rsid w:val="009C0273"/>
    <w:rsid w:val="009C33B9"/>
    <w:rsid w:val="009C5F5F"/>
    <w:rsid w:val="009C7B71"/>
    <w:rsid w:val="009D0072"/>
    <w:rsid w:val="009D00C9"/>
    <w:rsid w:val="009E49FF"/>
    <w:rsid w:val="009E4ED9"/>
    <w:rsid w:val="009E702F"/>
    <w:rsid w:val="009F0C04"/>
    <w:rsid w:val="009F132F"/>
    <w:rsid w:val="009F3639"/>
    <w:rsid w:val="00A04EF0"/>
    <w:rsid w:val="00A110C0"/>
    <w:rsid w:val="00A116E1"/>
    <w:rsid w:val="00A119E8"/>
    <w:rsid w:val="00A121DE"/>
    <w:rsid w:val="00A13056"/>
    <w:rsid w:val="00A1395B"/>
    <w:rsid w:val="00A16C78"/>
    <w:rsid w:val="00A21AB1"/>
    <w:rsid w:val="00A21FDC"/>
    <w:rsid w:val="00A259C7"/>
    <w:rsid w:val="00A3208B"/>
    <w:rsid w:val="00A355A3"/>
    <w:rsid w:val="00A3590E"/>
    <w:rsid w:val="00A36BE0"/>
    <w:rsid w:val="00A40B09"/>
    <w:rsid w:val="00A52429"/>
    <w:rsid w:val="00A57452"/>
    <w:rsid w:val="00A61738"/>
    <w:rsid w:val="00A62687"/>
    <w:rsid w:val="00A63CBA"/>
    <w:rsid w:val="00A703F8"/>
    <w:rsid w:val="00A7403E"/>
    <w:rsid w:val="00A77156"/>
    <w:rsid w:val="00A80571"/>
    <w:rsid w:val="00A84971"/>
    <w:rsid w:val="00A84A64"/>
    <w:rsid w:val="00A85F69"/>
    <w:rsid w:val="00A86053"/>
    <w:rsid w:val="00A87D87"/>
    <w:rsid w:val="00A96B6C"/>
    <w:rsid w:val="00AA08F8"/>
    <w:rsid w:val="00AA5CC9"/>
    <w:rsid w:val="00AB0BDC"/>
    <w:rsid w:val="00AB5409"/>
    <w:rsid w:val="00AB79A6"/>
    <w:rsid w:val="00AC2FCB"/>
    <w:rsid w:val="00AC6675"/>
    <w:rsid w:val="00AC68CD"/>
    <w:rsid w:val="00AD37DC"/>
    <w:rsid w:val="00AD45E1"/>
    <w:rsid w:val="00AE0B77"/>
    <w:rsid w:val="00AF0604"/>
    <w:rsid w:val="00AF5231"/>
    <w:rsid w:val="00B01312"/>
    <w:rsid w:val="00B015EA"/>
    <w:rsid w:val="00B04158"/>
    <w:rsid w:val="00B04858"/>
    <w:rsid w:val="00B0744A"/>
    <w:rsid w:val="00B11044"/>
    <w:rsid w:val="00B110F8"/>
    <w:rsid w:val="00B162BC"/>
    <w:rsid w:val="00B16C4D"/>
    <w:rsid w:val="00B20029"/>
    <w:rsid w:val="00B21ACF"/>
    <w:rsid w:val="00B22777"/>
    <w:rsid w:val="00B26CBD"/>
    <w:rsid w:val="00B31211"/>
    <w:rsid w:val="00B3131A"/>
    <w:rsid w:val="00B333CB"/>
    <w:rsid w:val="00B36492"/>
    <w:rsid w:val="00B36F5A"/>
    <w:rsid w:val="00B40986"/>
    <w:rsid w:val="00B42AEF"/>
    <w:rsid w:val="00B42C2A"/>
    <w:rsid w:val="00B44428"/>
    <w:rsid w:val="00B44EE8"/>
    <w:rsid w:val="00B45C5F"/>
    <w:rsid w:val="00B5055F"/>
    <w:rsid w:val="00B5220C"/>
    <w:rsid w:val="00B57E42"/>
    <w:rsid w:val="00B62E86"/>
    <w:rsid w:val="00B67A9E"/>
    <w:rsid w:val="00B771A3"/>
    <w:rsid w:val="00B82673"/>
    <w:rsid w:val="00B85143"/>
    <w:rsid w:val="00B90184"/>
    <w:rsid w:val="00B901E9"/>
    <w:rsid w:val="00B91C38"/>
    <w:rsid w:val="00B938A4"/>
    <w:rsid w:val="00B96828"/>
    <w:rsid w:val="00BA0A2E"/>
    <w:rsid w:val="00BA39D4"/>
    <w:rsid w:val="00BB6313"/>
    <w:rsid w:val="00BB700C"/>
    <w:rsid w:val="00BC107C"/>
    <w:rsid w:val="00BC11C7"/>
    <w:rsid w:val="00BC1C0A"/>
    <w:rsid w:val="00BC4727"/>
    <w:rsid w:val="00BC54D2"/>
    <w:rsid w:val="00BD1EB8"/>
    <w:rsid w:val="00BE01AC"/>
    <w:rsid w:val="00BE0E4A"/>
    <w:rsid w:val="00BF1B2C"/>
    <w:rsid w:val="00BF2102"/>
    <w:rsid w:val="00BF2DD6"/>
    <w:rsid w:val="00BF4E5F"/>
    <w:rsid w:val="00BF7029"/>
    <w:rsid w:val="00C02042"/>
    <w:rsid w:val="00C0217C"/>
    <w:rsid w:val="00C03E8B"/>
    <w:rsid w:val="00C06770"/>
    <w:rsid w:val="00C07F92"/>
    <w:rsid w:val="00C16D4E"/>
    <w:rsid w:val="00C20793"/>
    <w:rsid w:val="00C23915"/>
    <w:rsid w:val="00C267E5"/>
    <w:rsid w:val="00C33C0C"/>
    <w:rsid w:val="00C34A58"/>
    <w:rsid w:val="00C353AD"/>
    <w:rsid w:val="00C35D00"/>
    <w:rsid w:val="00C40287"/>
    <w:rsid w:val="00C40531"/>
    <w:rsid w:val="00C42F48"/>
    <w:rsid w:val="00C45CAD"/>
    <w:rsid w:val="00C471EC"/>
    <w:rsid w:val="00C475F6"/>
    <w:rsid w:val="00C479F1"/>
    <w:rsid w:val="00C53B32"/>
    <w:rsid w:val="00C56219"/>
    <w:rsid w:val="00C63365"/>
    <w:rsid w:val="00C637A6"/>
    <w:rsid w:val="00C67BFB"/>
    <w:rsid w:val="00C70D12"/>
    <w:rsid w:val="00C721FA"/>
    <w:rsid w:val="00C8015F"/>
    <w:rsid w:val="00C826A8"/>
    <w:rsid w:val="00C85C34"/>
    <w:rsid w:val="00C93964"/>
    <w:rsid w:val="00C95CD1"/>
    <w:rsid w:val="00CA1CEF"/>
    <w:rsid w:val="00CA6897"/>
    <w:rsid w:val="00CB31A7"/>
    <w:rsid w:val="00CB4136"/>
    <w:rsid w:val="00CC23A5"/>
    <w:rsid w:val="00CC4104"/>
    <w:rsid w:val="00CC4BFD"/>
    <w:rsid w:val="00CC75A0"/>
    <w:rsid w:val="00CD25DB"/>
    <w:rsid w:val="00CE043C"/>
    <w:rsid w:val="00CF2630"/>
    <w:rsid w:val="00CF30ED"/>
    <w:rsid w:val="00D00F5A"/>
    <w:rsid w:val="00D03F23"/>
    <w:rsid w:val="00D04040"/>
    <w:rsid w:val="00D13E79"/>
    <w:rsid w:val="00D14DE6"/>
    <w:rsid w:val="00D16A17"/>
    <w:rsid w:val="00D16A64"/>
    <w:rsid w:val="00D1726F"/>
    <w:rsid w:val="00D177D1"/>
    <w:rsid w:val="00D17F0A"/>
    <w:rsid w:val="00D2272F"/>
    <w:rsid w:val="00D237A5"/>
    <w:rsid w:val="00D25914"/>
    <w:rsid w:val="00D27809"/>
    <w:rsid w:val="00D3378F"/>
    <w:rsid w:val="00D36D57"/>
    <w:rsid w:val="00D5061A"/>
    <w:rsid w:val="00D51B8A"/>
    <w:rsid w:val="00D534C5"/>
    <w:rsid w:val="00D57255"/>
    <w:rsid w:val="00D6144B"/>
    <w:rsid w:val="00D64361"/>
    <w:rsid w:val="00D64DEB"/>
    <w:rsid w:val="00D65244"/>
    <w:rsid w:val="00D712A0"/>
    <w:rsid w:val="00D75F64"/>
    <w:rsid w:val="00D843E5"/>
    <w:rsid w:val="00D875E4"/>
    <w:rsid w:val="00D96B49"/>
    <w:rsid w:val="00D97581"/>
    <w:rsid w:val="00DA3CBE"/>
    <w:rsid w:val="00DC036F"/>
    <w:rsid w:val="00DC18DD"/>
    <w:rsid w:val="00DC4B37"/>
    <w:rsid w:val="00DC7652"/>
    <w:rsid w:val="00DD1338"/>
    <w:rsid w:val="00DD1980"/>
    <w:rsid w:val="00DD4E11"/>
    <w:rsid w:val="00DD78A7"/>
    <w:rsid w:val="00DE3924"/>
    <w:rsid w:val="00DE4701"/>
    <w:rsid w:val="00DF02DB"/>
    <w:rsid w:val="00DF0C36"/>
    <w:rsid w:val="00E0255B"/>
    <w:rsid w:val="00E02D46"/>
    <w:rsid w:val="00E05C39"/>
    <w:rsid w:val="00E06722"/>
    <w:rsid w:val="00E12740"/>
    <w:rsid w:val="00E137AC"/>
    <w:rsid w:val="00E14ED9"/>
    <w:rsid w:val="00E159F8"/>
    <w:rsid w:val="00E27210"/>
    <w:rsid w:val="00E30797"/>
    <w:rsid w:val="00E30A2D"/>
    <w:rsid w:val="00E31D41"/>
    <w:rsid w:val="00E3363A"/>
    <w:rsid w:val="00E362D8"/>
    <w:rsid w:val="00E37747"/>
    <w:rsid w:val="00E54DC8"/>
    <w:rsid w:val="00E551FF"/>
    <w:rsid w:val="00E601D8"/>
    <w:rsid w:val="00E657B1"/>
    <w:rsid w:val="00E6722F"/>
    <w:rsid w:val="00E715F5"/>
    <w:rsid w:val="00E74069"/>
    <w:rsid w:val="00E757E2"/>
    <w:rsid w:val="00E7722F"/>
    <w:rsid w:val="00E87746"/>
    <w:rsid w:val="00E91CF4"/>
    <w:rsid w:val="00E91FE7"/>
    <w:rsid w:val="00E94509"/>
    <w:rsid w:val="00E95E81"/>
    <w:rsid w:val="00E96FD0"/>
    <w:rsid w:val="00EB5B96"/>
    <w:rsid w:val="00EB77A1"/>
    <w:rsid w:val="00EC5001"/>
    <w:rsid w:val="00ED68A5"/>
    <w:rsid w:val="00ED6B06"/>
    <w:rsid w:val="00EE4CC6"/>
    <w:rsid w:val="00EE6900"/>
    <w:rsid w:val="00EF0777"/>
    <w:rsid w:val="00F009E4"/>
    <w:rsid w:val="00F04B01"/>
    <w:rsid w:val="00F05B83"/>
    <w:rsid w:val="00F05F47"/>
    <w:rsid w:val="00F10CA4"/>
    <w:rsid w:val="00F11501"/>
    <w:rsid w:val="00F179C3"/>
    <w:rsid w:val="00F203DF"/>
    <w:rsid w:val="00F330E4"/>
    <w:rsid w:val="00F34818"/>
    <w:rsid w:val="00F35DD8"/>
    <w:rsid w:val="00F372FC"/>
    <w:rsid w:val="00F41BE7"/>
    <w:rsid w:val="00F4243A"/>
    <w:rsid w:val="00F44F80"/>
    <w:rsid w:val="00F469C5"/>
    <w:rsid w:val="00F472E2"/>
    <w:rsid w:val="00F476C7"/>
    <w:rsid w:val="00F562B3"/>
    <w:rsid w:val="00F63077"/>
    <w:rsid w:val="00F64212"/>
    <w:rsid w:val="00F65416"/>
    <w:rsid w:val="00F66910"/>
    <w:rsid w:val="00F72D1A"/>
    <w:rsid w:val="00F7656E"/>
    <w:rsid w:val="00F768B8"/>
    <w:rsid w:val="00F773E8"/>
    <w:rsid w:val="00F8030B"/>
    <w:rsid w:val="00F823E1"/>
    <w:rsid w:val="00F83DCB"/>
    <w:rsid w:val="00F85FC3"/>
    <w:rsid w:val="00F94886"/>
    <w:rsid w:val="00F94D28"/>
    <w:rsid w:val="00F94E0F"/>
    <w:rsid w:val="00F96788"/>
    <w:rsid w:val="00F96B95"/>
    <w:rsid w:val="00FA04C8"/>
    <w:rsid w:val="00FB4B45"/>
    <w:rsid w:val="00FB71D0"/>
    <w:rsid w:val="00FC313D"/>
    <w:rsid w:val="00FC6BAF"/>
    <w:rsid w:val="00FC72AA"/>
    <w:rsid w:val="00FD0415"/>
    <w:rsid w:val="00FD0DD8"/>
    <w:rsid w:val="00FD1F2A"/>
    <w:rsid w:val="00FD26AF"/>
    <w:rsid w:val="00FE50D3"/>
    <w:rsid w:val="00FF2289"/>
    <w:rsid w:val="00FF3839"/>
    <w:rsid w:val="00FF3E8F"/>
    <w:rsid w:val="014B6419"/>
    <w:rsid w:val="031903A3"/>
    <w:rsid w:val="04671845"/>
    <w:rsid w:val="053750B3"/>
    <w:rsid w:val="059C33CB"/>
    <w:rsid w:val="072A3FFF"/>
    <w:rsid w:val="1135003D"/>
    <w:rsid w:val="14060371"/>
    <w:rsid w:val="142D17D6"/>
    <w:rsid w:val="14316491"/>
    <w:rsid w:val="18FE5016"/>
    <w:rsid w:val="195D3D41"/>
    <w:rsid w:val="1BC55837"/>
    <w:rsid w:val="1BD04299"/>
    <w:rsid w:val="1E833E1B"/>
    <w:rsid w:val="1EB661DA"/>
    <w:rsid w:val="20695C0F"/>
    <w:rsid w:val="208C5A76"/>
    <w:rsid w:val="21002657"/>
    <w:rsid w:val="227939C9"/>
    <w:rsid w:val="254D350C"/>
    <w:rsid w:val="2CD32A29"/>
    <w:rsid w:val="2ED65C98"/>
    <w:rsid w:val="2EF94D7E"/>
    <w:rsid w:val="34B2626A"/>
    <w:rsid w:val="36044C83"/>
    <w:rsid w:val="36294A47"/>
    <w:rsid w:val="375D320E"/>
    <w:rsid w:val="397A4AC8"/>
    <w:rsid w:val="3A5D5B63"/>
    <w:rsid w:val="3A8A1A85"/>
    <w:rsid w:val="3C927ECC"/>
    <w:rsid w:val="3D593CE1"/>
    <w:rsid w:val="3E3D5B0E"/>
    <w:rsid w:val="3EB66509"/>
    <w:rsid w:val="406F2DFC"/>
    <w:rsid w:val="40E2600E"/>
    <w:rsid w:val="42286CEC"/>
    <w:rsid w:val="422E182B"/>
    <w:rsid w:val="428D5B68"/>
    <w:rsid w:val="429E0300"/>
    <w:rsid w:val="43077F94"/>
    <w:rsid w:val="475E2F08"/>
    <w:rsid w:val="48160413"/>
    <w:rsid w:val="491B37C3"/>
    <w:rsid w:val="4C8F7309"/>
    <w:rsid w:val="4D787FC2"/>
    <w:rsid w:val="4DA52700"/>
    <w:rsid w:val="4DD07EF0"/>
    <w:rsid w:val="4EEC332F"/>
    <w:rsid w:val="4FF16110"/>
    <w:rsid w:val="507B6AF5"/>
    <w:rsid w:val="51F33157"/>
    <w:rsid w:val="581732AD"/>
    <w:rsid w:val="5A99089A"/>
    <w:rsid w:val="5DB36DC7"/>
    <w:rsid w:val="5F9A1C89"/>
    <w:rsid w:val="62E108BB"/>
    <w:rsid w:val="65E775AD"/>
    <w:rsid w:val="66815CD2"/>
    <w:rsid w:val="68033E02"/>
    <w:rsid w:val="681D7F64"/>
    <w:rsid w:val="683B2945"/>
    <w:rsid w:val="6B6B6C9C"/>
    <w:rsid w:val="6C717D3C"/>
    <w:rsid w:val="6CDC1E1D"/>
    <w:rsid w:val="6D8853F8"/>
    <w:rsid w:val="6FA373AB"/>
    <w:rsid w:val="70510891"/>
    <w:rsid w:val="7101043B"/>
    <w:rsid w:val="7153178A"/>
    <w:rsid w:val="71CA24B9"/>
    <w:rsid w:val="72D54B27"/>
    <w:rsid w:val="7317445D"/>
    <w:rsid w:val="740A2EDC"/>
    <w:rsid w:val="74662A91"/>
    <w:rsid w:val="752359AF"/>
    <w:rsid w:val="75780051"/>
    <w:rsid w:val="76735765"/>
    <w:rsid w:val="76886336"/>
    <w:rsid w:val="78811C0A"/>
    <w:rsid w:val="7DEE77F2"/>
    <w:rsid w:val="7DF73D90"/>
    <w:rsid w:val="7E292A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AutoShape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1"/>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character" w:styleId="9">
    <w:name w:val="Hyperlink"/>
    <w:qFormat/>
    <w:uiPriority w:val="0"/>
    <w:rPr>
      <w:color w:val="0000FF"/>
      <w:u w:val="single"/>
    </w:rPr>
  </w:style>
  <w:style w:type="character" w:styleId="10">
    <w:name w:val="annotation reference"/>
    <w:basedOn w:val="8"/>
    <w:semiHidden/>
    <w:unhideWhenUsed/>
    <w:qFormat/>
    <w:uiPriority w:val="99"/>
    <w:rPr>
      <w:sz w:val="21"/>
      <w:szCs w:val="21"/>
    </w:rPr>
  </w:style>
  <w:style w:type="character" w:customStyle="1" w:styleId="11">
    <w:name w:val="批注框文本 Char"/>
    <w:link w:val="3"/>
    <w:qFormat/>
    <w:uiPriority w:val="0"/>
    <w:rPr>
      <w:kern w:val="2"/>
      <w:sz w:val="18"/>
      <w:szCs w:val="18"/>
    </w:rPr>
  </w:style>
  <w:style w:type="character" w:customStyle="1" w:styleId="12">
    <w:name w:val="页脚 Char"/>
    <w:link w:val="4"/>
    <w:qFormat/>
    <w:uiPriority w:val="0"/>
    <w:rPr>
      <w:kern w:val="2"/>
      <w:sz w:val="18"/>
      <w:szCs w:val="18"/>
    </w:rPr>
  </w:style>
  <w:style w:type="paragraph" w:customStyle="1" w:styleId="13">
    <w:name w:val="修订1"/>
    <w:qFormat/>
    <w:uiPriority w:val="0"/>
    <w:rPr>
      <w:rFonts w:ascii="Times New Roman" w:hAnsi="Times New Roman" w:eastAsia="宋体" w:cs="Times New Roman"/>
      <w:kern w:val="2"/>
      <w:sz w:val="21"/>
      <w:szCs w:val="24"/>
      <w:lang w:val="en-US" w:eastAsia="zh-CN" w:bidi="ar-SA"/>
    </w:rPr>
  </w:style>
  <w:style w:type="paragraph" w:customStyle="1" w:styleId="14">
    <w:name w:val="列出段落1"/>
    <w:basedOn w:val="1"/>
    <w:qFormat/>
    <w:uiPriority w:val="0"/>
    <w:pPr>
      <w:ind w:firstLine="420" w:firstLineChars="200"/>
    </w:pPr>
    <w:rPr>
      <w:rFonts w:ascii="Calibri" w:hAnsi="Calibri" w:cs="黑体"/>
      <w:szCs w:val="22"/>
    </w:rPr>
  </w:style>
  <w:style w:type="paragraph" w:customStyle="1" w:styleId="15">
    <w:name w:val="Char Char Char Char Char Char Char Char Char Char Char Char"/>
    <w:basedOn w:val="1"/>
    <w:qFormat/>
    <w:uiPriority w:val="0"/>
    <w:pPr>
      <w:widowControl/>
      <w:spacing w:after="160" w:line="240" w:lineRule="exact"/>
      <w:jc w:val="left"/>
    </w:pPr>
    <w:rPr>
      <w:rFonts w:ascii="Tahoma" w:hAnsi="Tahoma" w:cs="Tahoma"/>
      <w:szCs w:val="21"/>
    </w:rPr>
  </w:style>
  <w:style w:type="character" w:customStyle="1" w:styleId="16">
    <w:name w:val="批注文字 Char"/>
    <w:basedOn w:val="8"/>
    <w:link w:val="2"/>
    <w:semiHidden/>
    <w:qFormat/>
    <w:uiPriority w:val="99"/>
    <w:rPr>
      <w:kern w:val="2"/>
      <w:sz w:val="21"/>
      <w:szCs w:val="24"/>
    </w:rPr>
  </w:style>
  <w:style w:type="character" w:customStyle="1" w:styleId="17">
    <w:name w:val="批注主题 Char"/>
    <w:basedOn w:val="16"/>
    <w:link w:val="6"/>
    <w:semiHidden/>
    <w:qFormat/>
    <w:uiPriority w:val="99"/>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B23CA1-4DA9-4C24-AAE5-B17BA99D907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7</Pages>
  <Words>1640</Words>
  <Characters>9349</Characters>
  <Lines>77</Lines>
  <Paragraphs>21</Paragraphs>
  <TotalTime>4</TotalTime>
  <ScaleCrop>false</ScaleCrop>
  <LinksUpToDate>false</LinksUpToDate>
  <CharactersWithSpaces>10968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2021-08-12T11:16:00Z</dcterms:created>
  <dc:creator>张华峰</dc:creator>
  <cp:lastModifiedBy>Administrator</cp:lastModifiedBy>
  <cp:lastPrinted>2020-03-13T00:17:00Z</cp:lastPrinted>
  <dcterms:modified xsi:type="dcterms:W3CDTF">2022-05-24T08:27:10Z</dcterms:modified>
  <dc:title>理财客户权益须知</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