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bCs/>
          <w:sz w:val="18"/>
          <w:szCs w:val="18"/>
        </w:rPr>
        <w:t>兴业银行天天万利宝稳利6号Z款净值型理财产品</w:t>
      </w:r>
      <w:r>
        <w:rPr>
          <w:rFonts w:hint="eastAsia" w:ascii="宋体" w:hAnsi="宋体" w:cs="仿宋_GB2312"/>
          <w:kern w:val="0"/>
          <w:sz w:val="18"/>
          <w:szCs w:val="18"/>
        </w:rPr>
        <w:t>。</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宋体" w:hAnsi="宋体" w:cs="仿宋_GB2312"/>
          <w:kern w:val="0"/>
          <w:sz w:val="18"/>
          <w:szCs w:val="18"/>
        </w:rPr>
        <w:t>【稳利季季增利E款】（适用【A】类份额）</w:t>
      </w:r>
    </w:p>
    <w:p>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【稳利季季增利E款B】（适用【B】类份额）</w:t>
      </w:r>
    </w:p>
    <w:p>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【稳利季季增利E款C】（适用【C】类份额）</w:t>
      </w:r>
    </w:p>
    <w:p>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【稳利季季增利E款D】（适用【D】类份额）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hint="eastAsia" w:ascii="宋体" w:hAnsi="宋体"/>
          <w:bCs/>
          <w:sz w:val="18"/>
          <w:szCs w:val="18"/>
        </w:rPr>
        <w:t>Z7002021000127</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（产品管理人定义的产品风险评级为【</w:t>
      </w:r>
      <w:r>
        <w:rPr>
          <w:rFonts w:asciiTheme="majorEastAsia" w:hAnsiTheme="majorEastAsia" w:eastAsiaTheme="majorEastAsia"/>
          <w:bCs/>
          <w:color w:val="000000" w:themeColor="text1"/>
          <w:sz w:val="18"/>
          <w:szCs w:val="18"/>
        </w:rPr>
        <w:t>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w:t>
      </w:r>
      <w:r>
        <w:rPr>
          <w:rFonts w:asciiTheme="majorEastAsia" w:hAnsiTheme="majorEastAsia" w:eastAsiaTheme="majorEastAsia"/>
          <w:bCs/>
          <w:color w:val="000000" w:themeColor="text1"/>
          <w:sz w:val="18"/>
          <w:szCs w:val="18"/>
        </w:rPr>
        <w:t>R2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rPr>
        <w:t>销售机构认为本产品适合以下投资者类型：</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■个人投资者：【□ C1、■ C2、■ C3、■ C4、■ C5、■ C6】。</w:t>
      </w:r>
    </w:p>
    <w:p>
      <w:pPr>
        <w:ind w:firstLine="360" w:firstLineChars="200"/>
        <w:rPr>
          <w:rFonts w:asciiTheme="majorEastAsia" w:hAnsiTheme="majorEastAsia" w:eastAsiaTheme="majorEastAsia"/>
          <w:bCs/>
          <w:color w:val="000000" w:themeColor="text1"/>
          <w:sz w:val="18"/>
          <w:szCs w:val="18"/>
        </w:rPr>
      </w:pPr>
      <w:r>
        <w:rPr>
          <w:rFonts w:hint="eastAsia" w:asciiTheme="majorEastAsia" w:hAnsiTheme="majorEastAsia" w:eastAsiaTheme="majorEastAsia"/>
          <w:bCs/>
          <w:color w:val="000000" w:themeColor="text1"/>
          <w:sz w:val="18"/>
          <w:szCs w:val="18"/>
        </w:rPr>
        <w:t>□机构投资者：□一般</w:t>
      </w:r>
      <w:r>
        <w:rPr>
          <w:rFonts w:asciiTheme="majorEastAsia" w:hAnsiTheme="majorEastAsia" w:eastAsiaTheme="majorEastAsia"/>
          <w:bCs/>
          <w:color w:val="000000" w:themeColor="text1"/>
          <w:sz w:val="18"/>
          <w:szCs w:val="18"/>
        </w:rPr>
        <w:t>机构</w:t>
      </w:r>
      <w:r>
        <w:rPr>
          <w:rFonts w:hint="eastAsia" w:asciiTheme="majorEastAsia" w:hAnsiTheme="majorEastAsia" w:eastAsiaTheme="majorEastAsia"/>
          <w:bCs/>
          <w:color w:val="000000" w:themeColor="text1"/>
          <w:sz w:val="18"/>
          <w:szCs w:val="18"/>
        </w:rPr>
        <w:t>客户【□</w:t>
      </w:r>
      <w:r>
        <w:rPr>
          <w:rFonts w:asciiTheme="majorEastAsia" w:hAnsiTheme="majorEastAsia" w:eastAsiaTheme="majorEastAsia"/>
          <w:bCs/>
          <w:color w:val="000000" w:themeColor="text1"/>
          <w:sz w:val="18"/>
          <w:szCs w:val="18"/>
        </w:rPr>
        <w:t xml:space="preserve"> C1、</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C2、</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C3、</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C4、</w:t>
      </w:r>
      <w:r>
        <w:rPr>
          <w:rFonts w:hint="eastAsia" w:asciiTheme="majorEastAsia" w:hAnsiTheme="majorEastAsia" w:eastAsiaTheme="majorEastAsia"/>
          <w:bCs/>
          <w:color w:val="000000" w:themeColor="text1"/>
          <w:sz w:val="18"/>
          <w:szCs w:val="18"/>
        </w:rPr>
        <w:t xml:space="preserve">□ </w:t>
      </w:r>
      <w:r>
        <w:rPr>
          <w:rFonts w:asciiTheme="majorEastAsia" w:hAnsiTheme="majorEastAsia" w:eastAsiaTheme="majorEastAsia"/>
          <w:bCs/>
          <w:color w:val="000000" w:themeColor="text1"/>
          <w:sz w:val="18"/>
          <w:szCs w:val="18"/>
        </w:rPr>
        <w:t>C5】</w:t>
      </w:r>
      <w:r>
        <w:rPr>
          <w:rFonts w:hint="eastAsia" w:asciiTheme="majorEastAsia" w:hAnsiTheme="majorEastAsia" w:eastAsiaTheme="majorEastAsia"/>
          <w:bCs/>
          <w:color w:val="000000" w:themeColor="text1"/>
          <w:sz w:val="18"/>
          <w:szCs w:val="18"/>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黑体" w:hAnsi="黑体" w:eastAsia="黑体"/>
          <w:sz w:val="18"/>
          <w:szCs w:val="18"/>
        </w:rPr>
      </w:pPr>
      <w:r>
        <w:rPr>
          <w:rFonts w:hint="eastAsia" w:ascii="黑体" w:hAnsi="黑体" w:eastAsia="黑体"/>
          <w:sz w:val="18"/>
          <w:szCs w:val="18"/>
        </w:rPr>
        <w:t>（一）投资者投资本产品可能面临的特定风险主要包括（但不限于）：</w:t>
      </w:r>
    </w:p>
    <w:p>
      <w:pPr>
        <w:pStyle w:val="13"/>
        <w:ind w:firstLine="448" w:firstLineChars="0"/>
        <w:rPr>
          <w:rFonts w:ascii="黑体" w:hAnsi="黑体" w:eastAsia="黑体"/>
          <w:sz w:val="18"/>
          <w:szCs w:val="18"/>
        </w:rPr>
      </w:pPr>
      <w:r>
        <w:rPr>
          <w:rFonts w:hint="eastAsia" w:ascii="黑体" w:hAnsi="黑体" w:eastAsia="黑体"/>
          <w:sz w:val="18"/>
          <w:szCs w:val="18"/>
        </w:rPr>
        <w:t>1.拟投资市场和资产的风险：</w:t>
      </w:r>
    </w:p>
    <w:p>
      <w:pPr>
        <w:pStyle w:val="13"/>
        <w:ind w:firstLineChars="0"/>
        <w:rPr>
          <w:rFonts w:ascii="宋体" w:hAnsi="宋体"/>
          <w:sz w:val="18"/>
          <w:szCs w:val="18"/>
        </w:rPr>
      </w:pPr>
      <w:r>
        <w:rPr>
          <w:rFonts w:hint="eastAsia" w:ascii="宋体" w:hAnsi="宋体"/>
          <w:sz w:val="18"/>
          <w:szCs w:val="18"/>
        </w:rPr>
        <w:t>（</w:t>
      </w:r>
      <w:r>
        <w:rPr>
          <w:rFonts w:ascii="宋体" w:hAnsi="宋体"/>
          <w:sz w:val="18"/>
          <w:szCs w:val="18"/>
        </w:rPr>
        <w:t>1）投资固定收益类资产的风险</w:t>
      </w:r>
    </w:p>
    <w:p>
      <w:pPr>
        <w:pStyle w:val="13"/>
        <w:ind w:firstLineChars="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投资</w:t>
      </w:r>
      <w:r>
        <w:rPr>
          <w:rFonts w:hint="eastAsia" w:ascii="宋体" w:hAnsi="宋体"/>
          <w:sz w:val="18"/>
          <w:szCs w:val="18"/>
        </w:rPr>
        <w:t>标准化</w:t>
      </w:r>
      <w:r>
        <w:rPr>
          <w:rFonts w:ascii="宋体" w:hAnsi="宋体"/>
          <w:sz w:val="18"/>
          <w:szCs w:val="18"/>
        </w:rPr>
        <w:t>债权类资产的风险</w:t>
      </w:r>
    </w:p>
    <w:p>
      <w:pPr>
        <w:pStyle w:val="13"/>
        <w:ind w:firstLineChars="0"/>
        <w:rPr>
          <w:rFonts w:ascii="宋体" w:hAnsi="宋体"/>
          <w:sz w:val="18"/>
          <w:szCs w:val="18"/>
        </w:rPr>
      </w:pPr>
      <w:r>
        <w:rPr>
          <w:rFonts w:ascii="宋体" w:hAnsi="宋体"/>
          <w:sz w:val="18"/>
          <w:szCs w:val="18"/>
        </w:rPr>
        <w:t>本产品投资债券</w:t>
      </w:r>
      <w:r>
        <w:rPr>
          <w:rFonts w:hint="eastAsia" w:ascii="宋体" w:hAnsi="宋体"/>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3"/>
        <w:ind w:firstLineChars="0"/>
        <w:rPr>
          <w:rFonts w:ascii="宋体" w:hAnsi="宋体"/>
          <w:sz w:val="18"/>
          <w:szCs w:val="18"/>
        </w:rPr>
      </w:pPr>
      <w:r>
        <w:rPr>
          <w:rFonts w:ascii="宋体" w:hAnsi="宋体"/>
          <w:sz w:val="18"/>
          <w:szCs w:val="18"/>
        </w:rPr>
        <w:t>2）投资非标准化债权类资产</w:t>
      </w:r>
      <w:r>
        <w:rPr>
          <w:rFonts w:hint="eastAsia" w:ascii="宋体" w:hAnsi="宋体"/>
          <w:sz w:val="18"/>
          <w:szCs w:val="18"/>
        </w:rPr>
        <w:t>的</w:t>
      </w:r>
      <w:r>
        <w:rPr>
          <w:rFonts w:ascii="宋体" w:hAnsi="宋体"/>
          <w:sz w:val="18"/>
          <w:szCs w:val="18"/>
        </w:rPr>
        <w:t>风险</w:t>
      </w:r>
    </w:p>
    <w:p>
      <w:pPr>
        <w:pStyle w:val="13"/>
        <w:ind w:firstLineChars="0"/>
        <w:rPr>
          <w:rFonts w:hint="eastAsia"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3"/>
        <w:ind w:firstLineChars="0"/>
        <w:rPr>
          <w:rFonts w:ascii="宋体" w:hAnsi="宋体"/>
          <w:sz w:val="18"/>
          <w:szCs w:val="18"/>
        </w:rPr>
      </w:pPr>
      <w:r>
        <w:rPr>
          <w:rFonts w:hint="eastAsia" w:ascii="宋体" w:hAnsi="宋体"/>
          <w:sz w:val="18"/>
          <w:szCs w:val="18"/>
        </w:rPr>
        <w:t>（2）投资</w:t>
      </w:r>
      <w:r>
        <w:rPr>
          <w:rFonts w:ascii="宋体" w:hAnsi="宋体"/>
          <w:sz w:val="18"/>
          <w:szCs w:val="18"/>
        </w:rPr>
        <w:t>权益类资产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13"/>
        <w:ind w:firstLineChars="0"/>
        <w:rPr>
          <w:rFonts w:ascii="宋体" w:hAnsi="宋体"/>
          <w:sz w:val="18"/>
          <w:szCs w:val="18"/>
        </w:rPr>
      </w:pPr>
      <w:r>
        <w:rPr>
          <w:rFonts w:hint="eastAsia" w:ascii="宋体" w:hAnsi="宋体"/>
          <w:sz w:val="18"/>
          <w:szCs w:val="18"/>
        </w:rPr>
        <w:t>1）投资股票类资产的风险</w:t>
      </w:r>
    </w:p>
    <w:p>
      <w:pPr>
        <w:pStyle w:val="13"/>
        <w:ind w:firstLineChars="0"/>
        <w:rPr>
          <w:rFonts w:ascii="宋体" w:hAnsi="宋体"/>
          <w:sz w:val="18"/>
          <w:szCs w:val="18"/>
        </w:rPr>
      </w:pPr>
      <w:r>
        <w:rPr>
          <w:rFonts w:ascii="宋体" w:hAnsi="宋体"/>
          <w:sz w:val="18"/>
          <w:szCs w:val="18"/>
        </w:rPr>
        <w:t>本产品投资股票类资产时可能面临以下风险</w:t>
      </w:r>
      <w:r>
        <w:rPr>
          <w:rFonts w:hint="eastAsia" w:ascii="宋体" w:hAnsi="宋体"/>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13"/>
        <w:ind w:firstLineChars="0"/>
        <w:rPr>
          <w:rFonts w:ascii="宋体" w:hAnsi="宋体"/>
          <w:sz w:val="18"/>
          <w:szCs w:val="18"/>
        </w:rPr>
      </w:pPr>
      <w:r>
        <w:rPr>
          <w:rFonts w:hint="eastAsia" w:ascii="宋体" w:hAnsi="宋体"/>
          <w:sz w:val="18"/>
          <w:szCs w:val="18"/>
        </w:rPr>
        <w:t>2）投资股权类资产的风险</w:t>
      </w:r>
    </w:p>
    <w:p>
      <w:pPr>
        <w:rPr>
          <w:rFonts w:ascii="宋体" w:hAnsi="宋体" w:eastAsia="宋体"/>
          <w:sz w:val="18"/>
          <w:szCs w:val="18"/>
        </w:rPr>
      </w:pPr>
      <w:r>
        <w:rPr>
          <w:rFonts w:ascii="宋体" w:hAnsi="宋体"/>
          <w:sz w:val="18"/>
          <w:szCs w:val="18"/>
        </w:rPr>
        <w:t>本产品投资未上市股权类资产时可能面临以下风险</w:t>
      </w:r>
      <w:r>
        <w:rPr>
          <w:rFonts w:hint="eastAsia" w:ascii="宋体" w:hAnsi="宋体"/>
          <w:sz w:val="18"/>
          <w:szCs w:val="18"/>
        </w:rPr>
        <w:t>：</w:t>
      </w:r>
      <w:r>
        <w:rPr>
          <w:rFonts w:ascii="宋体" w:hAnsi="宋体"/>
          <w:sz w:val="18"/>
          <w:szCs w:val="18"/>
        </w:rPr>
        <w:t>国家政策、经济周期、行业政策</w:t>
      </w:r>
      <w:r>
        <w:rPr>
          <w:rFonts w:hint="eastAsia" w:ascii="宋体" w:hAnsi="宋体"/>
          <w:sz w:val="18"/>
          <w:szCs w:val="18"/>
        </w:rPr>
        <w:t>等因素可能发生变化导致的市场风险；</w:t>
      </w:r>
      <w:r>
        <w:rPr>
          <w:rFonts w:ascii="宋体" w:hAnsi="宋体"/>
          <w:sz w:val="18"/>
          <w:szCs w:val="18"/>
        </w:rPr>
        <w:t>因市场、技术、竞争、管理、财务等导致公司盈利发生变化，其</w:t>
      </w:r>
      <w:r>
        <w:rPr>
          <w:rFonts w:hint="eastAsia" w:ascii="宋体" w:hAnsi="宋体"/>
          <w:sz w:val="18"/>
          <w:szCs w:val="18"/>
        </w:rPr>
        <w:t>股权</w:t>
      </w:r>
      <w:r>
        <w:rPr>
          <w:rFonts w:ascii="宋体" w:hAnsi="宋体"/>
          <w:sz w:val="18"/>
          <w:szCs w:val="18"/>
        </w:rPr>
        <w:t>价值可能下跌，影响投资者收益</w:t>
      </w:r>
      <w:r>
        <w:rPr>
          <w:rFonts w:hint="eastAsia" w:ascii="宋体" w:hAnsi="宋体"/>
          <w:sz w:val="18"/>
          <w:szCs w:val="18"/>
        </w:rPr>
        <w:t>；</w:t>
      </w:r>
      <w:r>
        <w:rPr>
          <w:rFonts w:ascii="宋体" w:hAnsi="宋体"/>
          <w:sz w:val="18"/>
          <w:szCs w:val="18"/>
        </w:rPr>
        <w:t>因股权未上市或存在相关限制股权转让的协议导致的流动性风险等</w:t>
      </w:r>
      <w:r>
        <w:rPr>
          <w:rFonts w:hint="eastAsia" w:ascii="宋体" w:hAnsi="宋体"/>
          <w:sz w:val="18"/>
          <w:szCs w:val="18"/>
        </w:rPr>
        <w:t>。</w:t>
      </w:r>
    </w:p>
    <w:p>
      <w:pPr>
        <w:pStyle w:val="13"/>
        <w:ind w:firstLineChars="0"/>
        <w:rPr>
          <w:rFonts w:ascii="宋体" w:hAnsi="宋体"/>
          <w:sz w:val="18"/>
          <w:szCs w:val="18"/>
        </w:rPr>
      </w:pPr>
      <w:r>
        <w:rPr>
          <w:rFonts w:hint="eastAsia" w:ascii="宋体" w:hAnsi="宋体"/>
          <w:sz w:val="18"/>
          <w:szCs w:val="18"/>
        </w:rPr>
        <w:t>（</w:t>
      </w:r>
      <w:r>
        <w:rPr>
          <w:rFonts w:ascii="宋体" w:hAnsi="宋体"/>
          <w:sz w:val="18"/>
          <w:szCs w:val="18"/>
        </w:rPr>
        <w:t>3）投资商品和金融衍生品类资产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13"/>
        <w:ind w:firstLineChars="0"/>
        <w:rPr>
          <w:rFonts w:hint="eastAsia" w:ascii="宋体" w:hAnsi="宋体" w:eastAsia="宋体"/>
          <w:sz w:val="18"/>
          <w:szCs w:val="18"/>
          <w:lang w:eastAsia="zh-CN"/>
        </w:rPr>
      </w:pPr>
      <w:r>
        <w:rPr>
          <w:rFonts w:ascii="宋体" w:hAnsi="宋体"/>
          <w:sz w:val="18"/>
          <w:szCs w:val="18"/>
        </w:rPr>
        <w:t>本产品投资商品和金融衍生品类资产时</w:t>
      </w:r>
      <w:r>
        <w:rPr>
          <w:rFonts w:hint="eastAsia" w:ascii="宋体" w:hAnsi="宋体"/>
          <w:sz w:val="18"/>
          <w:szCs w:val="18"/>
        </w:rPr>
        <w:t>可能面临以下风险：该衍生品资产</w:t>
      </w:r>
      <w:r>
        <w:rPr>
          <w:rFonts w:ascii="宋体" w:hAnsi="宋体"/>
          <w:sz w:val="18"/>
          <w:szCs w:val="18"/>
        </w:rPr>
        <w:t>可能实行保证金交易制度，具有高杠杆性，高杠杆效应放大了价格波动风险；若本产品运作中出现基差</w:t>
      </w:r>
      <w:r>
        <w:rPr>
          <w:rFonts w:hint="eastAsia" w:ascii="宋体" w:hAnsi="宋体"/>
          <w:sz w:val="18"/>
          <w:szCs w:val="18"/>
        </w:rPr>
        <w:t>（注：</w:t>
      </w:r>
      <w:r>
        <w:rPr>
          <w:rFonts w:ascii="宋体" w:hAnsi="宋体"/>
          <w:sz w:val="18"/>
          <w:szCs w:val="18"/>
        </w:rPr>
        <w:t>基差是指现货价格与期货价格之间的差额</w:t>
      </w:r>
      <w:r>
        <w:rPr>
          <w:rFonts w:hint="eastAsia" w:ascii="宋体" w:hAnsi="宋体"/>
          <w:sz w:val="18"/>
          <w:szCs w:val="18"/>
        </w:rPr>
        <w:t>）</w:t>
      </w:r>
      <w:r>
        <w:rPr>
          <w:rFonts w:ascii="宋体" w:hAnsi="宋体"/>
          <w:sz w:val="18"/>
          <w:szCs w:val="18"/>
        </w:rPr>
        <w:t>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3"/>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w:t>
      </w:r>
      <w:r>
        <w:rPr>
          <w:rFonts w:hint="eastAsia" w:ascii="黑体" w:hAnsi="黑体" w:eastAsia="黑体"/>
          <w:sz w:val="18"/>
          <w:szCs w:val="18"/>
          <w:lang w:val="en-US" w:eastAsia="zh-CN"/>
        </w:rPr>
        <w:t>特定</w:t>
      </w:r>
      <w:r>
        <w:rPr>
          <w:rFonts w:hint="eastAsia" w:ascii="黑体" w:hAnsi="黑体" w:eastAsia="黑体"/>
          <w:sz w:val="18"/>
          <w:szCs w:val="18"/>
        </w:rPr>
        <w:t xml:space="preserve">风险仅为列举性质，未能详尽列明投资本产品可能面临的全部风险和可能导致投资者投资本金及收益损失的所有因素。 </w:t>
      </w:r>
    </w:p>
    <w:p>
      <w:pPr>
        <w:pStyle w:val="13"/>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13"/>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bCs/>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3"/>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13"/>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rPr>
        <w:t>本理财产品可能</w:t>
      </w:r>
      <w:r>
        <w:rPr>
          <w:rFonts w:asciiTheme="majorEastAsia" w:hAnsiTheme="majorEastAsia" w:eastAsiaTheme="majorEastAsia"/>
          <w:bCs/>
          <w:color w:val="000000" w:themeColor="text1"/>
          <w:sz w:val="18"/>
          <w:szCs w:val="18"/>
        </w:rPr>
        <w:t>投资符合监管</w:t>
      </w:r>
      <w:r>
        <w:rPr>
          <w:rFonts w:hint="eastAsia" w:asciiTheme="majorEastAsia" w:hAnsiTheme="majorEastAsia" w:eastAsiaTheme="majorEastAsia"/>
          <w:bCs/>
          <w:color w:val="000000" w:themeColor="text1"/>
          <w:sz w:val="18"/>
          <w:szCs w:val="18"/>
        </w:rPr>
        <w:t>要求的资产管理产品（包括但不限于信托计划、</w:t>
      </w:r>
      <w:r>
        <w:rPr>
          <w:rFonts w:hint="eastAsia" w:asciiTheme="majorEastAsia" w:hAnsiTheme="majorEastAsia" w:eastAsiaTheme="majorEastAsia"/>
          <w:bCs/>
          <w:color w:val="000000" w:themeColor="text1"/>
          <w:kern w:val="0"/>
          <w:sz w:val="18"/>
          <w:szCs w:val="18"/>
        </w:rPr>
        <w:t>公募基金、基金公司或子公司资产管理计划、证券公司资产管理计划、</w:t>
      </w:r>
      <w:r>
        <w:rPr>
          <w:rFonts w:hint="eastAsia" w:asciiTheme="majorEastAsia" w:hAnsiTheme="majorEastAsia" w:eastAsiaTheme="majorEastAsia"/>
          <w:bCs/>
          <w:color w:val="000000" w:themeColor="text1"/>
          <w:sz w:val="18"/>
          <w:szCs w:val="18"/>
        </w:rPr>
        <w:t>期货资产管理计划、</w:t>
      </w:r>
      <w:r>
        <w:rPr>
          <w:rFonts w:hint="eastAsia" w:asciiTheme="majorEastAsia" w:hAnsiTheme="majorEastAsia" w:eastAsiaTheme="majorEastAsia"/>
          <w:bCs/>
          <w:color w:val="000000" w:themeColor="text1"/>
          <w:kern w:val="0"/>
          <w:sz w:val="18"/>
          <w:szCs w:val="18"/>
        </w:rPr>
        <w:t>保险资产管理计划</w:t>
      </w:r>
      <w:r>
        <w:rPr>
          <w:rFonts w:hint="eastAsia" w:asciiTheme="majorEastAsia" w:hAnsiTheme="majorEastAsia" w:eastAsiaTheme="majorEastAsia"/>
          <w:bCs/>
          <w:color w:val="000000" w:themeColor="text1"/>
          <w:sz w:val="18"/>
          <w:szCs w:val="18"/>
        </w:rPr>
        <w:t>等），前述资产管理产品的管理人可能收取</w:t>
      </w:r>
      <w:r>
        <w:rPr>
          <w:rFonts w:asciiTheme="majorEastAsia" w:hAnsiTheme="majorEastAsia" w:eastAsiaTheme="majorEastAsia"/>
          <w:bCs/>
          <w:color w:val="000000" w:themeColor="text1"/>
          <w:sz w:val="18"/>
          <w:szCs w:val="18"/>
        </w:rPr>
        <w:t>业绩报酬，</w:t>
      </w:r>
      <w:r>
        <w:rPr>
          <w:rFonts w:hint="eastAsia" w:asciiTheme="majorEastAsia" w:hAnsiTheme="majorEastAsia" w:eastAsiaTheme="majorEastAsia"/>
          <w:bCs/>
          <w:color w:val="000000" w:themeColor="text1"/>
          <w:sz w:val="18"/>
          <w:szCs w:val="18"/>
        </w:rPr>
        <w:t>当前述资产管理产品计提业绩报酬时，本理财产品的产品份额净值存在下跌的风险。</w:t>
      </w:r>
    </w:p>
    <w:p>
      <w:pPr>
        <w:pStyle w:val="13"/>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3"/>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13"/>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13"/>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w:t>
      </w:r>
      <w:bookmarkStart w:id="0" w:name="_GoBack"/>
      <w:bookmarkEnd w:id="0"/>
      <w:r>
        <w:rPr>
          <w:rFonts w:hint="eastAsia" w:ascii="黑体" w:hAnsi="黑体" w:eastAsia="黑体"/>
          <w:sz w:val="18"/>
          <w:szCs w:val="18"/>
          <w:u w:val="single"/>
        </w:rPr>
        <w:t>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4MDAwNWE2MWUyODRhMzc1ZWNkMzNhMjFhZDIwY2EifQ=="/>
  </w:docVars>
  <w:rsids>
    <w:rsidRoot w:val="00563E8F"/>
    <w:rsid w:val="00096AC8"/>
    <w:rsid w:val="000A244A"/>
    <w:rsid w:val="000B16F1"/>
    <w:rsid w:val="000B357F"/>
    <w:rsid w:val="000F0566"/>
    <w:rsid w:val="001104E8"/>
    <w:rsid w:val="00152999"/>
    <w:rsid w:val="001C5047"/>
    <w:rsid w:val="002114AF"/>
    <w:rsid w:val="002354DB"/>
    <w:rsid w:val="00262560"/>
    <w:rsid w:val="002B4BDD"/>
    <w:rsid w:val="002B63FC"/>
    <w:rsid w:val="002C604E"/>
    <w:rsid w:val="002F0B15"/>
    <w:rsid w:val="00346ED2"/>
    <w:rsid w:val="00374070"/>
    <w:rsid w:val="003E1A68"/>
    <w:rsid w:val="003F1C32"/>
    <w:rsid w:val="00420D74"/>
    <w:rsid w:val="0045040F"/>
    <w:rsid w:val="00466605"/>
    <w:rsid w:val="004A236B"/>
    <w:rsid w:val="004B4026"/>
    <w:rsid w:val="004C7F5E"/>
    <w:rsid w:val="00510BA5"/>
    <w:rsid w:val="00527A03"/>
    <w:rsid w:val="00563E8F"/>
    <w:rsid w:val="005804B9"/>
    <w:rsid w:val="005C6FCB"/>
    <w:rsid w:val="005F48BE"/>
    <w:rsid w:val="00640FDE"/>
    <w:rsid w:val="006538E1"/>
    <w:rsid w:val="007143CD"/>
    <w:rsid w:val="007303F6"/>
    <w:rsid w:val="00732C8C"/>
    <w:rsid w:val="00747259"/>
    <w:rsid w:val="007A4C26"/>
    <w:rsid w:val="007B017F"/>
    <w:rsid w:val="007C7189"/>
    <w:rsid w:val="0080662E"/>
    <w:rsid w:val="00836C1F"/>
    <w:rsid w:val="00866E74"/>
    <w:rsid w:val="00894EE6"/>
    <w:rsid w:val="008A707D"/>
    <w:rsid w:val="008D3E86"/>
    <w:rsid w:val="008F2B54"/>
    <w:rsid w:val="00955293"/>
    <w:rsid w:val="00981E5B"/>
    <w:rsid w:val="009B13AF"/>
    <w:rsid w:val="00A95D0C"/>
    <w:rsid w:val="00AE5AA3"/>
    <w:rsid w:val="00B06267"/>
    <w:rsid w:val="00B07DEF"/>
    <w:rsid w:val="00B35D81"/>
    <w:rsid w:val="00B3723D"/>
    <w:rsid w:val="00BB513F"/>
    <w:rsid w:val="00BC1259"/>
    <w:rsid w:val="00BC2076"/>
    <w:rsid w:val="00BC398E"/>
    <w:rsid w:val="00BE1A3A"/>
    <w:rsid w:val="00C01696"/>
    <w:rsid w:val="00C4233D"/>
    <w:rsid w:val="00D03CCD"/>
    <w:rsid w:val="00D33509"/>
    <w:rsid w:val="00D46533"/>
    <w:rsid w:val="00D91389"/>
    <w:rsid w:val="00DA2C69"/>
    <w:rsid w:val="00DD246D"/>
    <w:rsid w:val="00DD5ABC"/>
    <w:rsid w:val="00DE3630"/>
    <w:rsid w:val="00E27A39"/>
    <w:rsid w:val="00E504DE"/>
    <w:rsid w:val="00E767F1"/>
    <w:rsid w:val="00E80603"/>
    <w:rsid w:val="00EB34F9"/>
    <w:rsid w:val="00F1747E"/>
    <w:rsid w:val="00F34E57"/>
    <w:rsid w:val="00F57B20"/>
    <w:rsid w:val="00F8077D"/>
    <w:rsid w:val="00FD7473"/>
    <w:rsid w:val="03215861"/>
    <w:rsid w:val="0CC069DE"/>
    <w:rsid w:val="16E0244F"/>
    <w:rsid w:val="1D9858FD"/>
    <w:rsid w:val="1F590A7D"/>
    <w:rsid w:val="23024B39"/>
    <w:rsid w:val="26F01C45"/>
    <w:rsid w:val="30D07848"/>
    <w:rsid w:val="33B07DF2"/>
    <w:rsid w:val="366F419D"/>
    <w:rsid w:val="435B2EBF"/>
    <w:rsid w:val="582900C0"/>
    <w:rsid w:val="601969DF"/>
    <w:rsid w:val="6AAE1918"/>
    <w:rsid w:val="713100F1"/>
    <w:rsid w:val="72CD077B"/>
    <w:rsid w:val="73E91C2D"/>
    <w:rsid w:val="748151F9"/>
    <w:rsid w:val="7C832A07"/>
    <w:rsid w:val="7FA3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字符"/>
    <w:basedOn w:val="9"/>
    <w:link w:val="2"/>
    <w:qFormat/>
    <w:uiPriority w:val="99"/>
    <w:rPr>
      <w:rFonts w:ascii="Calibri" w:hAnsi="Calibri" w:eastAsia="宋体" w:cs="宋体"/>
    </w:rPr>
  </w:style>
  <w:style w:type="character" w:customStyle="1" w:styleId="15">
    <w:name w:val="批注主题 字符"/>
    <w:basedOn w:val="14"/>
    <w:link w:val="6"/>
    <w:semiHidden/>
    <w:qFormat/>
    <w:uiPriority w:val="99"/>
    <w:rPr>
      <w:rFonts w:ascii="Calibri" w:hAnsi="Calibri" w:eastAsia="宋体" w:cs="宋体"/>
      <w:b/>
      <w:bCs/>
    </w:rPr>
  </w:style>
  <w:style w:type="character" w:customStyle="1" w:styleId="16">
    <w:name w:val="批注框文本 字符"/>
    <w:basedOn w:val="9"/>
    <w:link w:val="3"/>
    <w:semiHidden/>
    <w:qFormat/>
    <w:uiPriority w:val="99"/>
    <w:rPr>
      <w:rFonts w:ascii="Calibri" w:hAnsi="Calibri" w:eastAsia="宋体" w:cs="宋体"/>
      <w:sz w:val="18"/>
      <w:szCs w:val="18"/>
    </w:rPr>
  </w:style>
  <w:style w:type="paragraph" w:customStyle="1" w:styleId="17">
    <w:name w:val="Revision"/>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5633</Words>
  <Characters>5686</Characters>
  <Lines>46</Lines>
  <Paragraphs>13</Paragraphs>
  <TotalTime>1</TotalTime>
  <ScaleCrop>false</ScaleCrop>
  <LinksUpToDate>false</LinksUpToDate>
  <CharactersWithSpaces>5792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2021-06-16T13:02:00Z</dcterms:created>
  <dc:creator>胡骁潇</dc:creator>
  <cp:lastModifiedBy>xiao liu</cp:lastModifiedBy>
  <dcterms:modified xsi:type="dcterms:W3CDTF">2022-05-16T09:16:27Z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8C3451F4A9D547188BD69B541900499D</vt:lpwstr>
  </property>
</Properties>
</file>