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b/>
          <w:szCs w:val="21"/>
        </w:rPr>
      </w:pPr>
      <w:r>
        <w:rPr>
          <w:rFonts w:hint="eastAsia" w:ascii="黑体" w:hAnsi="黑体" w:eastAsia="黑体"/>
          <w:b/>
          <w:sz w:val="44"/>
          <w:szCs w:val="44"/>
        </w:rPr>
        <w:t>兴银理财【天天万利宝稳利】净值型理财产品销售文件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0"/>
        <w:gridCol w:w="6095"/>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0"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95"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4"/>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0"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95"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3" w:hRule="atLeast"/>
        </w:trPr>
        <w:tc>
          <w:tcPr>
            <w:tcW w:w="710"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95"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兴银理财【天天万利宝稳利】净值型理财产品说明书</w:t>
            </w:r>
          </w:p>
        </w:tc>
        <w:tc>
          <w:tcPr>
            <w:tcW w:w="1984" w:type="dxa"/>
          </w:tcPr>
          <w:p>
            <w:pPr>
              <w:pStyle w:val="14"/>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0" w:type="dxa"/>
          </w:tcPr>
          <w:p>
            <w:pPr>
              <w:pStyle w:val="14"/>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95"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84" w:type="dxa"/>
          </w:tcPr>
          <w:p>
            <w:pPr>
              <w:pStyle w:val="14"/>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0"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95"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710" w:type="dxa"/>
          </w:tcPr>
          <w:p>
            <w:pPr>
              <w:pStyle w:val="14"/>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95"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4"/>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4"/>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4"/>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w:t>
      </w:r>
      <w:r>
        <w:rPr>
          <w:rFonts w:hint="eastAsia" w:ascii="黑体" w:hAnsi="黑体" w:eastAsia="黑体"/>
          <w:b/>
          <w:sz w:val="44"/>
          <w:szCs w:val="44"/>
        </w:rPr>
        <w:t>天天万利宝稳利</w:t>
      </w:r>
      <w:r>
        <w:rPr>
          <w:rStyle w:val="12"/>
          <w:rFonts w:hint="eastAsia" w:ascii="黑体" w:hAnsi="黑体" w:eastAsia="黑体" w:cs="宋体"/>
          <w:sz w:val="44"/>
          <w:szCs w:val="44"/>
        </w:rPr>
        <w:t>】净值型理财</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adjustRightInd w:val="0"/>
        <w:spacing w:line="360" w:lineRule="auto"/>
        <w:jc w:val="center"/>
        <w:rPr>
          <w:rStyle w:val="12"/>
          <w:rFonts w:ascii="宋体" w:hAnsi="宋体"/>
          <w:sz w:val="28"/>
          <w:szCs w:val="28"/>
        </w:rPr>
      </w:pPr>
      <w:bookmarkStart w:id="0" w:name="_Toc139992301"/>
      <w:bookmarkStart w:id="1" w:name="_Toc123701383"/>
      <w:bookmarkStart w:id="2" w:name="_Toc139991726"/>
      <w:bookmarkStart w:id="3" w:name="_Toc123112224"/>
      <w:bookmarkStart w:id="4" w:name="_Toc123112263"/>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39991727"/>
      <w:bookmarkStart w:id="6" w:name="_Toc123112264"/>
      <w:bookmarkStart w:id="7" w:name="_Toc123112225"/>
      <w:bookmarkStart w:id="8" w:name="_Toc123701384"/>
      <w:bookmarkStart w:id="9" w:name="_Toc139992302"/>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w:t>
      </w:r>
      <w:r>
        <w:rPr>
          <w:rStyle w:val="12"/>
          <w:rFonts w:ascii="宋体" w:hAnsi="宋体"/>
          <w:sz w:val="28"/>
          <w:szCs w:val="28"/>
        </w:rPr>
        <w:t>022</w:t>
      </w:r>
      <w:r>
        <w:rPr>
          <w:rStyle w:val="12"/>
          <w:rFonts w:hint="eastAsia" w:ascii="宋体" w:hAnsi="宋体"/>
          <w:sz w:val="28"/>
          <w:szCs w:val="28"/>
        </w:rPr>
        <w:t>】年【</w:t>
      </w:r>
      <w:r>
        <w:rPr>
          <w:rStyle w:val="12"/>
          <w:rFonts w:hint="eastAsia" w:ascii="宋体" w:hAnsi="宋体"/>
          <w:sz w:val="28"/>
          <w:szCs w:val="28"/>
          <w:lang w:val="en-US" w:eastAsia="zh-CN"/>
        </w:rPr>
        <w:t>4</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关于理财产品的业绩比较基准和业绩报酬计提起点的提示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报酬计提起点</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8"/>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line="360" w:lineRule="auto"/>
              <w:jc w:val="both"/>
              <w:rPr>
                <w:rFonts w:ascii="黑体" w:hAnsi="黑体" w:eastAsia="黑体"/>
                <w:bCs/>
                <w:sz w:val="18"/>
                <w:szCs w:val="18"/>
              </w:rPr>
            </w:pPr>
          </w:p>
          <w:p>
            <w:pPr>
              <w:pStyle w:val="8"/>
              <w:numPr>
                <w:ilvl w:val="0"/>
                <w:numId w:val="1"/>
              </w:numPr>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39991729"/>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276"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276" w:lineRule="auto"/>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276" w:lineRule="auto"/>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276" w:lineRule="auto"/>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276"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276"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w:t>
            </w:r>
            <w:bookmarkStart w:id="224" w:name="_GoBack"/>
            <w:bookmarkEnd w:id="224"/>
            <w:r>
              <w:rPr>
                <w:rFonts w:hint="eastAsia" w:ascii="宋体" w:hAnsi="宋体"/>
                <w:bCs/>
                <w:sz w:val="18"/>
                <w:szCs w:val="18"/>
              </w:rPr>
              <w:t>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276" w:lineRule="auto"/>
              <w:jc w:val="left"/>
              <w:rPr>
                <w:rFonts w:ascii="宋体" w:hAnsi="宋体"/>
                <w:bCs/>
                <w:sz w:val="18"/>
                <w:szCs w:val="18"/>
              </w:rPr>
            </w:pPr>
            <w:r>
              <w:rPr>
                <w:rFonts w:hint="eastAsia" w:ascii="宋体" w:hAnsi="宋体"/>
                <w:bCs/>
                <w:sz w:val="18"/>
                <w:szCs w:val="18"/>
              </w:rPr>
              <w:t>【兴业银行天天万利宝稳利6号</w:t>
            </w:r>
            <w:r>
              <w:rPr>
                <w:rFonts w:hint="eastAsia" w:ascii="宋体" w:hAnsi="宋体"/>
                <w:bCs/>
                <w:sz w:val="18"/>
                <w:szCs w:val="18"/>
                <w:lang w:val="en-US" w:eastAsia="zh-CN"/>
              </w:rPr>
              <w:t>U</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tcPr>
          <w:p>
            <w:pPr>
              <w:widowControl/>
              <w:spacing w:line="276" w:lineRule="auto"/>
              <w:jc w:val="left"/>
              <w:rPr>
                <w:rFonts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9个月A】（适用【A】类份额）</w:t>
            </w:r>
          </w:p>
          <w:p>
            <w:pPr>
              <w:widowControl/>
              <w:spacing w:line="276" w:lineRule="auto"/>
              <w:jc w:val="left"/>
              <w:rPr>
                <w:rFonts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w:t>
            </w:r>
            <w:r>
              <w:rPr>
                <w:rFonts w:ascii="宋体" w:hAnsi="宋体"/>
                <w:bCs/>
                <w:sz w:val="18"/>
                <w:szCs w:val="18"/>
              </w:rPr>
              <w:t>B</w:t>
            </w:r>
            <w:r>
              <w:rPr>
                <w:rFonts w:hint="eastAsia" w:ascii="宋体" w:hAnsi="宋体"/>
                <w:bCs/>
                <w:sz w:val="18"/>
                <w:szCs w:val="18"/>
              </w:rPr>
              <w:t>】（适用【B】类份额）</w:t>
            </w:r>
          </w:p>
          <w:p>
            <w:pPr>
              <w:widowControl/>
              <w:spacing w:line="276" w:lineRule="auto"/>
              <w:jc w:val="left"/>
              <w:rPr>
                <w:rFonts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w:t>
            </w:r>
            <w:r>
              <w:rPr>
                <w:rFonts w:ascii="宋体" w:hAnsi="宋体"/>
                <w:bCs/>
                <w:sz w:val="18"/>
                <w:szCs w:val="18"/>
              </w:rPr>
              <w:t>C</w:t>
            </w:r>
            <w:r>
              <w:rPr>
                <w:rFonts w:hint="eastAsia" w:ascii="宋体" w:hAnsi="宋体"/>
                <w:bCs/>
                <w:sz w:val="18"/>
                <w:szCs w:val="18"/>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276" w:lineRule="auto"/>
              <w:rPr>
                <w:rFonts w:ascii="宋体" w:hAnsi="宋体"/>
                <w:bCs/>
                <w:sz w:val="18"/>
                <w:szCs w:val="18"/>
              </w:rPr>
            </w:pPr>
            <w:r>
              <w:rPr>
                <w:rFonts w:hint="eastAsia" w:ascii="宋体" w:hAnsi="宋体"/>
                <w:bCs/>
                <w:sz w:val="18"/>
                <w:szCs w:val="18"/>
              </w:rPr>
              <w:t>【Z7002021000204】投资者可依据理财产品登记编码在中国理财网</w:t>
            </w:r>
            <w:r>
              <w:rPr>
                <w:rFonts w:ascii="宋体" w:hAnsi="宋体"/>
                <w:bCs/>
                <w:sz w:val="18"/>
                <w:szCs w:val="18"/>
              </w:rPr>
              <w:t>(</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r>
              <w:rPr>
                <w:rFonts w:ascii="宋体" w:hAnsi="宋体"/>
                <w:bCs/>
                <w:sz w:val="18"/>
                <w:szCs w:val="18"/>
              </w:rPr>
              <w:t>）</w:t>
            </w:r>
            <w:r>
              <w:rPr>
                <w:rFonts w:hint="eastAsia" w:ascii="宋体" w:hAnsi="宋体"/>
                <w:bCs/>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6389" w:type="dxa"/>
            <w:gridSpan w:val="3"/>
            <w:shd w:val="solid" w:color="FFFFFF" w:fill="FFFFFF"/>
            <w:vAlign w:val="center"/>
          </w:tcPr>
          <w:p>
            <w:pPr>
              <w:spacing w:line="276"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9K209250】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销售代码</w:t>
            </w:r>
          </w:p>
        </w:tc>
        <w:tc>
          <w:tcPr>
            <w:tcW w:w="6389" w:type="dxa"/>
            <w:gridSpan w:val="3"/>
            <w:shd w:val="solid" w:color="FFFFFF" w:fill="FFFFFF"/>
            <w:vAlign w:val="center"/>
          </w:tcPr>
          <w:p>
            <w:pPr>
              <w:widowControl/>
              <w:spacing w:line="276" w:lineRule="auto"/>
              <w:jc w:val="left"/>
              <w:rPr>
                <w:rFonts w:hint="eastAsia" w:ascii="宋体" w:hAnsi="宋体"/>
                <w:bCs/>
                <w:sz w:val="18"/>
                <w:szCs w:val="18"/>
              </w:rPr>
            </w:pPr>
            <w:r>
              <w:rPr>
                <w:rFonts w:hint="eastAsia" w:ascii="宋体" w:hAnsi="宋体"/>
                <w:bCs/>
                <w:sz w:val="18"/>
                <w:szCs w:val="18"/>
              </w:rPr>
              <w:t>【9K2092</w:t>
            </w:r>
            <w:r>
              <w:rPr>
                <w:rFonts w:hint="eastAsia" w:ascii="宋体" w:hAnsi="宋体"/>
                <w:bCs/>
                <w:sz w:val="18"/>
                <w:szCs w:val="18"/>
                <w:lang w:val="en-US" w:eastAsia="zh-CN"/>
              </w:rPr>
              <w:t>5</w:t>
            </w:r>
            <w:r>
              <w:rPr>
                <w:rFonts w:hint="eastAsia" w:ascii="宋体" w:hAnsi="宋体"/>
                <w:bCs/>
                <w:sz w:val="18"/>
                <w:szCs w:val="18"/>
              </w:rPr>
              <w:t>A】（适用A类份额）</w:t>
            </w:r>
          </w:p>
          <w:p>
            <w:pPr>
              <w:widowControl/>
              <w:spacing w:line="276" w:lineRule="auto"/>
              <w:jc w:val="left"/>
              <w:rPr>
                <w:rFonts w:hint="eastAsia" w:ascii="宋体" w:hAnsi="宋体"/>
                <w:bCs/>
                <w:sz w:val="18"/>
                <w:szCs w:val="18"/>
              </w:rPr>
            </w:pPr>
            <w:r>
              <w:rPr>
                <w:rFonts w:hint="eastAsia" w:ascii="宋体" w:hAnsi="宋体"/>
                <w:bCs/>
                <w:sz w:val="18"/>
                <w:szCs w:val="18"/>
              </w:rPr>
              <w:t>【9K2092</w:t>
            </w:r>
            <w:r>
              <w:rPr>
                <w:rFonts w:hint="eastAsia" w:ascii="宋体" w:hAnsi="宋体"/>
                <w:bCs/>
                <w:sz w:val="18"/>
                <w:szCs w:val="18"/>
                <w:lang w:val="en-US" w:eastAsia="zh-CN"/>
              </w:rPr>
              <w:t>5</w:t>
            </w:r>
            <w:r>
              <w:rPr>
                <w:rFonts w:hint="eastAsia" w:ascii="宋体" w:hAnsi="宋体"/>
                <w:bCs/>
                <w:sz w:val="18"/>
                <w:szCs w:val="18"/>
              </w:rPr>
              <w:t>B】（适用B类份额）</w:t>
            </w:r>
          </w:p>
          <w:p>
            <w:pPr>
              <w:spacing w:line="276" w:lineRule="auto"/>
              <w:jc w:val="left"/>
              <w:rPr>
                <w:rFonts w:ascii="宋体" w:hAnsi="宋体"/>
                <w:bCs/>
                <w:sz w:val="18"/>
                <w:szCs w:val="18"/>
              </w:rPr>
            </w:pPr>
            <w:r>
              <w:rPr>
                <w:rFonts w:hint="eastAsia" w:ascii="宋体" w:hAnsi="宋体"/>
                <w:bCs/>
                <w:sz w:val="18"/>
                <w:szCs w:val="18"/>
              </w:rPr>
              <w:t>【9K2092</w:t>
            </w:r>
            <w:r>
              <w:rPr>
                <w:rFonts w:hint="eastAsia" w:ascii="宋体" w:hAnsi="宋体"/>
                <w:bCs/>
                <w:sz w:val="18"/>
                <w:szCs w:val="18"/>
                <w:lang w:val="en-US" w:eastAsia="zh-CN"/>
              </w:rPr>
              <w:t>5</w:t>
            </w:r>
            <w:r>
              <w:rPr>
                <w:rFonts w:hint="eastAsia" w:ascii="宋体" w:hAnsi="宋体"/>
                <w:bCs/>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5"/>
            <w:spacing w:line="360" w:lineRule="auto"/>
            <w:jc w:val="center"/>
          </w:pPr>
          <w:r>
            <w:rPr>
              <w:lang w:val="zh-CN"/>
            </w:rPr>
            <w:t>目录</w:t>
          </w:r>
        </w:p>
        <w:p>
          <w:pPr>
            <w:pStyle w:val="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13"/>
              <w:rFonts w:hint="eastAsia"/>
            </w:rPr>
            <w:t>第一条</w:t>
          </w:r>
          <w:r>
            <w:rPr>
              <w:rStyle w:val="13"/>
            </w:rPr>
            <w:t xml:space="preserve">  </w:t>
          </w:r>
          <w:r>
            <w:rPr>
              <w:rStyle w:val="13"/>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13"/>
              <w:rFonts w:hint="eastAsia"/>
            </w:rPr>
            <w:t>第二条</w:t>
          </w:r>
          <w:r>
            <w:rPr>
              <w:rStyle w:val="13"/>
            </w:rPr>
            <w:t xml:space="preserve">  </w:t>
          </w:r>
          <w:r>
            <w:rPr>
              <w:rStyle w:val="13"/>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13"/>
              <w:rFonts w:hint="eastAsia"/>
            </w:rPr>
            <w:t>第三条</w:t>
          </w:r>
          <w:r>
            <w:rPr>
              <w:rStyle w:val="13"/>
            </w:rPr>
            <w:t xml:space="preserve">  </w:t>
          </w:r>
          <w:r>
            <w:rPr>
              <w:rStyle w:val="13"/>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13"/>
              <w:rFonts w:hint="eastAsia"/>
            </w:rPr>
            <w:t>第四条</w:t>
          </w:r>
          <w:r>
            <w:rPr>
              <w:rStyle w:val="13"/>
            </w:rPr>
            <w:t xml:space="preserve">  </w:t>
          </w:r>
          <w:r>
            <w:rPr>
              <w:rStyle w:val="13"/>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13"/>
              <w:rFonts w:hint="eastAsia"/>
            </w:rPr>
            <w:t>第五条</w:t>
          </w:r>
          <w:r>
            <w:rPr>
              <w:rStyle w:val="13"/>
            </w:rPr>
            <w:t xml:space="preserve">  </w:t>
          </w:r>
          <w:r>
            <w:rPr>
              <w:rStyle w:val="13"/>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13"/>
              <w:rFonts w:hint="eastAsia"/>
            </w:rPr>
            <w:t>第六条</w:t>
          </w:r>
          <w:r>
            <w:rPr>
              <w:rStyle w:val="13"/>
            </w:rPr>
            <w:t xml:space="preserve">  </w:t>
          </w:r>
          <w:r>
            <w:rPr>
              <w:rStyle w:val="13"/>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13"/>
              <w:rFonts w:hint="eastAsia"/>
            </w:rPr>
            <w:t>第七条</w:t>
          </w:r>
          <w:r>
            <w:rPr>
              <w:rStyle w:val="13"/>
            </w:rPr>
            <w:t xml:space="preserve">  </w:t>
          </w:r>
          <w:r>
            <w:rPr>
              <w:rStyle w:val="13"/>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32639"/>
      <w:bookmarkStart w:id="16" w:name="_Toc4966"/>
      <w:bookmarkStart w:id="17" w:name="_Toc8727"/>
      <w:bookmarkStart w:id="18" w:name="_Toc123701389"/>
      <w:bookmarkStart w:id="19" w:name="_Toc6306"/>
      <w:bookmarkStart w:id="20" w:name="_Toc29629"/>
      <w:bookmarkStart w:id="21" w:name="_Toc4867"/>
      <w:bookmarkStart w:id="22" w:name="_Toc30935"/>
      <w:bookmarkStart w:id="23" w:name="_Toc141703880"/>
      <w:bookmarkStart w:id="24" w:name="_Toc15517"/>
      <w:bookmarkStart w:id="25" w:name="_Toc123112229"/>
      <w:bookmarkStart w:id="26" w:name="_Toc139991730"/>
      <w:bookmarkStart w:id="27" w:name="_Toc23386"/>
      <w:bookmarkStart w:id="28" w:name="_Toc123112268"/>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258829399"/>
      <w:bookmarkStart w:id="34" w:name="_Toc13020"/>
      <w:bookmarkStart w:id="35" w:name="_Toc3224"/>
      <w:bookmarkStart w:id="36" w:name="_Toc2465"/>
      <w:bookmarkStart w:id="37" w:name="_Toc21301"/>
      <w:bookmarkStart w:id="38" w:name="_Toc22864"/>
      <w:bookmarkStart w:id="39" w:name="_Toc19592"/>
      <w:bookmarkStart w:id="40" w:name="_Toc6617"/>
      <w:bookmarkStart w:id="41" w:name="_Toc24860"/>
      <w:bookmarkStart w:id="42" w:name="_Toc819"/>
      <w:r>
        <w:rPr>
          <w:rFonts w:hint="eastAsia" w:ascii="Times New Roman"/>
          <w:color w:val="auto"/>
          <w:sz w:val="30"/>
        </w:rPr>
        <w:t>前言</w:t>
      </w:r>
      <w:bookmarkEnd w:id="29"/>
    </w:p>
    <w:p>
      <w:pPr>
        <w:pStyle w:val="16"/>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6"/>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和其他资料，同时可向销售机构、产品托管人提供前述信息，并留存办理理财业务所需的投资者金融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5.产品管理人将严格履行投资者信息保密义务。除法律法规及监管规范另有规定或者投资者同意披露外，产品管理人不得向任何组织、个人提供或泄漏与投资者有关的资料和信息。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13288"/>
      <w:bookmarkStart w:id="48" w:name="_Toc6683"/>
      <w:bookmarkStart w:id="49" w:name="_Toc22708"/>
      <w:bookmarkStart w:id="50" w:name="_Toc20627"/>
      <w:bookmarkStart w:id="51" w:name="_Toc20318"/>
      <w:bookmarkStart w:id="52" w:name="_Toc545"/>
      <w:bookmarkStart w:id="53" w:name="_Toc733"/>
      <w:bookmarkStart w:id="54" w:name="_Toc74065740"/>
      <w:bookmarkStart w:id="55" w:name="_Toc6149"/>
      <w:bookmarkStart w:id="56" w:name="_Toc18631"/>
      <w:bookmarkStart w:id="57" w:name="_Toc24571"/>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9653764"/>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trPr>
        <w:tc>
          <w:tcPr>
            <w:tcW w:w="1403" w:type="dxa"/>
            <w:gridSpan w:val="2"/>
            <w:vAlign w:val="center"/>
          </w:tcPr>
          <w:p>
            <w:pPr>
              <w:autoSpaceDE w:val="0"/>
              <w:autoSpaceDN w:val="0"/>
              <w:adjustRightInd w:val="0"/>
              <w:snapToGrid w:val="0"/>
              <w:spacing w:line="276" w:lineRule="auto"/>
              <w:jc w:val="left"/>
              <w:rPr>
                <w:rFonts w:ascii="宋体" w:hAnsi="宋体"/>
                <w:b/>
                <w:bCs/>
                <w:sz w:val="18"/>
                <w:szCs w:val="18"/>
              </w:rPr>
            </w:pPr>
            <w:r>
              <w:rPr>
                <w:rFonts w:hint="eastAsia" w:ascii="宋体" w:hAnsi="宋体"/>
                <w:b/>
                <w:bCs/>
                <w:sz w:val="18"/>
                <w:szCs w:val="18"/>
              </w:rPr>
              <w:t>产品份额</w:t>
            </w:r>
            <w:r>
              <w:rPr>
                <w:rFonts w:ascii="宋体" w:hAnsi="宋体"/>
                <w:b/>
                <w:bCs/>
                <w:sz w:val="18"/>
                <w:szCs w:val="18"/>
              </w:rPr>
              <w:t>类别</w:t>
            </w:r>
          </w:p>
        </w:tc>
        <w:tc>
          <w:tcPr>
            <w:tcW w:w="7121" w:type="dxa"/>
            <w:gridSpan w:val="3"/>
            <w:vAlign w:val="center"/>
          </w:tcPr>
          <w:p>
            <w:pPr>
              <w:autoSpaceDE w:val="0"/>
              <w:autoSpaceDN w:val="0"/>
              <w:adjustRightInd w:val="0"/>
              <w:snapToGrid w:val="0"/>
              <w:spacing w:line="276" w:lineRule="auto"/>
              <w:jc w:val="left"/>
              <w:rPr>
                <w:rFonts w:ascii="宋体" w:hAnsi="宋体"/>
                <w:b/>
                <w:bCs/>
                <w:sz w:val="18"/>
                <w:szCs w:val="18"/>
              </w:rPr>
            </w:pPr>
            <w:r>
              <w:rPr>
                <w:rFonts w:hint="eastAsia" w:ascii="宋体" w:hAnsi="宋体"/>
                <w:b/>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6" w:hRule="atLeast"/>
        </w:trPr>
        <w:tc>
          <w:tcPr>
            <w:tcW w:w="1403" w:type="dxa"/>
            <w:gridSpan w:val="2"/>
            <w:vMerge w:val="restart"/>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5" w:hRule="atLeast"/>
        </w:trPr>
        <w:tc>
          <w:tcPr>
            <w:tcW w:w="1403" w:type="dxa"/>
            <w:gridSpan w:val="2"/>
            <w:vMerge w:val="continue"/>
            <w:vAlign w:val="center"/>
          </w:tcPr>
          <w:p>
            <w:pPr>
              <w:autoSpaceDE w:val="0"/>
              <w:autoSpaceDN w:val="0"/>
              <w:adjustRightInd w:val="0"/>
              <w:snapToGrid w:val="0"/>
              <w:spacing w:line="276"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 w:hRule="atLeast"/>
        </w:trPr>
        <w:tc>
          <w:tcPr>
            <w:tcW w:w="1403" w:type="dxa"/>
            <w:gridSpan w:val="2"/>
            <w:vMerge w:val="continue"/>
            <w:vAlign w:val="center"/>
          </w:tcPr>
          <w:p>
            <w:pPr>
              <w:autoSpaceDE w:val="0"/>
              <w:autoSpaceDN w:val="0"/>
              <w:adjustRightInd w:val="0"/>
              <w:snapToGrid w:val="0"/>
              <w:spacing w:line="276"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276"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1403"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276"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兴银理财【天天万利宝稳利】净值型理财</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【2022】年【</w:t>
      </w:r>
      <w:r>
        <w:rPr>
          <w:rStyle w:val="12"/>
          <w:rFonts w:hint="eastAsia" w:ascii="宋体" w:hAnsi="宋体" w:cs="Times New Roman"/>
          <w:sz w:val="32"/>
          <w:szCs w:val="32"/>
          <w:lang w:val="en-US" w:eastAsia="zh-CN"/>
        </w:rPr>
        <w:t>4</w:t>
      </w:r>
      <w:r>
        <w:rPr>
          <w:rStyle w:val="12"/>
          <w:rFonts w:hint="eastAsia" w:ascii="宋体" w:hAnsi="宋体" w:cs="Times New Roman"/>
          <w:sz w:val="32"/>
          <w:szCs w:val="32"/>
        </w:rPr>
        <w:t>】月</w:t>
      </w:r>
    </w:p>
    <w:p>
      <w:pPr>
        <w:adjustRightInd w:val="0"/>
        <w:spacing w:line="360" w:lineRule="auto"/>
        <w:jc w:val="center"/>
        <w:rPr>
          <w:rStyle w:val="12"/>
          <w:rFonts w:ascii="宋体" w:hAnsi="宋体"/>
          <w:sz w:val="32"/>
          <w:szCs w:val="32"/>
        </w:rPr>
      </w:pPr>
    </w:p>
    <w:p>
      <w:pPr>
        <w:pStyle w:val="16"/>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7"/>
            <w:spacing w:line="360" w:lineRule="auto"/>
            <w:jc w:val="center"/>
          </w:pPr>
          <w:bookmarkStart w:id="66" w:name="_Toc78276587"/>
          <w:r>
            <w:rPr>
              <w:lang w:val="zh-CN"/>
            </w:rPr>
            <w:t>目录</w:t>
          </w:r>
        </w:p>
        <w:p>
          <w:pPr>
            <w:pStyle w:val="6"/>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"_Toc83394156"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_Toc83394156 \h </w:instrText>
          </w:r>
          <w:r>
            <w:fldChar w:fldCharType="separate"/>
          </w:r>
          <w:r>
            <w:t>1</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"_Toc83394157"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tab/>
          </w:r>
          <w:r>
            <w:fldChar w:fldCharType="begin"/>
          </w:r>
          <w:r>
            <w:instrText xml:space="preserve"> PAGEREF _Toc83394157 \h </w:instrText>
          </w:r>
          <w:r>
            <w:fldChar w:fldCharType="separate"/>
          </w:r>
          <w:r>
            <w:t>6</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"_Toc83394158"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_Toc83394158 \h </w:instrText>
          </w:r>
          <w:r>
            <w:fldChar w:fldCharType="separate"/>
          </w:r>
          <w:r>
            <w:t>12</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"_Toc83394159"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_Toc83394159 \h </w:instrText>
          </w:r>
          <w:r>
            <w:fldChar w:fldCharType="separate"/>
          </w:r>
          <w:r>
            <w:t>14</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"_Toc83394160"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_Toc83394160 \h </w:instrText>
          </w:r>
          <w:r>
            <w:fldChar w:fldCharType="separate"/>
          </w:r>
          <w:r>
            <w:t>18</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"_Toc83394161"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_Toc83394161 \h </w:instrText>
          </w:r>
          <w:r>
            <w:fldChar w:fldCharType="separate"/>
          </w:r>
          <w:r>
            <w:t>22</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"_Toc83394162"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_Toc83394162 \h </w:instrText>
          </w:r>
          <w:r>
            <w:fldChar w:fldCharType="separate"/>
          </w:r>
          <w:r>
            <w:t>23</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"_Toc83394163"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_Toc83394163 \h </w:instrText>
          </w:r>
          <w:r>
            <w:fldChar w:fldCharType="separate"/>
          </w:r>
          <w:r>
            <w:t>27</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"_Toc83394164"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_Toc83394164 \h </w:instrText>
          </w:r>
          <w:r>
            <w:fldChar w:fldCharType="separate"/>
          </w:r>
          <w:r>
            <w:t>28</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"_Toc83394165"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_Toc83394165 \h </w:instrText>
          </w:r>
          <w:r>
            <w:fldChar w:fldCharType="separate"/>
          </w:r>
          <w:r>
            <w:t>31</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"_Toc83394166"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_Toc83394166 \h </w:instrText>
          </w:r>
          <w:r>
            <w:fldChar w:fldCharType="separate"/>
          </w:r>
          <w:r>
            <w:t>33</w:t>
          </w:r>
          <w:r>
            <w:fldChar w:fldCharType="end"/>
          </w:r>
          <w:r>
            <w:fldChar w:fldCharType="end"/>
          </w:r>
        </w:p>
        <w:p>
          <w:pPr>
            <w:pStyle w:val="6"/>
            <w:spacing w:line="360" w:lineRule="auto"/>
            <w:rPr>
              <w:rFonts w:asciiTheme="minorHAnsi" w:hAnsiTheme="minorHAnsi" w:eastAsiaTheme="minorEastAsia" w:cstheme="minorBidi"/>
              <w:kern w:val="2"/>
              <w:sz w:val="21"/>
            </w:rPr>
          </w:pPr>
          <w:r>
            <w:fldChar w:fldCharType="begin"/>
          </w:r>
          <w:r>
            <w:instrText xml:space="preserve"> HYPERLINK \l "_Toc83394167"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_Toc83394167 \h </w:instrText>
          </w:r>
          <w:r>
            <w:fldChar w:fldCharType="separate"/>
          </w:r>
          <w:r>
            <w:t>35</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67" w:name="_Toc83394156"/>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6"/>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6"/>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：指产品管理人赋予本款产品的唯一性编码。</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理财产品份额净值包括当前理财产品份额净值和累计理财产品份额净值</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指产品目前的净值</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6"/>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6"/>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★业绩报酬计提起点：</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业绩报酬计提起点不代表理财产品未来表现，不等于理财产品实际收益，不作为产品收益的业绩保证，投资须谨慎。</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r>
        <w:rPr>
          <w:rFonts w:hint="eastAsia" w:ascii="黑体" w:hAnsi="黑体" w:eastAsia="黑体"/>
          <w:bCs/>
          <w:color w:val="auto"/>
          <w:sz w:val="18"/>
          <w:szCs w:val="18"/>
        </w:rPr>
        <w:t>在理财产品对外投资资产正常回收的情况下，该等财产性利益包括理财产品本金及理财产品收益。</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★理财产品本金</w:t>
      </w:r>
      <w:r>
        <w:rPr>
          <w:rFonts w:ascii="黑体" w:hAnsi="黑体" w:eastAsia="黑体"/>
          <w:bCs/>
          <w:color w:val="auto"/>
          <w:sz w:val="18"/>
          <w:szCs w:val="18"/>
        </w:rPr>
        <w:t>/理财本金：</w:t>
      </w:r>
      <w:r>
        <w:rPr>
          <w:rFonts w:hint="eastAsia" w:asciiTheme="majorEastAsia" w:hAnsiTheme="majorEastAsia" w:eastAsiaTheme="majorEastAsia"/>
          <w:bCs/>
          <w:color w:val="auto"/>
          <w:sz w:val="18"/>
          <w:szCs w:val="18"/>
        </w:rPr>
        <w:t>指就每一投资者而言，指投资者为认购</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申购理财产品份额而向理财产品管理人交付的货币资金，即投资者的初始投资本金。就每一理财产品份额而言，在本理财产品成立时每一理财产品份额的初始投资本金为</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w:t>
      </w:r>
      <w:r>
        <w:rPr>
          <w:rFonts w:hint="eastAsia" w:ascii="黑体" w:hAnsi="黑体" w:eastAsia="黑体"/>
          <w:bCs/>
          <w:color w:val="auto"/>
          <w:sz w:val="18"/>
          <w:szCs w:val="18"/>
        </w:rPr>
        <w:t>为避免疑义，理财产品本金的称谓仅为方便计算理财产品利益而创设的，并非对投资者理财产品本金不受损失的承诺。</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★理财产品收益</w:t>
      </w:r>
      <w:r>
        <w:rPr>
          <w:rFonts w:ascii="黑体" w:hAnsi="黑体" w:eastAsia="黑体"/>
          <w:bCs/>
          <w:color w:val="auto"/>
          <w:sz w:val="18"/>
          <w:szCs w:val="18"/>
        </w:rPr>
        <w:t>/理财收益：</w:t>
      </w:r>
      <w:r>
        <w:rPr>
          <w:rFonts w:hint="eastAsia" w:asciiTheme="majorEastAsia" w:hAnsiTheme="majorEastAsia" w:eastAsiaTheme="majorEastAsia"/>
          <w:bCs/>
          <w:color w:val="auto"/>
          <w:sz w:val="18"/>
          <w:szCs w:val="18"/>
        </w:rPr>
        <w:t>指投资者投资理财产品获得的投资收益，该收益为其获得分配的全部理财产品利益中扣除理财产品本金的部分。</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16）利益分配：指产品管理人向投资者进行理财产品利益分配。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17）期间分配：指在理财产品终止日（不含当日）前的理财产品利益分配。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18）终止分配：指在理财产品终止日当日及之后的理财产品利益分配。</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21</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22</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23</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24</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6"/>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）收益分配基准日：指本产品管理人以该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理财收益</w:t>
      </w:r>
      <w:r>
        <w:rPr>
          <w:rFonts w:hint="eastAsia" w:hAnsi="宋体"/>
          <w:color w:val="auto"/>
          <w:sz w:val="18"/>
          <w:szCs w:val="18"/>
        </w:rPr>
        <w:t>的日期。</w:t>
      </w:r>
    </w:p>
    <w:p>
      <w:pPr>
        <w:pStyle w:val="16"/>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6"/>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r>
        <w:rPr>
          <w:rFonts w:hint="eastAsia" w:asciiTheme="majorEastAsia" w:hAnsiTheme="majorEastAsia" w:eastAsiaTheme="majorEastAsia"/>
          <w:bCs/>
          <w:color w:val="auto"/>
          <w:sz w:val="18"/>
          <w:szCs w:val="18"/>
        </w:rPr>
        <w:t>投资周期起始日：指每一个投资周期开始的日期。投资周期终止日：指每一个投资周期结束的日期。</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）产品存续期：指自理财产品成立日起，至理财产品终止日的期间。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）清算期：指自本理财产品终止日至投资者理财本金及收益到账日之间的期间。</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6"/>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6"/>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6"/>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6"/>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6"/>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6"/>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83394157"/>
      <w:r>
        <w:rPr>
          <w:rFonts w:hint="eastAsia" w:hAnsi="宋体"/>
          <w:sz w:val="28"/>
          <w:szCs w:val="28"/>
        </w:rPr>
        <w:t>第二条  理财产品基本情况</w:t>
      </w:r>
      <w:bookmarkEnd w:id="68"/>
      <w:bookmarkEnd w:id="69"/>
      <w:r>
        <w:rPr>
          <w:rFonts w:hint="eastAsia" w:hAnsi="宋体"/>
          <w:sz w:val="28"/>
          <w:szCs w:val="28"/>
        </w:rPr>
        <w:t xml:space="preserve"> </w:t>
      </w:r>
    </w:p>
    <w:tbl>
      <w:tblPr>
        <w:tblStyle w:val="9"/>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6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99"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w:t>
            </w:r>
            <w:r>
              <w:rPr>
                <w:rFonts w:hint="eastAsia" w:ascii="宋体" w:hAnsi="宋体"/>
                <w:bCs/>
                <w:sz w:val="18"/>
                <w:szCs w:val="18"/>
                <w:lang w:val="en-US" w:eastAsia="zh-CN"/>
              </w:rPr>
              <w:t>U</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99" w:type="dxa"/>
            <w:shd w:val="solid" w:color="FFFFFF" w:fill="FFFFFF"/>
          </w:tcPr>
          <w:p>
            <w:pPr>
              <w:widowControl/>
              <w:spacing w:line="360" w:lineRule="auto"/>
              <w:jc w:val="left"/>
              <w:rPr>
                <w:rFonts w:hint="eastAsia"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9个月A】（适用【A】类份额）</w:t>
            </w:r>
          </w:p>
          <w:p>
            <w:pPr>
              <w:widowControl/>
              <w:spacing w:line="360" w:lineRule="auto"/>
              <w:jc w:val="left"/>
              <w:rPr>
                <w:rFonts w:hint="eastAsia"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9个月B】（适用【B】类份额）</w:t>
            </w:r>
          </w:p>
          <w:p>
            <w:pPr>
              <w:widowControl/>
              <w:spacing w:line="360" w:lineRule="auto"/>
              <w:jc w:val="left"/>
              <w:rPr>
                <w:rFonts w:ascii="宋体" w:hAnsi="宋体"/>
                <w:bCs/>
                <w:sz w:val="18"/>
                <w:szCs w:val="18"/>
              </w:rPr>
            </w:pPr>
            <w:r>
              <w:rPr>
                <w:rFonts w:hint="eastAsia" w:ascii="宋体" w:hAnsi="宋体"/>
                <w:bCs/>
                <w:sz w:val="18"/>
                <w:szCs w:val="18"/>
              </w:rPr>
              <w:t>【稳利恒盈6号</w:t>
            </w:r>
            <w:r>
              <w:rPr>
                <w:rFonts w:hint="eastAsia" w:ascii="宋体" w:hAnsi="宋体"/>
                <w:bCs/>
                <w:sz w:val="18"/>
                <w:szCs w:val="18"/>
                <w:lang w:val="en-US" w:eastAsia="zh-CN"/>
              </w:rPr>
              <w:t>U</w:t>
            </w:r>
            <w:r>
              <w:rPr>
                <w:rFonts w:hint="eastAsia" w:ascii="宋体" w:hAnsi="宋体"/>
                <w:bCs/>
                <w:sz w:val="18"/>
                <w:szCs w:val="18"/>
              </w:rPr>
              <w:t>款 9个月C】（适用【C】类份额）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99" w:type="dxa"/>
            <w:shd w:val="solid" w:color="FFFFFF" w:fill="FFFFFF"/>
          </w:tcPr>
          <w:p>
            <w:pPr>
              <w:spacing w:line="360" w:lineRule="auto"/>
              <w:rPr>
                <w:rFonts w:ascii="宋体" w:hAnsi="宋体"/>
                <w:bCs/>
                <w:sz w:val="18"/>
                <w:szCs w:val="18"/>
              </w:rPr>
            </w:pPr>
            <w:r>
              <w:rPr>
                <w:rFonts w:hint="eastAsia" w:ascii="宋体" w:hAnsi="宋体"/>
                <w:bCs/>
                <w:sz w:val="18"/>
                <w:szCs w:val="18"/>
              </w:rPr>
              <w:t>【Z7002021000204】投资者可依据理财产品登记编码在中国理财网</w:t>
            </w:r>
            <w:r>
              <w:rPr>
                <w:rFonts w:ascii="宋体" w:hAnsi="宋体"/>
                <w:bCs/>
                <w:sz w:val="18"/>
                <w:szCs w:val="18"/>
              </w:rPr>
              <w:t>(</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r>
              <w:rPr>
                <w:rFonts w:ascii="宋体" w:hAnsi="宋体"/>
                <w:bCs/>
                <w:sz w:val="18"/>
                <w:szCs w:val="18"/>
              </w:rPr>
              <w:t>）</w:t>
            </w:r>
            <w:r>
              <w:rPr>
                <w:rFonts w:hint="eastAsia" w:ascii="宋体" w:hAnsi="宋体"/>
                <w:bCs/>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99"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【9K2092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销售代码</w:t>
            </w:r>
          </w:p>
        </w:tc>
        <w:tc>
          <w:tcPr>
            <w:tcW w:w="7699" w:type="dxa"/>
            <w:shd w:val="solid" w:color="FFFFFF" w:fill="FFFFFF"/>
            <w:vAlign w:val="center"/>
          </w:tcPr>
          <w:p>
            <w:pPr>
              <w:widowControl/>
              <w:spacing w:line="360" w:lineRule="auto"/>
              <w:jc w:val="left"/>
              <w:rPr>
                <w:rFonts w:hint="eastAsia" w:ascii="宋体" w:hAnsi="宋体"/>
                <w:bCs/>
                <w:sz w:val="18"/>
                <w:szCs w:val="18"/>
              </w:rPr>
            </w:pPr>
            <w:r>
              <w:rPr>
                <w:rFonts w:hint="eastAsia" w:ascii="宋体" w:hAnsi="宋体"/>
                <w:bCs/>
                <w:sz w:val="18"/>
                <w:szCs w:val="18"/>
              </w:rPr>
              <w:t>【9K20925A】（适用A类份额）</w:t>
            </w:r>
          </w:p>
          <w:p>
            <w:pPr>
              <w:widowControl/>
              <w:spacing w:line="360" w:lineRule="auto"/>
              <w:jc w:val="left"/>
              <w:rPr>
                <w:rFonts w:hint="eastAsia" w:ascii="宋体" w:hAnsi="宋体"/>
                <w:bCs/>
                <w:sz w:val="18"/>
                <w:szCs w:val="18"/>
              </w:rPr>
            </w:pPr>
            <w:r>
              <w:rPr>
                <w:rFonts w:hint="eastAsia" w:ascii="宋体" w:hAnsi="宋体"/>
                <w:bCs/>
                <w:sz w:val="18"/>
                <w:szCs w:val="18"/>
              </w:rPr>
              <w:t>【9K2092</w:t>
            </w:r>
            <w:r>
              <w:rPr>
                <w:rFonts w:hint="eastAsia" w:ascii="宋体" w:hAnsi="宋体"/>
                <w:bCs/>
                <w:sz w:val="18"/>
                <w:szCs w:val="18"/>
                <w:lang w:val="en-US" w:eastAsia="zh-CN"/>
              </w:rPr>
              <w:t>5</w:t>
            </w:r>
            <w:r>
              <w:rPr>
                <w:rFonts w:hint="eastAsia" w:ascii="宋体" w:hAnsi="宋体"/>
                <w:bCs/>
                <w:sz w:val="18"/>
                <w:szCs w:val="18"/>
              </w:rPr>
              <w:t>B】（适用B类份额）</w:t>
            </w:r>
          </w:p>
          <w:p>
            <w:pPr>
              <w:spacing w:line="360" w:lineRule="auto"/>
              <w:jc w:val="left"/>
              <w:rPr>
                <w:rFonts w:ascii="宋体" w:hAnsi="宋体"/>
                <w:bCs/>
                <w:sz w:val="18"/>
                <w:szCs w:val="18"/>
              </w:rPr>
            </w:pPr>
            <w:r>
              <w:rPr>
                <w:rFonts w:hint="eastAsia" w:ascii="宋体" w:hAnsi="宋体"/>
                <w:bCs/>
                <w:sz w:val="18"/>
                <w:szCs w:val="18"/>
              </w:rPr>
              <w:t>【9K2092</w:t>
            </w:r>
            <w:r>
              <w:rPr>
                <w:rFonts w:hint="eastAsia" w:ascii="宋体" w:hAnsi="宋体"/>
                <w:bCs/>
                <w:sz w:val="18"/>
                <w:szCs w:val="18"/>
                <w:lang w:val="en-US" w:eastAsia="zh-CN"/>
              </w:rPr>
              <w:t>5</w:t>
            </w:r>
            <w:r>
              <w:rPr>
                <w:rFonts w:hint="eastAsia" w:ascii="宋体" w:hAnsi="宋体"/>
                <w:bCs/>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99"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99"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99"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99"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99"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pStyle w:val="3"/>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99"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99"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99"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99" w:type="dxa"/>
            <w:shd w:val="solid" w:color="FFFFFF" w:fill="FFFFFF"/>
            <w:vAlign w:val="bottom"/>
          </w:tcPr>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面向【兴业银行及代销机构零售客户】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w:t>
            </w:r>
            <w:r>
              <w:rPr>
                <w:rFonts w:cs="Times New Roman" w:asciiTheme="minorEastAsia" w:hAnsiTheme="minorEastAsia"/>
                <w:color w:val="000000" w:themeColor="text1"/>
                <w:sz w:val="18"/>
                <w:szCs w:val="18"/>
                <w14:textFill>
                  <w14:solidFill>
                    <w14:schemeClr w14:val="tx1"/>
                  </w14:solidFill>
                </w14:textFill>
              </w:rPr>
              <w:t>021</w:t>
            </w:r>
            <w:r>
              <w:rPr>
                <w:rFonts w:hint="eastAsia" w:cs="Times New Roman" w:asciiTheme="minorEastAsia" w:hAnsiTheme="minorEastAsia"/>
                <w:color w:val="000000" w:themeColor="text1"/>
                <w:sz w:val="18"/>
                <w:szCs w:val="18"/>
                <w14:textFill>
                  <w14:solidFill>
                    <w14:schemeClr w14:val="tx1"/>
                  </w14:solidFill>
                </w14:textFill>
              </w:rPr>
              <w:t>】年【</w:t>
            </w:r>
            <w:r>
              <w:rPr>
                <w:rFonts w:hint="eastAsia" w:cs="Times New Roman" w:asciiTheme="minorEastAsia" w:hAnsiTheme="minorEastAsia"/>
                <w:color w:val="000000" w:themeColor="text1"/>
                <w:sz w:val="18"/>
                <w:szCs w:val="18"/>
                <w:lang w:val="en-US" w:eastAsia="zh-CN"/>
                <w14:textFill>
                  <w14:solidFill>
                    <w14:schemeClr w14:val="tx1"/>
                  </w14:solidFill>
                </w14:textFill>
              </w:rPr>
              <w:t>7</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15</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仿宋_GB2312" w:asciiTheme="minorEastAsia" w:hAnsiTheme="minorEastAsia"/>
                <w:color w:val="000000" w:themeColor="text1"/>
                <w:sz w:val="18"/>
                <w:szCs w:val="18"/>
                <w14:textFill>
                  <w14:solidFill>
                    <w14:schemeClr w14:val="tx1"/>
                  </w14:solidFill>
                </w14:textFill>
              </w:rPr>
              <w:t>至【2</w:t>
            </w:r>
            <w:r>
              <w:rPr>
                <w:rFonts w:cs="仿宋_GB2312" w:asciiTheme="minorEastAsia" w:hAnsiTheme="minorEastAsia"/>
                <w:color w:val="000000" w:themeColor="text1"/>
                <w:sz w:val="18"/>
                <w:szCs w:val="18"/>
                <w14:textFill>
                  <w14:solidFill>
                    <w14:schemeClr w14:val="tx1"/>
                  </w14:solidFill>
                </w14:textFill>
              </w:rPr>
              <w:t>02</w:t>
            </w:r>
            <w:r>
              <w:rPr>
                <w:rFonts w:hint="eastAsia" w:cs="仿宋_GB2312" w:asciiTheme="minorEastAsia" w:hAnsiTheme="minorEastAsia"/>
                <w:color w:val="000000" w:themeColor="text1"/>
                <w:sz w:val="18"/>
                <w:szCs w:val="18"/>
                <w14:textFill>
                  <w14:solidFill>
                    <w14:schemeClr w14:val="tx1"/>
                  </w14:solidFill>
                </w14:textFill>
              </w:rPr>
              <w:t>1】</w:t>
            </w:r>
            <w:r>
              <w:rPr>
                <w:rFonts w:hint="eastAsia" w:cs="Times New Roman" w:asciiTheme="minorEastAsia" w:hAnsiTheme="minorEastAsia"/>
                <w:color w:val="000000" w:themeColor="text1"/>
                <w:sz w:val="18"/>
                <w:szCs w:val="18"/>
                <w14:textFill>
                  <w14:solidFill>
                    <w14:schemeClr w14:val="tx1"/>
                  </w14:solidFill>
                </w14:textFill>
              </w:rPr>
              <w:t>年【7】月【</w:t>
            </w:r>
            <w:r>
              <w:rPr>
                <w:rFonts w:hint="eastAsia" w:cs="Times New Roman" w:asciiTheme="minorEastAsia" w:hAnsiTheme="minorEastAsia"/>
                <w:color w:val="000000" w:themeColor="text1"/>
                <w:sz w:val="18"/>
                <w:szCs w:val="18"/>
                <w:lang w:val="en-US" w:eastAsia="zh-CN"/>
                <w14:textFill>
                  <w14:solidFill>
                    <w14:schemeClr w14:val="tx1"/>
                  </w14:solidFill>
                </w14:textFill>
              </w:rPr>
              <w:t>21</w:t>
            </w:r>
            <w:r>
              <w:rPr>
                <w:rFonts w:hint="eastAsia" w:cs="Times New Roman" w:asciiTheme="minorEastAsia" w:hAnsiTheme="minorEastAsia"/>
                <w:color w:val="000000" w:themeColor="text1"/>
                <w:sz w:val="18"/>
                <w:szCs w:val="18"/>
                <w14:textFill>
                  <w14:solidFill>
                    <w14:schemeClr w14:val="tx1"/>
                  </w14:solidFill>
                </w14:textFill>
              </w:rPr>
              <w:t>】日</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Theme="majorEastAsia" w:hAnsiTheme="majorEastAsia" w:eastAsiaTheme="majorEastAsia"/>
                <w:bCs/>
                <w:sz w:val="18"/>
                <w:szCs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募集期内资金按照活期存款利息计息，认购期/募集期内的利息不计入认购本金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.本产品成立日为</w:t>
            </w:r>
            <w:r>
              <w:rPr>
                <w:rFonts w:asciiTheme="minorEastAsia" w:hAnsiTheme="minorEastAsia"/>
                <w:bCs/>
                <w:sz w:val="18"/>
                <w:szCs w:val="18"/>
              </w:rPr>
              <w:t>：</w:t>
            </w:r>
            <w:r>
              <w:rPr>
                <w:rFonts w:hint="eastAsia" w:cs="Times New Roman" w:asciiTheme="minorEastAsia" w:hAnsiTheme="minorEastAsia"/>
                <w:sz w:val="18"/>
                <w:szCs w:val="18"/>
              </w:rPr>
              <w:t>【2021】年【</w:t>
            </w:r>
            <w:r>
              <w:rPr>
                <w:rFonts w:cs="Times New Roman" w:asciiTheme="minorEastAsia" w:hAnsiTheme="minorEastAsia"/>
                <w:sz w:val="18"/>
                <w:szCs w:val="18"/>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cs="Times New Roman" w:asciiTheme="minorEastAsia" w:hAnsiTheme="minorEastAsia"/>
                <w:sz w:val="18"/>
                <w:szCs w:val="18"/>
              </w:rPr>
              <w:t>2</w:t>
            </w:r>
            <w:r>
              <w:rPr>
                <w:rFonts w:hint="eastAsia" w:cs="Times New Roman" w:asciiTheme="minorEastAsia" w:hAnsiTheme="minorEastAsia"/>
                <w:sz w:val="18"/>
                <w:szCs w:val="18"/>
              </w:rPr>
              <w:t>】日</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699"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该</w:t>
            </w:r>
            <w:r>
              <w:rPr>
                <w:rFonts w:hint="eastAsia" w:asciiTheme="majorEastAsia" w:hAnsiTheme="majorEastAsia" w:eastAsiaTheme="majorEastAsia"/>
                <w:bCs/>
                <w:color w:val="000000" w:themeColor="text1"/>
                <w:sz w:val="18"/>
                <w:szCs w:val="18"/>
                <w14:textFill>
                  <w14:solidFill>
                    <w14:schemeClr w14:val="tx1"/>
                  </w14:solidFill>
                </w14:textFill>
              </w:rPr>
              <w:t>投资者对应产品份额的认购确认日</w:t>
            </w:r>
            <w:r>
              <w:rPr>
                <w:rFonts w:asciiTheme="majorEastAsia" w:hAnsiTheme="majorEastAsia" w:eastAsiaTheme="majorEastAsia"/>
                <w:bCs/>
                <w:color w:val="000000" w:themeColor="text1"/>
                <w:sz w:val="18"/>
                <w:szCs w:val="18"/>
                <w14:textFill>
                  <w14:solidFill>
                    <w14:schemeClr w14:val="tx1"/>
                  </w14:solidFill>
                </w14:textFill>
              </w:rPr>
              <w:t>/申购确认日</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至该投资者对应产品份额的赎回确认日的期间。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正常情况下，本产品的一个投资周期为【9个月】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投资周期存在长于或短于【9个月】的可能，投资者具体投资周期以本产品说明书“申购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如果投资者在本产品提前终止时仍有未赎回的资金，则产品管理人将于提前终止日将未赎回的产品资金自动进行清算，于提前终止日分配理财资金，本产品终止。</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699"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1）预约申购具体安排如下：</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①第1次预约申购</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预约申购期：【2022】年【04】月【14】日11:00至【2022】年【04】月【20】日15:45；</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申购日：【2022】年【04】月【20】日；</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申购确认日为申购日后【2】个工作日内；</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投资周期【273】天；</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②第2次预约申购</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预约申购期：【2022】年【04】月【21】日11:00至【2022】年【04】月【27】日15:45；</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申购日：【2022】年【04】月【27】日；</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申购确认日为申购日后【2】个工作日内；</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投资周期【266】天；</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③第3次预约申购</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预约申购期：【2022】年【04】月【28】日11:00至【2022】年【05】月【05】日15:45；</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申购日：【2022】年【05】月【05】日；</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申购确认日为申购日后【2】个工作日内；</w:t>
            </w:r>
          </w:p>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投资周期【258】天；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注：</w:t>
            </w:r>
          </w:p>
          <w:p>
            <w:pPr>
              <w:pStyle w:val="14"/>
              <w:numPr>
                <w:ilvl w:val="0"/>
                <w:numId w:val="2"/>
              </w:numPr>
              <w:spacing w:line="360" w:lineRule="auto"/>
              <w:ind w:firstLineChars="0"/>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每个预约申购期内最后一个</w:t>
            </w:r>
            <w:r>
              <w:rPr>
                <w:rFonts w:cs="Times New Roman" w:asciiTheme="minorEastAsia" w:hAnsiTheme="minorEastAsia"/>
                <w:sz w:val="18"/>
                <w:szCs w:val="18"/>
              </w:rPr>
              <w:t>工作日</w:t>
            </w:r>
            <w:r>
              <w:rPr>
                <w:rFonts w:hint="eastAsia" w:cs="Times New Roman" w:asciiTheme="minorEastAsia" w:hAnsiTheme="minorEastAsia"/>
                <w:sz w:val="18"/>
                <w:szCs w:val="18"/>
              </w:rPr>
              <w:t>为申购日，</w:t>
            </w:r>
            <w:r>
              <w:rPr>
                <w:rFonts w:hint="eastAsia" w:asciiTheme="majorEastAsia" w:hAnsiTheme="majorEastAsia" w:eastAsiaTheme="majorEastAsia"/>
                <w:bCs/>
                <w:color w:val="000000" w:themeColor="text1"/>
                <w:sz w:val="18"/>
                <w:szCs w:val="18"/>
                <w14:textFill>
                  <w14:solidFill>
                    <w14:schemeClr w14:val="tx1"/>
                  </w14:solidFill>
                </w14:textFill>
              </w:rPr>
              <w:t>申购确认日为申购日后【2】</w:t>
            </w:r>
            <w:r>
              <w:rPr>
                <w:rFonts w:asciiTheme="majorEastAsia" w:hAnsiTheme="majorEastAsia" w:eastAsiaTheme="majorEastAsia"/>
                <w:bCs/>
                <w:color w:val="000000" w:themeColor="text1"/>
                <w:sz w:val="18"/>
                <w:szCs w:val="18"/>
                <w14:textFill>
                  <w14:solidFill>
                    <w14:schemeClr w14:val="tx1"/>
                  </w14:solidFill>
                </w14:textFill>
              </w:rPr>
              <w:t>个工作日</w:t>
            </w:r>
            <w:r>
              <w:rPr>
                <w:rFonts w:hint="eastAsia" w:asciiTheme="majorEastAsia" w:hAnsiTheme="majorEastAsia" w:eastAsiaTheme="majorEastAsia"/>
                <w:bCs/>
                <w:color w:val="000000" w:themeColor="text1"/>
                <w:sz w:val="18"/>
                <w:szCs w:val="18"/>
                <w14:textFill>
                  <w14:solidFill>
                    <w14:schemeClr w14:val="tx1"/>
                  </w14:solidFill>
                </w14:textFill>
              </w:rPr>
              <w:t>内。</w:t>
            </w:r>
          </w:p>
          <w:p>
            <w:pPr>
              <w:pStyle w:val="14"/>
              <w:numPr>
                <w:ilvl w:val="0"/>
                <w:numId w:val="2"/>
              </w:numPr>
              <w:spacing w:line="360" w:lineRule="auto"/>
              <w:ind w:firstLineChars="0"/>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投资者可在</w:t>
            </w:r>
            <w:r>
              <w:rPr>
                <w:rFonts w:hint="eastAsia" w:asciiTheme="majorEastAsia" w:hAnsiTheme="majorEastAsia" w:eastAsiaTheme="majorEastAsia"/>
                <w:bCs/>
                <w:color w:val="000000" w:themeColor="text1"/>
                <w:sz w:val="18"/>
                <w:szCs w:val="18"/>
                <w14:textFill>
                  <w14:solidFill>
                    <w14:schemeClr w14:val="tx1"/>
                  </w14:solidFill>
                </w14:textFill>
              </w:rPr>
              <w:t>预约申购期内进行</w:t>
            </w:r>
            <w:r>
              <w:rPr>
                <w:rFonts w:asciiTheme="majorEastAsia" w:hAnsiTheme="majorEastAsia" w:eastAsiaTheme="majorEastAsia"/>
                <w:bCs/>
                <w:color w:val="000000" w:themeColor="text1"/>
                <w:sz w:val="18"/>
                <w:szCs w:val="18"/>
                <w14:textFill>
                  <w14:solidFill>
                    <w14:schemeClr w14:val="tx1"/>
                  </w14:solidFill>
                </w14:textFill>
              </w:rPr>
              <w:t>预约申购，</w:t>
            </w:r>
            <w:r>
              <w:rPr>
                <w:rFonts w:hint="eastAsia" w:asciiTheme="majorEastAsia" w:hAnsiTheme="majorEastAsia" w:eastAsiaTheme="majorEastAsia"/>
                <w:bCs/>
                <w:color w:val="000000" w:themeColor="text1"/>
                <w:sz w:val="18"/>
                <w:szCs w:val="18"/>
                <w14:textFill>
                  <w14:solidFill>
                    <w14:schemeClr w14:val="tx1"/>
                  </w14:solidFill>
                </w14:textFill>
              </w:rPr>
              <w:t>产品管理人于申购确认日确认预约</w:t>
            </w:r>
            <w:r>
              <w:rPr>
                <w:rFonts w:asciiTheme="majorEastAsia" w:hAnsiTheme="majorEastAsia" w:eastAsiaTheme="majorEastAsia"/>
                <w:bCs/>
                <w:color w:val="000000" w:themeColor="text1"/>
                <w:sz w:val="18"/>
                <w:szCs w:val="18"/>
                <w14:textFill>
                  <w14:solidFill>
                    <w14:schemeClr w14:val="tx1"/>
                  </w14:solidFill>
                </w14:textFill>
              </w:rPr>
              <w:t>申购的产品份额。</w:t>
            </w:r>
          </w:p>
          <w:p>
            <w:pPr>
              <w:pStyle w:val="14"/>
              <w:numPr>
                <w:ilvl w:val="0"/>
                <w:numId w:val="2"/>
              </w:numPr>
              <w:spacing w:line="360" w:lineRule="auto"/>
              <w:ind w:firstLineChars="0"/>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2）预约</w:t>
            </w:r>
            <w:r>
              <w:rPr>
                <w:rFonts w:hint="eastAsia" w:asciiTheme="majorEastAsia" w:hAnsiTheme="majorEastAsia" w:eastAsiaTheme="majorEastAsia"/>
                <w:bCs/>
                <w:color w:val="000000" w:themeColor="text1"/>
                <w:sz w:val="18"/>
                <w:szCs w:val="18"/>
                <w14:textFill>
                  <w14:solidFill>
                    <w14:schemeClr w14:val="tx1"/>
                  </w14:solidFill>
                </w14:textFill>
              </w:rPr>
              <w:t>赎回具体安排如下：</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预约赎回期：【2023】年【01】月【05】日00:00至【2023】年【01】月【18】日15:45；</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赎回日：【2023】年【01】月【18】日；</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赎回确认日为赎回日后【2】个工作日内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注</w:t>
            </w:r>
            <w:r>
              <w:rPr>
                <w:rFonts w:asciiTheme="majorEastAsia" w:hAnsiTheme="majorEastAsia" w:eastAsiaTheme="majorEastAsia"/>
                <w:bCs/>
                <w:color w:val="000000" w:themeColor="text1"/>
                <w:sz w:val="18"/>
                <w:szCs w:val="18"/>
                <w14:textFill>
                  <w14:solidFill>
                    <w14:schemeClr w14:val="tx1"/>
                  </w14:solidFill>
                </w14:textFill>
              </w:rPr>
              <w:t>：</w:t>
            </w:r>
          </w:p>
          <w:p>
            <w:pPr>
              <w:pStyle w:val="14"/>
              <w:numPr>
                <w:ilvl w:val="0"/>
                <w:numId w:val="3"/>
              </w:numPr>
              <w:spacing w:line="360" w:lineRule="auto"/>
              <w:ind w:firstLineChars="0"/>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每个预约赎回期内最后一个</w:t>
            </w:r>
            <w:r>
              <w:rPr>
                <w:rFonts w:cs="Times New Roman" w:asciiTheme="minorEastAsia" w:hAnsiTheme="minorEastAsia"/>
                <w:sz w:val="18"/>
                <w:szCs w:val="18"/>
              </w:rPr>
              <w:t>工作日</w:t>
            </w:r>
            <w:r>
              <w:rPr>
                <w:rFonts w:hint="eastAsia" w:cs="Times New Roman" w:asciiTheme="minorEastAsia" w:hAnsiTheme="minorEastAsia"/>
                <w:sz w:val="18"/>
                <w:szCs w:val="18"/>
              </w:rPr>
              <w:t>为赎回日，</w:t>
            </w:r>
            <w:r>
              <w:rPr>
                <w:rFonts w:hint="eastAsia" w:asciiTheme="majorEastAsia" w:hAnsiTheme="majorEastAsia" w:eastAsiaTheme="majorEastAsia"/>
                <w:bCs/>
                <w:color w:val="000000" w:themeColor="text1"/>
                <w:sz w:val="18"/>
                <w:szCs w:val="18"/>
                <w14:textFill>
                  <w14:solidFill>
                    <w14:schemeClr w14:val="tx1"/>
                  </w14:solidFill>
                </w14:textFill>
              </w:rPr>
              <w:t>赎回确认日为赎回日后【2】</w:t>
            </w:r>
            <w:r>
              <w:rPr>
                <w:rFonts w:asciiTheme="majorEastAsia" w:hAnsiTheme="majorEastAsia" w:eastAsiaTheme="majorEastAsia"/>
                <w:bCs/>
                <w:color w:val="000000" w:themeColor="text1"/>
                <w:sz w:val="18"/>
                <w:szCs w:val="18"/>
                <w14:textFill>
                  <w14:solidFill>
                    <w14:schemeClr w14:val="tx1"/>
                  </w14:solidFill>
                </w14:textFill>
              </w:rPr>
              <w:t>个工作日</w:t>
            </w:r>
            <w:r>
              <w:rPr>
                <w:rFonts w:hint="eastAsia" w:asciiTheme="majorEastAsia" w:hAnsiTheme="majorEastAsia" w:eastAsiaTheme="majorEastAsia"/>
                <w:bCs/>
                <w:color w:val="000000" w:themeColor="text1"/>
                <w:sz w:val="18"/>
                <w:szCs w:val="18"/>
                <w14:textFill>
                  <w14:solidFill>
                    <w14:schemeClr w14:val="tx1"/>
                  </w14:solidFill>
                </w14:textFill>
              </w:rPr>
              <w:t>内。</w:t>
            </w:r>
          </w:p>
          <w:p>
            <w:pPr>
              <w:pStyle w:val="14"/>
              <w:numPr>
                <w:ilvl w:val="0"/>
                <w:numId w:val="3"/>
              </w:numPr>
              <w:spacing w:line="360" w:lineRule="auto"/>
              <w:ind w:firstLineChars="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投资者可在预约赎回期内进行</w:t>
            </w:r>
            <w:r>
              <w:rPr>
                <w:rFonts w:asciiTheme="majorEastAsia" w:hAnsiTheme="majorEastAsia" w:eastAsiaTheme="majorEastAsia"/>
                <w:bCs/>
                <w:color w:val="000000" w:themeColor="text1"/>
                <w:sz w:val="18"/>
                <w:szCs w:val="18"/>
                <w14:textFill>
                  <w14:solidFill>
                    <w14:schemeClr w14:val="tx1"/>
                  </w14:solidFill>
                </w14:textFill>
              </w:rPr>
              <w:t>预约赎回,产品管理人于赎回确认日确认</w:t>
            </w:r>
            <w:r>
              <w:rPr>
                <w:rFonts w:hint="eastAsia" w:asciiTheme="majorEastAsia" w:hAnsiTheme="majorEastAsia" w:eastAsiaTheme="majorEastAsia"/>
                <w:bCs/>
                <w:color w:val="000000" w:themeColor="text1"/>
                <w:sz w:val="18"/>
                <w:szCs w:val="18"/>
                <w14:textFill>
                  <w14:solidFill>
                    <w14:schemeClr w14:val="tx1"/>
                  </w14:solidFill>
                </w14:textFill>
              </w:rPr>
              <w:t>预约</w:t>
            </w:r>
            <w:r>
              <w:rPr>
                <w:rFonts w:asciiTheme="majorEastAsia" w:hAnsiTheme="majorEastAsia" w:eastAsiaTheme="majorEastAsia"/>
                <w:bCs/>
                <w:color w:val="000000" w:themeColor="text1"/>
                <w:sz w:val="18"/>
                <w:szCs w:val="18"/>
                <w14:textFill>
                  <w14:solidFill>
                    <w14:schemeClr w14:val="tx1"/>
                  </w14:solidFill>
                </w14:textFill>
              </w:rPr>
              <w:t>赎回</w:t>
            </w:r>
            <w:r>
              <w:rPr>
                <w:rFonts w:hint="eastAsia" w:asciiTheme="majorEastAsia" w:hAnsiTheme="majorEastAsia" w:eastAsiaTheme="majorEastAsia"/>
                <w:bCs/>
                <w:color w:val="000000" w:themeColor="text1"/>
                <w:sz w:val="18"/>
                <w:szCs w:val="18"/>
                <w14:textFill>
                  <w14:solidFill>
                    <w14:schemeClr w14:val="tx1"/>
                  </w14:solidFill>
                </w14:textFill>
              </w:rPr>
              <w:t>的</w:t>
            </w:r>
            <w:r>
              <w:rPr>
                <w:rFonts w:asciiTheme="majorEastAsia" w:hAnsiTheme="majorEastAsia" w:eastAsiaTheme="majorEastAsia"/>
                <w:bCs/>
                <w:color w:val="000000" w:themeColor="text1"/>
                <w:sz w:val="18"/>
                <w:szCs w:val="18"/>
                <w14:textFill>
                  <w14:solidFill>
                    <w14:schemeClr w14:val="tx1"/>
                  </w14:solidFill>
                </w14:textFill>
              </w:rPr>
              <w:t>产品份额。</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tabs>
                <w:tab w:val="center" w:pos="4153"/>
                <w:tab w:val="right" w:pos="8306"/>
              </w:tabs>
              <w:snapToGrid w:val="0"/>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A</w:t>
            </w:r>
            <w:r>
              <w:rPr>
                <w:rFonts w:asciiTheme="majorEastAsia" w:hAnsiTheme="majorEastAsia" w:eastAsiaTheme="majorEastAsia"/>
                <w:sz w:val="18"/>
                <w:szCs w:val="18"/>
              </w:rPr>
              <w:t>/C</w:t>
            </w:r>
            <w:r>
              <w:rPr>
                <w:rFonts w:hint="eastAsia" w:asciiTheme="majorEastAsia" w:hAnsiTheme="majorEastAsia" w:eastAsiaTheme="majorEastAsia"/>
                <w:sz w:val="18"/>
                <w:szCs w:val="18"/>
              </w:rPr>
              <w:t>类份额：每笔</w:t>
            </w:r>
            <w:r>
              <w:rPr>
                <w:rFonts w:hint="eastAsia" w:asciiTheme="majorEastAsia" w:hAnsiTheme="majorEastAsia" w:eastAsiaTheme="majorEastAsia"/>
                <w:bCs/>
                <w:sz w:val="18"/>
                <w:szCs w:val="18"/>
              </w:rPr>
              <w:t>购买起点金额为【1.00】元；超出起点金额的部分以【0.01】元的整数倍递增。</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B类份额</w:t>
            </w: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300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000.00</w:t>
            </w:r>
            <w:r>
              <w:rPr>
                <w:rFonts w:hint="eastAsia" w:asciiTheme="majorEastAsia" w:hAnsiTheme="majorEastAsia" w:eastAsiaTheme="majorEastAsia"/>
                <w:bCs/>
                <w:sz w:val="18"/>
                <w:szCs w:val="18"/>
              </w:rPr>
              <w:t>】元；超出起点金额的部分以【1</w:t>
            </w:r>
            <w:r>
              <w:rPr>
                <w:rFonts w:asciiTheme="majorEastAsia" w:hAnsiTheme="majorEastAsia" w:eastAsiaTheme="majorEastAsia"/>
                <w:bCs/>
                <w:sz w:val="18"/>
                <w:szCs w:val="18"/>
              </w:rPr>
              <w:t>0,000.00</w:t>
            </w:r>
            <w:r>
              <w:rPr>
                <w:rFonts w:hint="eastAsia" w:asciiTheme="majorEastAsia" w:hAnsiTheme="majorEastAsia" w:eastAsiaTheme="majorEastAsia"/>
                <w:bCs/>
                <w:sz w:val="18"/>
                <w:szCs w:val="18"/>
              </w:rPr>
              <w:t>】元的整数倍递增。</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699" w:type="dxa"/>
            <w:shd w:val="solid" w:color="FFFFFF" w:fill="FFFFFF"/>
            <w:vAlign w:val="center"/>
          </w:tcPr>
          <w:p>
            <w:pPr>
              <w:pStyle w:val="16"/>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6"/>
              <w:spacing w:line="360" w:lineRule="auto"/>
              <w:rPr>
                <w:rFonts w:hAnsi="宋体"/>
                <w:bCs/>
                <w:kern w:val="2"/>
                <w:sz w:val="18"/>
                <w:szCs w:val="18"/>
              </w:rPr>
            </w:pPr>
            <w:r>
              <w:rPr>
                <w:rFonts w:hint="eastAsia" w:asciiTheme="minorEastAsia" w:hAnsiTheme="minorEastAsia" w:eastAsiaTheme="minorEastAsia"/>
                <w:color w:val="auto"/>
                <w:sz w:val="18"/>
                <w:szCs w:val="18"/>
              </w:rPr>
              <w:t>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【/】份，符合产品管理人流动性管理的稳定资金除外。如需突破最高持有上限，请与产品管理人或销售机构客户经理联系。</w:t>
            </w:r>
          </w:p>
          <w:p>
            <w:pPr>
              <w:pStyle w:val="16"/>
              <w:spacing w:line="360" w:lineRule="auto"/>
              <w:rPr>
                <w:rFonts w:asciiTheme="minorEastAsia" w:hAnsiTheme="minorEastAsia" w:eastAsiaTheme="minorEastAsia"/>
                <w:color w:val="auto"/>
                <w:kern w:val="2"/>
                <w:sz w:val="18"/>
                <w:szCs w:val="18"/>
              </w:rPr>
            </w:pPr>
            <w:r>
              <w:rPr>
                <w:rFonts w:hint="eastAsia" w:hAnsi="宋体"/>
                <w:bCs/>
                <w:sz w:val="18"/>
                <w:szCs w:val="18"/>
              </w:rPr>
              <w:t>2.</w:t>
            </w:r>
            <w:r>
              <w:rPr>
                <w:rFonts w:hint="eastAsia" w:asciiTheme="minorEastAsia" w:hAnsiTheme="minorEastAsia" w:eastAsiaTheme="minorEastAsia"/>
                <w:color w:val="auto"/>
                <w:sz w:val="18"/>
                <w:szCs w:val="18"/>
              </w:rPr>
              <w:t xml:space="preserve"> 申购的数量限制</w:t>
            </w:r>
          </w:p>
          <w:p>
            <w:pPr>
              <w:pStyle w:val="16"/>
              <w:spacing w:line="360" w:lineRule="auto"/>
              <w:rPr>
                <w:rFonts w:asciiTheme="minorEastAsia" w:hAnsiTheme="minorEastAsia" w:eastAsiaTheme="minorEastAsia"/>
                <w:color w:val="auto"/>
                <w:kern w:val="2"/>
                <w:sz w:val="18"/>
                <w:szCs w:val="18"/>
              </w:rPr>
            </w:pPr>
            <w:r>
              <w:rPr>
                <w:rFonts w:hint="eastAsia" w:asciiTheme="minorEastAsia" w:hAnsiTheme="minorEastAsia" w:eastAsiaTheme="minorEastAsia"/>
                <w:color w:val="auto"/>
                <w:sz w:val="18"/>
                <w:szCs w:val="18"/>
              </w:rPr>
              <w:t>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 xml:space="preserve">【/】份，符合产品管理人流动性管理的稳定资金除外。如需突破最高持有上限，请与产品管理人或销售机构客户经理联系。 </w:t>
            </w:r>
          </w:p>
          <w:p>
            <w:pPr>
              <w:pStyle w:val="16"/>
              <w:spacing w:line="360" w:lineRule="auto"/>
              <w:rPr>
                <w:rFonts w:asciiTheme="minorEastAsia" w:hAnsiTheme="minorEastAsia" w:eastAsiaTheme="minorEastAsia"/>
                <w:color w:val="auto"/>
                <w:kern w:val="2"/>
                <w:sz w:val="18"/>
                <w:szCs w:val="18"/>
              </w:rPr>
            </w:pPr>
            <w:r>
              <w:rPr>
                <w:rFonts w:hint="eastAsia" w:asciiTheme="minorEastAsia" w:hAnsiTheme="minorEastAsia" w:eastAsiaTheme="minorEastAsia"/>
                <w:color w:val="auto"/>
                <w:sz w:val="18"/>
                <w:szCs w:val="18"/>
              </w:rPr>
              <w:t>3。赎回的数量限制</w:t>
            </w:r>
          </w:p>
          <w:p>
            <w:pPr>
              <w:pStyle w:val="16"/>
              <w:spacing w:line="360" w:lineRule="auto"/>
              <w:rPr>
                <w:rFonts w:asciiTheme="minorEastAsia" w:hAnsiTheme="minorEastAsia" w:eastAsiaTheme="minorEastAsia"/>
                <w:color w:val="auto"/>
                <w:kern w:val="2"/>
                <w:sz w:val="18"/>
                <w:szCs w:val="18"/>
              </w:rPr>
            </w:pPr>
            <w:r>
              <w:rPr>
                <w:rFonts w:hint="eastAsia" w:asciiTheme="minorEastAsia" w:hAnsiTheme="minorEastAsia" w:eastAsiaTheme="minorEastAsia"/>
                <w:color w:val="auto"/>
                <w:sz w:val="18"/>
                <w:szCs w:val="18"/>
              </w:rPr>
              <w:t xml:space="preserve">（1）投资者可全部或部分赎回其理财份额，但是部分赎回后投资者持有产品份额不得低于【1.00】份。 </w:t>
            </w:r>
          </w:p>
          <w:p>
            <w:pPr>
              <w:pStyle w:val="16"/>
              <w:spacing w:line="360" w:lineRule="auto"/>
              <w:rPr>
                <w:rFonts w:asciiTheme="majorEastAsia" w:hAnsiTheme="majorEastAsia" w:eastAsiaTheme="majorEastAsia"/>
                <w:kern w:val="2"/>
              </w:rPr>
            </w:pPr>
            <w:r>
              <w:rPr>
                <w:rFonts w:hint="eastAsia" w:asciiTheme="minorEastAsia" w:hAnsiTheme="minorEastAsia" w:eastAsiaTheme="minorEastAsia"/>
                <w:color w:val="auto"/>
                <w:sz w:val="18"/>
                <w:szCs w:val="18"/>
              </w:rPr>
              <w:t>受理财利益分配去尾规则的影响，投资者持有产品份额较低时可能无法取得利益。巨额赎回情景发生时，投资者的可赎回份额需要根据巨额赎回规则确定。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699" w:type="dxa"/>
            <w:shd w:val="solid" w:color="FFFFFF" w:fill="FFFFFF"/>
          </w:tcPr>
          <w:p>
            <w:pPr>
              <w:pStyle w:val="16"/>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99"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99"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初始投资本金。投资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99" w:type="dxa"/>
            <w:shd w:val="solid" w:color="FFFFFF" w:fill="FFFFFF"/>
            <w:vAlign w:val="center"/>
          </w:tcPr>
          <w:p>
            <w:pPr>
              <w:rPr>
                <w:rFonts w:asciiTheme="majorEastAsia" w:hAnsiTheme="majorEastAsia" w:eastAsiaTheme="majorEastAsia"/>
                <w:bCs/>
                <w:sz w:val="18"/>
                <w:szCs w:val="18"/>
              </w:rPr>
            </w:pPr>
            <w:r>
              <w:rPr>
                <w:rFonts w:ascii="宋体" w:hAnsi="宋体"/>
                <w:b/>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以一年期定期存款利率为无风险利率，基于当前对未来市场的判断，根据拟投资固定收益类资产的信用利差、久期敞口以及流动性溢价，预判组合的波动幅度，设定业绩基准为</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
                <w:bCs/>
                <w:sz w:val="18"/>
                <w:szCs w:val="18"/>
              </w:rPr>
              <w:t>2.业绩比较基准的设定</w:t>
            </w:r>
            <w:r>
              <w:rPr>
                <w:rFonts w:hint="eastAsia" w:ascii="宋体" w:hAnsi="宋体"/>
                <w:b/>
                <w:bCs/>
                <w:sz w:val="18"/>
                <w:szCs w:val="18"/>
              </w:rPr>
              <w:t>（年化）</w:t>
            </w:r>
            <w:r>
              <w:rPr>
                <w:rFonts w:hint="eastAsia" w:asciiTheme="majorEastAsia" w:hAnsiTheme="majorEastAsia" w:eastAsiaTheme="majorEastAsia"/>
                <w:bCs/>
                <w:sz w:val="18"/>
                <w:szCs w:val="18"/>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人民银行一年期定期存款利率</w:t>
            </w:r>
            <w:r>
              <w:rPr>
                <w:rFonts w:ascii="宋体" w:hAnsi="宋体"/>
                <w:bCs/>
                <w:color w:val="000000" w:themeColor="text1"/>
                <w:sz w:val="18"/>
                <w:szCs w:val="18"/>
                <w14:textFill>
                  <w14:solidFill>
                    <w14:schemeClr w14:val="tx1"/>
                  </w14:solidFill>
                </w14:textFill>
              </w:rPr>
              <w:t>(1.50%)+【1.55-2.40】%</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人民银行一年期定期存款利率</w:t>
            </w:r>
            <w:r>
              <w:rPr>
                <w:rFonts w:ascii="宋体" w:hAnsi="宋体"/>
                <w:bCs/>
                <w:color w:val="000000" w:themeColor="text1"/>
                <w:sz w:val="18"/>
                <w:szCs w:val="18"/>
                <w14:textFill>
                  <w14:solidFill>
                    <w14:schemeClr w14:val="tx1"/>
                  </w14:solidFill>
                </w14:textFill>
              </w:rPr>
              <w:t>(1.50%)+【1.60-2.45】%</w:t>
            </w:r>
            <w:r>
              <w:rPr>
                <w:rFonts w:hint="eastAsia" w:ascii="宋体" w:hAnsi="宋体"/>
                <w:bCs/>
                <w:color w:val="000000" w:themeColor="text1"/>
                <w:sz w:val="18"/>
                <w:szCs w:val="18"/>
                <w14:textFill>
                  <w14:solidFill>
                    <w14:schemeClr w14:val="tx1"/>
                  </w14:solidFill>
                </w14:textFill>
              </w:rPr>
              <w:t>（适用B类份额）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人民银行一年期定期存款利率(1.50%)+【1.</w:t>
            </w:r>
            <w:r>
              <w:rPr>
                <w:rFonts w:ascii="宋体" w:hAnsi="宋体"/>
                <w:bCs/>
                <w:color w:val="000000" w:themeColor="text1"/>
                <w:sz w:val="18"/>
                <w:szCs w:val="18"/>
                <w14:textFill>
                  <w14:solidFill>
                    <w14:schemeClr w14:val="tx1"/>
                  </w14:solidFill>
                </w14:textFill>
              </w:rPr>
              <w:t>30</w:t>
            </w: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15</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3.业绩比较基准的提示：业绩比较基准不代表理财产品未来表现，不等于理财产品实际收益，不作为产品收益的业绩保证，投资须谨慎。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99"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Theme="majorEastAsia" w:hAnsiTheme="majorEastAsia" w:eastAsiaTheme="majorEastAsia"/>
                <w:bCs/>
                <w:color w:val="000000" w:themeColor="text1"/>
                <w:sz w:val="18"/>
                <w:szCs w:val="18"/>
                <w14:textFill>
                  <w14:solidFill>
                    <w14:schemeClr w14:val="tx1"/>
                  </w14:solidFill>
                </w14:textFill>
              </w:rPr>
              <w:t>本产品不收取认购费。</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2.申购费：</w:t>
            </w:r>
            <w:r>
              <w:rPr>
                <w:rFonts w:hint="eastAsia" w:asciiTheme="majorEastAsia" w:hAnsiTheme="majorEastAsia" w:eastAsiaTheme="majorEastAsia"/>
                <w:bCs/>
                <w:color w:val="000000" w:themeColor="text1"/>
                <w:sz w:val="18"/>
                <w:szCs w:val="18"/>
                <w14:textFill>
                  <w14:solidFill>
                    <w14:schemeClr w14:val="tx1"/>
                  </w14:solidFill>
                </w14:textFill>
              </w:rPr>
              <w:t>本产品不收取申购费。</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赎回费：</w:t>
            </w:r>
            <w:r>
              <w:rPr>
                <w:rFonts w:hint="eastAsia" w:asciiTheme="majorEastAsia" w:hAnsiTheme="majorEastAsia" w:eastAsiaTheme="majorEastAsia"/>
                <w:bCs/>
                <w:color w:val="000000" w:themeColor="text1"/>
                <w:sz w:val="18"/>
                <w:szCs w:val="18"/>
                <w14:textFill>
                  <w14:solidFill>
                    <w14:schemeClr w14:val="tx1"/>
                  </w14:solidFill>
                </w14:textFill>
              </w:rPr>
              <w:t>本产品不收取赎回费。</w:t>
            </w:r>
          </w:p>
          <w:p>
            <w:pPr>
              <w:spacing w:line="360" w:lineRule="auto"/>
              <w:jc w:val="left"/>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4.销售服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（适用A</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（适用B类份额）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【0.15</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6.</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kern w:val="0"/>
                <w:sz w:val="18"/>
                <w:szCs w:val="18"/>
              </w:rPr>
            </w:pPr>
            <w:r>
              <w:rPr>
                <w:rFonts w:ascii="宋体" w:hAnsi="宋体"/>
                <w:b/>
                <w:bCs/>
                <w:color w:val="000000" w:themeColor="text1"/>
                <w:sz w:val="18"/>
                <w:szCs w:val="18"/>
                <w14:textFill>
                  <w14:solidFill>
                    <w14:schemeClr w14:val="tx1"/>
                  </w14:solidFill>
                </w14:textFill>
              </w:rPr>
              <w:t>7.</w:t>
            </w:r>
            <w:r>
              <w:rPr>
                <w:rFonts w:hint="eastAsia" w:ascii="宋体" w:hAnsi="宋体"/>
                <w:b/>
                <w:bCs/>
                <w:color w:val="000000" w:themeColor="text1"/>
                <w:sz w:val="18"/>
                <w:szCs w:val="18"/>
                <w14:textFill>
                  <w14:solidFill>
                    <w14:schemeClr w14:val="tx1"/>
                  </w14:solidFill>
                </w14:textFill>
              </w:rPr>
              <w:t>超额业绩报酬：</w:t>
            </w:r>
            <w:r>
              <w:rPr>
                <w:rFonts w:hint="eastAsia" w:ascii="宋体" w:hAnsi="宋体"/>
                <w:bCs/>
                <w:color w:val="000000" w:themeColor="text1"/>
                <w:sz w:val="18"/>
                <w:szCs w:val="18"/>
                <w14:textFill>
                  <w14:solidFill>
                    <w14:schemeClr w14:val="tx1"/>
                  </w14:solidFill>
                </w14:textFill>
              </w:rPr>
              <w:t>在</w:t>
            </w:r>
            <w:r>
              <w:rPr>
                <w:rFonts w:hint="eastAsia" w:ascii="宋体" w:hAnsi="宋体"/>
                <w:sz w:val="18"/>
                <w:szCs w:val="18"/>
              </w:rPr>
              <w:t>产品赎回日或产品终止日时，若理财资产扣除销售服务费、产品托管费和投资管理费等相关费用后，赎回日或产品终止日产品份额净值折算的年化收益率超过当期业绩比较基准上限，则产品管理人收取超出部分的【30】%作为超额业绩报酬，由此造成赎回日或产品终止日产品份额净值调整的，以调整后的产品份额净值为准进行利益分配。若该赎回份额持有期间，业绩比较基准上限有所调整，以该产品份额持有期间的业绩比较基准上限的最高值来计算超额业绩报酬。</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99"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6"/>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83394158"/>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91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63"/>
        <w:gridCol w:w="4397"/>
        <w:gridCol w:w="16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5" w:hRule="atLeast"/>
          <w:jc w:val="center"/>
        </w:trPr>
        <w:tc>
          <w:tcPr>
            <w:tcW w:w="1863"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39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59"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4" w:hRule="atLeast"/>
          <w:jc w:val="center"/>
        </w:trPr>
        <w:tc>
          <w:tcPr>
            <w:tcW w:w="1863" w:type="dxa"/>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397" w:type="dxa"/>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产品管理人在产品成立日对投资者的认购申请的有效性进行确认，登记份额。</w:t>
            </w:r>
          </w:p>
        </w:tc>
        <w:tc>
          <w:tcPr>
            <w:tcW w:w="1659" w:type="dxa"/>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hint="eastAsia" w:asciiTheme="minorEastAsia" w:hAnsiTheme="minorEastAsia"/>
          <w:b/>
          <w:bCs/>
          <w:sz w:val="18"/>
          <w:szCs w:val="18"/>
        </w:rPr>
        <w:t>4.</w:t>
      </w:r>
      <w:r>
        <w:rPr>
          <w:rFonts w:asciiTheme="minorEastAsia" w:hAnsiTheme="minorEastAsia"/>
          <w:b/>
          <w:bCs/>
          <w:sz w:val="18"/>
          <w:szCs w:val="18"/>
        </w:rPr>
        <w:t>认购的价格</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5.认购的费用</w:t>
      </w:r>
    </w:p>
    <w:p>
      <w:pPr>
        <w:spacing w:line="360" w:lineRule="auto"/>
        <w:ind w:firstLine="360" w:firstLineChars="200"/>
        <w:rPr>
          <w:bCs/>
          <w:sz w:val="18"/>
          <w:szCs w:val="18"/>
        </w:rPr>
      </w:pPr>
      <w:r>
        <w:rPr>
          <w:rFonts w:hint="eastAsia" w:asciiTheme="minorEastAsia" w:hAnsiTheme="minorEastAsia"/>
          <w:sz w:val="18"/>
          <w:szCs w:val="18"/>
        </w:rPr>
        <w:t>本产品认购费率详见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hint="eastAsia" w:asciiTheme="minorEastAsia" w:hAnsiTheme="minorEastAsia"/>
          <w:b/>
          <w:bCs/>
          <w:sz w:val="18"/>
          <w:szCs w:val="18"/>
        </w:rPr>
        <w:t>6</w:t>
      </w:r>
      <w:r>
        <w:rPr>
          <w:rFonts w:asciiTheme="minorEastAsia" w:hAnsiTheme="minorEastAsia"/>
          <w:b/>
          <w:bCs/>
          <w:sz w:val="18"/>
          <w:szCs w:val="18"/>
        </w:rPr>
        <w:t>.认购份额的计算</w:t>
      </w:r>
      <w:r>
        <w:rPr>
          <w:rFonts w:hint="eastAsia" w:asciiTheme="minorEastAsia" w:hAnsiTheme="minorEastAsia"/>
          <w:b/>
          <w:bCs/>
          <w:sz w:val="18"/>
          <w:szCs w:val="18"/>
        </w:rPr>
        <w:t xml:space="preserve"> </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6"/>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7.认购的起点和追加金额</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r>
        <w:rPr>
          <w:rFonts w:asciiTheme="minorEastAsia" w:hAnsiTheme="minorEastAsia" w:eastAsiaTheme="minorEastAsia"/>
          <w:b/>
          <w:color w:val="auto"/>
          <w:sz w:val="18"/>
          <w:szCs w:val="18"/>
        </w:rPr>
        <w:t>.认购的数量限制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hint="eastAsia" w:asciiTheme="minorEastAsia" w:hAnsiTheme="minorEastAsia"/>
          <w:b/>
          <w:bCs/>
          <w:sz w:val="18"/>
          <w:szCs w:val="18"/>
        </w:rPr>
        <w:t>9</w:t>
      </w:r>
      <w:r>
        <w:rPr>
          <w:rFonts w:asciiTheme="minorEastAsia" w:hAnsiTheme="minorEastAsia"/>
          <w:b/>
          <w:bCs/>
          <w:sz w:val="18"/>
          <w:szCs w:val="18"/>
        </w:rPr>
        <w:t>.募集期认购资金利息的处理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投资者认购资金在产品认购期内按照活期存款利率计息，但在产品认购期所产生的利息不作为理财本金进入理财运作，不计算理财收益。</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（三）暂停认购的情形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6"/>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5" w:name="_Toc79154667"/>
      <w:bookmarkStart w:id="76" w:name="_Toc83394159"/>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5"/>
      <w:bookmarkEnd w:id="76"/>
    </w:p>
    <w:bookmarkEnd w:id="74"/>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6"/>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tbl>
      <w:tblPr>
        <w:tblStyle w:val="10"/>
        <w:tblW w:w="794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93"/>
        <w:gridCol w:w="3969"/>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1" w:hRule="atLeast"/>
          <w:jc w:val="center"/>
        </w:trPr>
        <w:tc>
          <w:tcPr>
            <w:tcW w:w="1993" w:type="dxa"/>
            <w:vAlign w:val="center"/>
          </w:tcPr>
          <w:p>
            <w:pPr>
              <w:pStyle w:val="16"/>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申购日</w:t>
            </w:r>
          </w:p>
        </w:tc>
        <w:tc>
          <w:tcPr>
            <w:tcW w:w="3969" w:type="dxa"/>
            <w:vAlign w:val="center"/>
          </w:tcPr>
          <w:p>
            <w:pPr>
              <w:pStyle w:val="16"/>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申购确认方式</w:t>
            </w:r>
          </w:p>
        </w:tc>
        <w:tc>
          <w:tcPr>
            <w:tcW w:w="1985" w:type="dxa"/>
            <w:vAlign w:val="center"/>
          </w:tcPr>
          <w:p>
            <w:pPr>
              <w:pStyle w:val="16"/>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3" w:hRule="atLeast"/>
          <w:jc w:val="center"/>
        </w:trPr>
        <w:tc>
          <w:tcPr>
            <w:tcW w:w="1993" w:type="dxa"/>
          </w:tcPr>
          <w:p>
            <w:pPr>
              <w:pStyle w:val="16"/>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3969" w:type="dxa"/>
          </w:tcPr>
          <w:p>
            <w:pPr>
              <w:pStyle w:val="16"/>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产品管理人在申购确认日对投资者的申购申请的有效性进行确认，登记份额。</w:t>
            </w:r>
          </w:p>
        </w:tc>
        <w:tc>
          <w:tcPr>
            <w:tcW w:w="1985" w:type="dxa"/>
          </w:tcPr>
          <w:p>
            <w:pPr>
              <w:pStyle w:val="16"/>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r>
    </w:tbl>
    <w:p>
      <w:pPr>
        <w:pStyle w:val="16"/>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本产品申购费率详见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6"/>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6"/>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6"/>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6"/>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tbl>
      <w:tblPr>
        <w:tblStyle w:val="10"/>
        <w:tblW w:w="772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0"/>
        <w:gridCol w:w="4123"/>
        <w:gridCol w:w="16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9" w:hRule="atLeast"/>
          <w:jc w:val="center"/>
        </w:trPr>
        <w:tc>
          <w:tcPr>
            <w:tcW w:w="1980"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赎回日</w:t>
            </w:r>
          </w:p>
        </w:tc>
        <w:tc>
          <w:tcPr>
            <w:tcW w:w="412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c>
          <w:tcPr>
            <w:tcW w:w="1626"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5" w:hRule="atLeast"/>
          <w:jc w:val="center"/>
        </w:trPr>
        <w:tc>
          <w:tcPr>
            <w:tcW w:w="1980" w:type="dxa"/>
          </w:tcPr>
          <w:p>
            <w:pPr>
              <w:pStyle w:val="16"/>
              <w:spacing w:line="360" w:lineRule="auto"/>
              <w:jc w:val="left"/>
              <w:rPr>
                <w:rFonts w:ascii="Calibri"/>
                <w:bCs/>
                <w:kern w:val="2"/>
                <w:sz w:val="21"/>
                <w:szCs w:val="22"/>
              </w:rPr>
            </w:pPr>
            <w:r>
              <w:rPr>
                <w:rFonts w:hint="eastAsia" w:cs="Times New Roman" w:asciiTheme="minorEastAsia" w:hAnsiTheme="minorEastAsia" w:eastAsiaTheme="minorEastAsia"/>
                <w:color w:val="auto"/>
                <w:sz w:val="18"/>
                <w:szCs w:val="18"/>
              </w:rPr>
              <w:t>为预约赎回期内最后一个工作日</w:t>
            </w:r>
          </w:p>
        </w:tc>
        <w:tc>
          <w:tcPr>
            <w:tcW w:w="4123" w:type="dxa"/>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对赎回申请的有效性进行确认。如遇非工作日，则顺延至下一个工作日。</w:t>
            </w:r>
          </w:p>
        </w:tc>
        <w:tc>
          <w:tcPr>
            <w:tcW w:w="1626" w:type="dxa"/>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赎回日后【2】个工作日内</w:t>
            </w:r>
          </w:p>
        </w:tc>
      </w:tr>
    </w:tbl>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本产品赎回费用详见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6"/>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赎回费用=赎回总金额×该产品份额赎回费率</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（五）暂停申购的情形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.发生巨额赎回。</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8.证券交易所或银行间市场数据传输延迟、通讯系统故障、银行系统故障或其他非产品管理人及产品托管人所能控制的因素影响了产品运作流程</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9.法律法规规定或监管机构认定的其他情形。</w:t>
      </w:r>
    </w:p>
    <w:p>
      <w:pPr>
        <w:pStyle w:val="16"/>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6"/>
        <w:spacing w:line="360" w:lineRule="auto"/>
        <w:ind w:firstLine="282" w:firstLineChars="156"/>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280" w:firstLineChars="156"/>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6"/>
        <w:spacing w:line="360" w:lineRule="auto"/>
        <w:ind w:firstLine="280" w:firstLineChars="15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280" w:firstLineChars="156"/>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280" w:firstLineChars="156"/>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p>
    <w:p>
      <w:pPr>
        <w:widowControl/>
        <w:spacing w:line="360" w:lineRule="auto"/>
        <w:ind w:firstLine="280" w:firstLineChars="156"/>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6"/>
        <w:spacing w:line="360" w:lineRule="auto"/>
        <w:ind w:firstLine="280" w:firstLineChars="156"/>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6"/>
        <w:spacing w:line="360" w:lineRule="auto"/>
        <w:ind w:left="210" w:leftChars="100" w:firstLine="72" w:firstLineChars="4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16"/>
        <w:spacing w:line="360" w:lineRule="auto"/>
        <w:ind w:firstLine="280" w:firstLineChars="156"/>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6"/>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16"/>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2"/>
    <w:p>
      <w:pPr>
        <w:pStyle w:val="2"/>
        <w:spacing w:before="0" w:after="0" w:line="360" w:lineRule="auto"/>
        <w:jc w:val="center"/>
        <w:rPr>
          <w:rFonts w:ascii="Times New Roman"/>
          <w:sz w:val="30"/>
        </w:rPr>
      </w:pPr>
      <w:bookmarkStart w:id="77" w:name="_Toc7151"/>
      <w:bookmarkStart w:id="78" w:name="_Toc16265"/>
      <w:bookmarkStart w:id="79" w:name="_Toc3266"/>
      <w:bookmarkStart w:id="80" w:name="_Toc90742390"/>
      <w:bookmarkStart w:id="81" w:name="_Toc15203"/>
      <w:bookmarkStart w:id="82" w:name="_Toc79154668"/>
      <w:bookmarkStart w:id="83" w:name="_Toc27189"/>
      <w:bookmarkStart w:id="84" w:name="_Toc29784"/>
      <w:bookmarkStart w:id="85" w:name="_Toc90742321"/>
      <w:bookmarkStart w:id="86" w:name="_Toc29948"/>
      <w:bookmarkStart w:id="87" w:name="_Toc27226"/>
      <w:bookmarkStart w:id="88" w:name="_Toc22074"/>
      <w:bookmarkStart w:id="89" w:name="_Toc90742688"/>
      <w:bookmarkStart w:id="90" w:name="_Toc83394160"/>
      <w:bookmarkStart w:id="91" w:name="_Toc6714"/>
      <w:bookmarkStart w:id="92" w:name="_Toc74065741"/>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6"/>
        <w:spacing w:line="360" w:lineRule="auto"/>
        <w:ind w:firstLine="425" w:firstLineChars="235"/>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6"/>
        <w:spacing w:line="360" w:lineRule="auto"/>
        <w:ind w:firstLine="423" w:firstLineChars="235"/>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本产品为固定收益类产品，在严格管理投资风险的基础上，追求资产的长期稳定增值。</w:t>
      </w:r>
    </w:p>
    <w:p>
      <w:pPr>
        <w:pStyle w:val="16"/>
        <w:spacing w:line="360" w:lineRule="auto"/>
        <w:ind w:firstLine="425" w:firstLineChars="235"/>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14:textFill>
            <w14:solidFill>
              <w14:schemeClr w14:val="tx1"/>
            </w14:solidFill>
          </w14:textFill>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16"/>
        <w:spacing w:line="360" w:lineRule="auto"/>
        <w:ind w:firstLine="423" w:firstLineChars="235"/>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kern w:val="2"/>
          <w:sz w:val="18"/>
          <w:szCs w:val="18"/>
          <w14:textFill>
            <w14:solidFill>
              <w14:schemeClr w14:val="tx1"/>
            </w14:solidFill>
          </w14:textFill>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14:textFill>
            <w14:solidFill>
              <w14:schemeClr w14:val="tx1"/>
            </w14:solidFill>
          </w14:textFill>
        </w:rPr>
        <w:t>占产品总资产比例低于20%。</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6"/>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任何责任</w:t>
      </w:r>
      <w:r>
        <w:rPr>
          <w:rFonts w:ascii="黑体" w:hAnsi="黑体" w:eastAsia="黑体"/>
          <w:bCs/>
          <w:sz w:val="18"/>
          <w:szCs w:val="18"/>
        </w:rPr>
        <w:t>。</w:t>
      </w:r>
    </w:p>
    <w:p>
      <w:pPr>
        <w:pStyle w:val="16"/>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（6）本产品投资组合的债权类资产平均剩余期限不超过5年。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7"/>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7"/>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7"/>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23"/>
      <w:bookmarkStart w:id="94" w:name="_Toc139991735"/>
      <w:bookmarkStart w:id="95" w:name="_Toc141703885"/>
      <w:bookmarkStart w:id="96" w:name="_Toc79154669"/>
      <w:bookmarkStart w:id="97" w:name="_Toc18797"/>
      <w:bookmarkStart w:id="98" w:name="_Toc17912"/>
      <w:bookmarkStart w:id="99" w:name="_Toc74065742"/>
      <w:bookmarkStart w:id="100" w:name="_Toc21988"/>
      <w:bookmarkStart w:id="101" w:name="_Toc14893"/>
      <w:bookmarkStart w:id="102" w:name="_Toc18329"/>
      <w:bookmarkStart w:id="103" w:name="_Toc4741"/>
      <w:bookmarkStart w:id="104" w:name="_Toc18526"/>
      <w:bookmarkStart w:id="105" w:name="_Toc26986"/>
      <w:bookmarkStart w:id="106" w:name="_Toc7848"/>
      <w:bookmarkStart w:id="107" w:name="_Toc83394161"/>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6"/>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6"/>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28"/>
          <w:szCs w:val="28"/>
        </w:rPr>
      </w:pPr>
      <w:bookmarkStart w:id="109" w:name="_Toc83394162"/>
      <w:bookmarkStart w:id="110" w:name="_Toc83391971"/>
      <w:bookmarkStart w:id="111" w:name="_Toc10463"/>
      <w:bookmarkStart w:id="112" w:name="_Toc1270"/>
      <w:bookmarkStart w:id="113" w:name="_Toc4003"/>
      <w:bookmarkStart w:id="114" w:name="_Toc74065743"/>
      <w:bookmarkStart w:id="115" w:name="_Toc98560352"/>
      <w:bookmarkStart w:id="116" w:name="_Toc141703886"/>
      <w:bookmarkStart w:id="117" w:name="_Toc23822"/>
      <w:bookmarkStart w:id="118" w:name="_Toc123102453"/>
      <w:bookmarkStart w:id="119" w:name="_Toc7920"/>
      <w:bookmarkStart w:id="120" w:name="_Toc139991736"/>
      <w:bookmarkStart w:id="121" w:name="_Toc17244"/>
      <w:bookmarkStart w:id="122" w:name="_Toc79154670"/>
      <w:bookmarkStart w:id="123" w:name="_Toc23261"/>
      <w:bookmarkStart w:id="124" w:name="_Toc79392606"/>
      <w:bookmarkStart w:id="125" w:name="_Toc48649707"/>
      <w:bookmarkStart w:id="126" w:name="_Toc1427"/>
      <w:bookmarkStart w:id="127" w:name="_Toc610"/>
      <w:bookmarkStart w:id="128" w:name="_Toc20733"/>
      <w:bookmarkStart w:id="129" w:name="_Toc123051452"/>
      <w:bookmarkStart w:id="130" w:name="_Toc123112234"/>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09"/>
      <w:bookmarkEnd w:id="110"/>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本产品所拥有的各类证券、资产管理产品和银行存款、应收款项、其它投资等资产及负债。</w:t>
      </w:r>
    </w:p>
    <w:p>
      <w:pPr>
        <w:pStyle w:val="16"/>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6"/>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2.非标准化债权类资产</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6"/>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3.上公司股票</w:t>
      </w:r>
      <w:r>
        <w:rPr>
          <w:rFonts w:hint="eastAsia" w:asciiTheme="majorEastAsia" w:hAnsiTheme="majorEastAsia" w:eastAsiaTheme="majorEastAsia"/>
          <w:b/>
          <w:bCs/>
          <w:color w:val="auto"/>
          <w:sz w:val="18"/>
          <w:szCs w:val="18"/>
        </w:rPr>
        <w:t>估值</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6"/>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4.未上市公司股权</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xml:space="preserve">5. </w:t>
      </w:r>
      <w:r>
        <w:rPr>
          <w:rFonts w:hint="eastAsia" w:asciiTheme="minorEastAsia" w:hAnsiTheme="minorEastAsia" w:eastAsiaTheme="minorEastAsia"/>
          <w:b/>
          <w:color w:val="auto"/>
          <w:sz w:val="18"/>
          <w:szCs w:val="18"/>
        </w:rPr>
        <w:t>优先股</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证券投资基金估值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xml:space="preserve">7. </w:t>
      </w:r>
      <w:r>
        <w:rPr>
          <w:rFonts w:hint="eastAsia" w:asciiTheme="minorEastAsia" w:hAnsiTheme="minorEastAsia" w:eastAsiaTheme="minorEastAsia"/>
          <w:b/>
          <w:color w:val="auto"/>
          <w:sz w:val="18"/>
          <w:szCs w:val="18"/>
        </w:rPr>
        <w:t>其他资产管理产品的估值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8.衍生金融工具估值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6"/>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w:t>
      </w:r>
      <w:r>
        <w:rPr>
          <w:rFonts w:hint="eastAsia" w:asciiTheme="minorEastAsia" w:hAnsiTheme="minorEastAsia" w:eastAsiaTheme="minorEastAsia"/>
          <w:b/>
          <w:color w:val="auto"/>
          <w:sz w:val="18"/>
          <w:szCs w:val="18"/>
        </w:rPr>
        <w:t>存款、拆借、回购等货币市场工具的估值</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10. </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6"/>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11.</w:t>
      </w:r>
      <w:r>
        <w:rPr>
          <w:rFonts w:hint="eastAsia" w:ascii="黑体" w:hAnsi="黑体" w:eastAsia="黑体"/>
          <w:color w:val="auto"/>
          <w:sz w:val="18"/>
          <w:szCs w:val="18"/>
        </w:rPr>
        <w:t xml:space="preserve"> ★估值方法的调整</w:t>
      </w:r>
    </w:p>
    <w:p>
      <w:pPr>
        <w:pStyle w:val="16"/>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6"/>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6"/>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6"/>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6"/>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如产品管理人或产品托管人发现理财估值违反本协议约定的估值方法、程序及相关法律法规的规定或者未能充分维护理财份额持有人权益时，应立即通知对方，共同查明原因，双方协商解决。</w:t>
      </w:r>
    </w:p>
    <w:p>
      <w:pPr>
        <w:pStyle w:val="16"/>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6"/>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6"/>
        <w:spacing w:line="360" w:lineRule="auto"/>
        <w:ind w:firstLine="360" w:firstLineChars="200"/>
        <w:rPr>
          <w:rFonts w:ascii="黑体" w:hAnsi="黑体" w:eastAsia="黑体"/>
          <w:sz w:val="18"/>
          <w:szCs w:val="18"/>
        </w:rPr>
      </w:pPr>
      <w:r>
        <w:rPr>
          <w:rFonts w:hint="eastAsia" w:ascii="黑体" w:hAnsi="黑体" w:eastAsia="黑体"/>
          <w:color w:val="auto"/>
          <w:sz w:val="18"/>
          <w:szCs w:val="18"/>
        </w:rPr>
        <w:t>（七）★暂停估值</w:t>
      </w:r>
    </w:p>
    <w:p>
      <w:pPr>
        <w:pStyle w:val="16"/>
        <w:spacing w:line="360" w:lineRule="auto"/>
        <w:ind w:firstLine="360" w:firstLineChars="200"/>
        <w:rPr>
          <w:rFonts w:ascii="黑体" w:hAnsi="黑体" w:eastAsia="黑体"/>
          <w:sz w:val="18"/>
          <w:szCs w:val="18"/>
        </w:rPr>
      </w:pPr>
      <w:r>
        <w:rPr>
          <w:rFonts w:hint="eastAsia" w:ascii="黑体" w:hAnsi="黑体" w:eastAsia="黑体"/>
          <w:color w:val="auto"/>
          <w:sz w:val="18"/>
          <w:szCs w:val="18"/>
        </w:rPr>
        <w:t>理财产品投资涉及的交易市场遇法定节假日或其他原因暂停营业时，或因任何不可抗力致使理财产品管理人、托管人无法准确评估资产价值时，以及监管机构认定的其他情形，可暂停估值。估值条件恢复时，将按规定完成估值工作。</w:t>
      </w:r>
    </w:p>
    <w:p>
      <w:pPr>
        <w:widowControl/>
        <w:spacing w:line="360" w:lineRule="auto"/>
        <w:jc w:val="left"/>
        <w:rPr>
          <w:rFonts w:ascii="宋体" w:hAnsi="宋体"/>
          <w:kern w:val="0"/>
          <w:sz w:val="18"/>
          <w:szCs w:val="18"/>
        </w:rPr>
      </w:pPr>
      <w:r>
        <w:rPr>
          <w:rFonts w:hAnsi="宋体"/>
          <w:sz w:val="18"/>
          <w:szCs w:val="18"/>
        </w:rPr>
        <w:br w:type="page"/>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Pr>
        <w:pStyle w:val="2"/>
        <w:spacing w:before="0" w:after="0" w:line="360" w:lineRule="auto"/>
        <w:ind w:left="60" w:firstLine="10"/>
        <w:jc w:val="center"/>
        <w:rPr>
          <w:rFonts w:ascii="Times New Roman"/>
          <w:sz w:val="30"/>
        </w:rPr>
      </w:pPr>
      <w:bookmarkStart w:id="131" w:name="_Hlt70481650"/>
      <w:bookmarkEnd w:id="131"/>
      <w:bookmarkStart w:id="132" w:name="_Toc6405"/>
      <w:bookmarkStart w:id="133" w:name="_Toc139991737"/>
      <w:bookmarkStart w:id="134" w:name="_Toc3601"/>
      <w:bookmarkStart w:id="135" w:name="_Toc31644"/>
      <w:bookmarkStart w:id="136" w:name="_Toc31653"/>
      <w:bookmarkStart w:id="137" w:name="_Toc15143"/>
      <w:bookmarkStart w:id="138" w:name="_Toc83394163"/>
      <w:bookmarkStart w:id="139" w:name="_Toc123112235"/>
      <w:bookmarkStart w:id="140" w:name="_Toc14835"/>
      <w:bookmarkStart w:id="141" w:name="_Toc141703887"/>
      <w:bookmarkStart w:id="142" w:name="_Toc31235"/>
      <w:bookmarkStart w:id="143" w:name="_Toc79154671"/>
      <w:bookmarkStart w:id="144" w:name="_Toc29251"/>
      <w:bookmarkStart w:id="145" w:name="_Toc12245"/>
      <w:bookmarkStart w:id="146" w:name="_Toc26207"/>
      <w:bookmarkStart w:id="147" w:name="_Toc123102454"/>
      <w:bookmarkStart w:id="148" w:name="_Toc98560353"/>
      <w:bookmarkStart w:id="149" w:name="_Toc74065744"/>
      <w:bookmarkStart w:id="150" w:name="_Toc1230514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1" w:name="_Hlt55355235"/>
      <w:bookmarkEnd w:id="151"/>
      <w:bookmarkStart w:id="152" w:name="_Toc15118234"/>
      <w:bookmarkStart w:id="153" w:name="_Toc79392580"/>
      <w:bookmarkStart w:id="154" w:name="_Toc57530239"/>
      <w:bookmarkStart w:id="155" w:name="_Toc523711668"/>
    </w:p>
    <w:p>
      <w:pPr>
        <w:pStyle w:val="16"/>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6"/>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16"/>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16"/>
        <w:spacing w:line="360" w:lineRule="auto"/>
        <w:ind w:firstLine="360" w:firstLineChars="200"/>
        <w:rPr>
          <w:rFonts w:hAnsi="宋体"/>
          <w:color w:val="auto"/>
          <w:sz w:val="18"/>
          <w:szCs w:val="18"/>
        </w:rPr>
      </w:pPr>
      <w:r>
        <w:rPr>
          <w:rFonts w:hint="eastAsia" w:hAnsi="宋体"/>
          <w:color w:val="auto"/>
          <w:sz w:val="18"/>
          <w:szCs w:val="18"/>
        </w:rPr>
        <w:t>3.依据分配的资产性质，理财利益的分配可分为“收益分配”与“本金分配”。</w:t>
      </w:r>
    </w:p>
    <w:p>
      <w:pPr>
        <w:pStyle w:val="16"/>
        <w:spacing w:line="360" w:lineRule="auto"/>
        <w:ind w:firstLine="360" w:firstLineChars="200"/>
        <w:rPr>
          <w:rFonts w:hAnsi="宋体"/>
          <w:color w:val="auto"/>
          <w:sz w:val="18"/>
          <w:szCs w:val="18"/>
        </w:rPr>
      </w:pPr>
      <w:r>
        <w:rPr>
          <w:rFonts w:hint="eastAsia" w:hAnsi="宋体"/>
          <w:color w:val="auto"/>
          <w:sz w:val="18"/>
          <w:szCs w:val="18"/>
        </w:rPr>
        <w:t>4.依据分配的动因，即是因为投资者赎回而产生还是管理人主动分配而产生，理财利益的分配可分为“投资者赎回分配”与“管理人主动分配”。</w:t>
      </w:r>
    </w:p>
    <w:p>
      <w:pPr>
        <w:pStyle w:val="16"/>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6"/>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6"/>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6"/>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6"/>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6"/>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6"/>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6"/>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6"/>
        <w:spacing w:line="360" w:lineRule="auto"/>
        <w:ind w:firstLine="360" w:firstLineChars="200"/>
        <w:rPr>
          <w:rFonts w:asciiTheme="majorEastAsia" w:hAnsiTheme="majorEastAsia" w:eastAsiaTheme="majorEastAsia"/>
          <w:color w:val="auto"/>
          <w:sz w:val="18"/>
          <w:szCs w:val="18"/>
        </w:rPr>
      </w:pPr>
      <w:r>
        <w:rPr>
          <w:rFonts w:hint="eastAsia" w:hAnsi="宋体"/>
          <w:color w:val="auto"/>
          <w:sz w:val="18"/>
          <w:szCs w:val="18"/>
        </w:rPr>
        <w:t>（3）本产品的分配资产性质包括“收益分配”和“本金分配”</w:t>
      </w:r>
      <w:r>
        <w:rPr>
          <w:rFonts w:hint="eastAsia" w:asciiTheme="majorEastAsia" w:hAnsiTheme="majorEastAsia" w:eastAsiaTheme="majorEastAsia"/>
          <w:color w:val="auto"/>
          <w:sz w:val="18"/>
          <w:szCs w:val="18"/>
        </w:rPr>
        <w:t>。</w:t>
      </w:r>
    </w:p>
    <w:p>
      <w:pPr>
        <w:pStyle w:val="16"/>
        <w:spacing w:line="360" w:lineRule="auto"/>
        <w:ind w:firstLine="360" w:firstLineChars="200"/>
        <w:rPr>
          <w:rFonts w:hAnsi="宋体"/>
          <w:color w:val="auto"/>
          <w:sz w:val="18"/>
          <w:szCs w:val="18"/>
        </w:rPr>
      </w:pP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）本产品的分配的动因采取“投资者赎回分配”和“管理人主动分配”。</w:t>
      </w:r>
    </w:p>
    <w:p>
      <w:pPr>
        <w:pStyle w:val="16"/>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6"/>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w:t>
      </w:r>
      <w:r>
        <w:rPr>
          <w:rFonts w:hint="eastAsia" w:hAnsi="宋体"/>
          <w:color w:val="auto"/>
          <w:sz w:val="18"/>
          <w:szCs w:val="18"/>
        </w:rPr>
        <w:t>收益</w:t>
      </w:r>
      <w:r>
        <w:rPr>
          <w:rFonts w:hAnsi="宋体"/>
          <w:color w:val="auto"/>
          <w:sz w:val="18"/>
          <w:szCs w:val="18"/>
        </w:rPr>
        <w:t>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6"/>
        <w:spacing w:line="360" w:lineRule="auto"/>
        <w:ind w:firstLine="360" w:firstLineChars="200"/>
        <w:rPr>
          <w:rFonts w:hAnsi="宋体"/>
          <w:color w:val="auto"/>
          <w:sz w:val="18"/>
          <w:szCs w:val="18"/>
        </w:rPr>
      </w:pPr>
      <w:r>
        <w:rPr>
          <w:rFonts w:hint="eastAsia" w:hAnsi="宋体"/>
          <w:color w:val="auto"/>
          <w:sz w:val="18"/>
          <w:szCs w:val="18"/>
        </w:rPr>
        <w:t>1.</w:t>
      </w:r>
      <w:r>
        <w:rPr>
          <w:rFonts w:asciiTheme="majorEastAsia" w:hAnsiTheme="majorEastAsia" w:eastAsiaTheme="majorEastAsia"/>
          <w:color w:val="auto"/>
          <w:sz w:val="18"/>
          <w:szCs w:val="18"/>
        </w:rPr>
        <w:t>理财</w:t>
      </w:r>
      <w:r>
        <w:rPr>
          <w:rFonts w:hint="eastAsia" w:hAnsi="宋体"/>
          <w:sz w:val="18"/>
          <w:szCs w:val="18"/>
        </w:rPr>
        <w:t>利益</w:t>
      </w:r>
      <w:r>
        <w:rPr>
          <w:rFonts w:hint="eastAsia" w:asciiTheme="majorEastAsia" w:hAnsiTheme="majorEastAsia" w:eastAsiaTheme="majorEastAsia"/>
          <w:color w:val="auto"/>
          <w:sz w:val="18"/>
          <w:szCs w:val="18"/>
        </w:rPr>
        <w:t>的分配，</w:t>
      </w:r>
      <w:r>
        <w:rPr>
          <w:rFonts w:hAnsi="宋体"/>
          <w:color w:val="auto"/>
          <w:sz w:val="18"/>
          <w:szCs w:val="18"/>
        </w:rPr>
        <w:t>原则上产品管理人应于</w:t>
      </w:r>
      <w:r>
        <w:rPr>
          <w:rFonts w:hint="eastAsia" w:hAnsi="宋体"/>
          <w:color w:val="auto"/>
          <w:sz w:val="18"/>
          <w:szCs w:val="18"/>
        </w:rPr>
        <w:t>赎回确认日或产品终止日后</w:t>
      </w:r>
      <w:r>
        <w:rPr>
          <w:rFonts w:hAnsi="宋体"/>
          <w:color w:val="auto"/>
          <w:sz w:val="18"/>
          <w:szCs w:val="18"/>
        </w:rPr>
        <w:t>【</w:t>
      </w:r>
      <w:r>
        <w:rPr>
          <w:rFonts w:hint="eastAsia" w:hAnsi="宋体"/>
          <w:color w:val="auto"/>
          <w:sz w:val="18"/>
          <w:szCs w:val="18"/>
        </w:rPr>
        <w:t>3</w:t>
      </w:r>
      <w:r>
        <w:rPr>
          <w:rFonts w:hAnsi="宋体"/>
          <w:color w:val="auto"/>
          <w:sz w:val="18"/>
          <w:szCs w:val="18"/>
        </w:rPr>
        <w:t>】</w:t>
      </w:r>
      <w:r>
        <w:rPr>
          <w:rFonts w:hint="eastAsia" w:hAnsi="宋体"/>
          <w:color w:val="auto"/>
          <w:sz w:val="18"/>
          <w:szCs w:val="18"/>
        </w:rPr>
        <w:t>个工作日内分配理财利益（如有）。</w:t>
      </w:r>
    </w:p>
    <w:p>
      <w:pPr>
        <w:pStyle w:val="16"/>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如发生需要</w:t>
      </w:r>
      <w:r>
        <w:rPr>
          <w:rFonts w:hint="eastAsia" w:hAnsi="宋体"/>
          <w:color w:val="auto"/>
          <w:sz w:val="18"/>
          <w:szCs w:val="18"/>
        </w:rPr>
        <w:t>延期</w:t>
      </w:r>
      <w:r>
        <w:rPr>
          <w:rFonts w:hAnsi="宋体"/>
          <w:color w:val="auto"/>
          <w:sz w:val="18"/>
          <w:szCs w:val="18"/>
        </w:rPr>
        <w:t>分配的特殊情况，产品管理人将对</w:t>
      </w:r>
      <w:r>
        <w:rPr>
          <w:rFonts w:hint="eastAsia" w:hAnsi="宋体"/>
          <w:color w:val="auto"/>
          <w:sz w:val="18"/>
          <w:szCs w:val="18"/>
        </w:rPr>
        <w:t>延期</w:t>
      </w:r>
      <w:r>
        <w:rPr>
          <w:rFonts w:hAnsi="宋体"/>
          <w:color w:val="auto"/>
          <w:sz w:val="18"/>
          <w:szCs w:val="18"/>
        </w:rPr>
        <w:t xml:space="preserve">分配的情况进行公告。 </w:t>
      </w:r>
    </w:p>
    <w:p>
      <w:pPr>
        <w:widowControl/>
        <w:spacing w:line="360" w:lineRule="auto"/>
        <w:jc w:val="left"/>
        <w:rPr>
          <w:rFonts w:ascii="宋体" w:hAnsi="宋体"/>
          <w:kern w:val="0"/>
          <w:sz w:val="18"/>
          <w:szCs w:val="18"/>
        </w:rPr>
      </w:pPr>
      <w:r>
        <w:rPr>
          <w:rFonts w:hAnsi="宋体"/>
          <w:sz w:val="18"/>
          <w:szCs w:val="18"/>
        </w:rPr>
        <w:br w:type="page"/>
      </w:r>
    </w:p>
    <w:bookmarkEnd w:id="152"/>
    <w:bookmarkEnd w:id="153"/>
    <w:bookmarkEnd w:id="154"/>
    <w:bookmarkEnd w:id="155"/>
    <w:p>
      <w:pPr>
        <w:pStyle w:val="2"/>
        <w:spacing w:before="0" w:after="0" w:line="360" w:lineRule="auto"/>
        <w:jc w:val="center"/>
        <w:rPr>
          <w:rFonts w:ascii="Times New Roman"/>
          <w:sz w:val="30"/>
        </w:rPr>
      </w:pPr>
      <w:bookmarkStart w:id="156" w:name="_Hlt88825574"/>
      <w:bookmarkEnd w:id="156"/>
      <w:bookmarkStart w:id="157" w:name="_Hlt88897298"/>
      <w:bookmarkEnd w:id="157"/>
      <w:bookmarkStart w:id="158" w:name="_Toc141703888"/>
      <w:bookmarkStart w:id="159" w:name="_Toc123102455"/>
      <w:bookmarkStart w:id="160" w:name="_Toc74065745"/>
      <w:bookmarkStart w:id="161" w:name="_Toc123112236"/>
      <w:bookmarkStart w:id="162" w:name="_Toc98560354"/>
      <w:bookmarkStart w:id="163" w:name="_Toc79154672"/>
      <w:bookmarkStart w:id="164" w:name="_Toc9706"/>
      <w:bookmarkStart w:id="165" w:name="_Toc3771"/>
      <w:bookmarkStart w:id="166" w:name="_Toc11030"/>
      <w:bookmarkStart w:id="167" w:name="_Toc3321"/>
      <w:bookmarkStart w:id="168" w:name="_Toc83394164"/>
      <w:bookmarkStart w:id="169" w:name="_Toc139991738"/>
      <w:bookmarkStart w:id="170" w:name="_Toc25783"/>
      <w:bookmarkStart w:id="171" w:name="_Toc10650"/>
      <w:bookmarkStart w:id="172" w:name="_Toc123051454"/>
      <w:bookmarkStart w:id="173" w:name="_Toc79392583"/>
      <w:bookmarkStart w:id="174" w:name="_Toc6447"/>
      <w:bookmarkStart w:id="175" w:name="_Toc4559"/>
      <w:bookmarkStart w:id="176" w:name="_Toc7058"/>
      <w:bookmarkStart w:id="177" w:name="_Toc18567"/>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r>
        <w:rPr>
          <w:rFonts w:hint="eastAsia"/>
          <w:bCs/>
          <w:sz w:val="18"/>
          <w:szCs w:val="18"/>
        </w:rPr>
        <w:t>赎回费全部计入理财资产。</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H＝E×销售服务费年费率÷365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6"/>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年费率÷365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每个赎回日或产品终止日时，若理财资产扣除销售服务费、产品托管费和投资管理费等相关费用后，每个赎回日或产品终止日产品份额净值折算的年化收益率超过当期业绩比较基准上限，则产品管理人收取超出部分的一定比例作为超额业绩报酬。由此造成每个赎回日或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①按投资者每笔产品份额分别计算年化收益率并计提超额业绩报酬；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②在产品赎回日或产品终止日，本产品对符合超额业绩报酬提取条件的产品份额计提超额业绩报酬；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每笔产品份额超额业绩报酬计提起始日为：a.募集期内认购的产品份额，以产品成立日为该笔产品份额超额业绩报酬计提起始日；b.存续期内申购的产品份额，以投资周期起始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②每笔产品份额超额业绩报酬计提日为产品赎回日或产品终止日。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产品管理人对每笔份额年化收益率（R）超过业绩比较基准上限的部分，按比例（N）以及产品份额持有天数（D）提取超额业绩报酬，计算方法如下：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当R≤业绩比较基准上限，超额业绩报酬=0；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当R＞业绩比较基准上限，超额业绩报酬=赎回或持有的产品份额数量×（R-业绩比较基准上限）×N×D/365。</w:t>
      </w:r>
    </w:p>
    <w:p>
      <w:pPr>
        <w:widowControl/>
        <w:spacing w:line="360" w:lineRule="auto"/>
        <w:ind w:firstLine="424" w:firstLineChars="236"/>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424" w:firstLineChars="236"/>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424" w:firstLineChars="236"/>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年费率÷365</w:t>
      </w:r>
    </w:p>
    <w:p>
      <w:pPr>
        <w:widowControl/>
        <w:spacing w:line="360" w:lineRule="auto"/>
        <w:ind w:firstLine="424" w:firstLineChars="236"/>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424" w:firstLineChars="236"/>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424" w:firstLineChars="236"/>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6"/>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6"/>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6"/>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6"/>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center"/>
        <w:rPr>
          <w:b/>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Start w:id="178" w:name="_Toc3963"/>
      <w:bookmarkStart w:id="179" w:name="_Toc1745"/>
      <w:r>
        <w:br w:type="page"/>
      </w:r>
      <w:bookmarkStart w:id="180" w:name="_Toc123112237"/>
      <w:bookmarkStart w:id="181" w:name="_Toc139991739"/>
      <w:bookmarkStart w:id="182" w:name="_Toc123051455"/>
      <w:bookmarkStart w:id="183" w:name="_Toc74065746"/>
      <w:bookmarkStart w:id="184" w:name="_Toc21735"/>
      <w:bookmarkStart w:id="185" w:name="_Toc31821"/>
      <w:bookmarkStart w:id="186" w:name="_Toc79154673"/>
      <w:bookmarkStart w:id="187" w:name="_Toc16164"/>
      <w:bookmarkStart w:id="188" w:name="_Toc3080"/>
      <w:bookmarkStart w:id="189" w:name="_Toc98560355"/>
      <w:bookmarkStart w:id="190" w:name="_Toc10398"/>
      <w:bookmarkStart w:id="191" w:name="_Toc725"/>
      <w:bookmarkStart w:id="192" w:name="_Toc141703889"/>
      <w:bookmarkStart w:id="193" w:name="_Toc3572"/>
      <w:bookmarkStart w:id="194" w:name="_Toc83394165"/>
      <w:bookmarkStart w:id="195" w:name="_Toc18206"/>
      <w:bookmarkStart w:id="196" w:name="_Toc123102456"/>
      <w:r>
        <w:rPr>
          <w:rFonts w:hint="eastAsia"/>
          <w:b/>
          <w:sz w:val="30"/>
        </w:rPr>
        <w:t>第十条</w:t>
      </w:r>
      <w:r>
        <w:rPr>
          <w:b/>
          <w:sz w:val="30"/>
        </w:rPr>
        <w:t xml:space="preserve">  </w:t>
      </w:r>
      <w:r>
        <w:rPr>
          <w:rFonts w:hint="eastAsia"/>
          <w:b/>
          <w:sz w:val="30"/>
        </w:rPr>
        <w:t>理财产品的终止与清算</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line="360" w:lineRule="auto"/>
        <w:ind w:firstLine="361" w:firstLineChars="200"/>
        <w:rPr>
          <w:rFonts w:asciiTheme="majorEastAsia" w:hAnsiTheme="majorEastAsia" w:eastAsiaTheme="majorEastAsia"/>
          <w:b/>
          <w:bCs/>
          <w:sz w:val="18"/>
          <w:szCs w:val="18"/>
        </w:rPr>
      </w:pPr>
      <w:bookmarkStart w:id="197" w:name="_Toc79392593"/>
      <w:bookmarkStart w:id="198" w:name="_Toc15118245"/>
      <w:bookmarkStart w:id="199"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出现以下情况，产品管理人有权延长本理财产品的分配日：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产品赎回确认遇非工作日顺延至下一工作日，投资者清算资金到账日将相应调整；</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5）</w:t>
      </w:r>
      <w:r>
        <w:rPr>
          <w:rFonts w:hint="eastAsia" w:ascii="黑体" w:hAnsi="黑体" w:eastAsia="黑体"/>
          <w:bCs/>
          <w:sz w:val="18"/>
          <w:szCs w:val="18"/>
        </w:rPr>
        <w:t>其他产品管理人认为需要延期分配的情形。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产品管理人决定延期分配的，应依据约定进行公告。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自本理财产品终止日至投资者理财本金及收益到账日之间为本理财产品的清算期。清算期不计算投资收益。清算期原则上不得超过【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w:t>
      </w:r>
      <w:r>
        <w:rPr>
          <w:rFonts w:asciiTheme="minorEastAsia" w:hAnsiTheme="minorEastAsia"/>
          <w:sz w:val="18"/>
        </w:rPr>
        <w:t xml:space="preserve"> 将依约</w:t>
      </w:r>
      <w:r>
        <w:rPr>
          <w:rFonts w:hint="eastAsia" w:asciiTheme="minorEastAsia" w:hAnsiTheme="minorEastAsia"/>
          <w:sz w:val="18"/>
        </w:rPr>
        <w:t>定进行公告</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ascii="宋体" w:hAnsi="宋体"/>
          <w:bCs/>
          <w:sz w:val="18"/>
          <w:szCs w:val="18"/>
        </w:rPr>
        <w:t>.</w:t>
      </w:r>
      <w:r>
        <w:rPr>
          <w:rFonts w:hint="eastAsia" w:asciiTheme="majorEastAsia" w:hAnsiTheme="majorEastAsia" w:eastAsiaTheme="majorEastAsia"/>
          <w:bCs/>
          <w:sz w:val="18"/>
          <w:szCs w:val="18"/>
        </w:rPr>
        <w:t>理财产品部分或全部提前终止的，</w:t>
      </w:r>
      <w:r>
        <w:rPr>
          <w:rFonts w:hint="eastAsia" w:ascii="宋体" w:hAnsi="宋体"/>
          <w:bCs/>
          <w:sz w:val="18"/>
          <w:szCs w:val="18"/>
        </w:rPr>
        <w:t>则理财产品将按比例（已变现本金</w:t>
      </w:r>
      <w:r>
        <w:rPr>
          <w:rFonts w:ascii="宋体" w:hAnsi="宋体"/>
          <w:bCs/>
          <w:sz w:val="18"/>
          <w:szCs w:val="18"/>
        </w:rPr>
        <w:t>/理财初始本金）</w:t>
      </w:r>
      <w:r>
        <w:rPr>
          <w:rFonts w:hint="eastAsia" w:ascii="宋体" w:hAnsi="宋体"/>
          <w:bCs/>
          <w:sz w:val="18"/>
          <w:szCs w:val="18"/>
        </w:rPr>
        <w:t>向投资者分配，同时根据产品</w:t>
      </w:r>
      <w:r>
        <w:rPr>
          <w:rFonts w:ascii="宋体" w:hAnsi="宋体"/>
          <w:bCs/>
          <w:sz w:val="18"/>
          <w:szCs w:val="18"/>
        </w:rPr>
        <w:t>最新</w:t>
      </w:r>
      <w:r>
        <w:rPr>
          <w:rFonts w:hint="eastAsia" w:ascii="宋体" w:hAnsi="宋体"/>
          <w:bCs/>
          <w:sz w:val="18"/>
          <w:szCs w:val="18"/>
        </w:rPr>
        <w:t>的</w:t>
      </w:r>
      <w:r>
        <w:rPr>
          <w:rFonts w:ascii="宋体" w:hAnsi="宋体"/>
          <w:bCs/>
          <w:sz w:val="18"/>
          <w:szCs w:val="18"/>
        </w:rPr>
        <w:t>理财产品</w:t>
      </w:r>
      <w:r>
        <w:rPr>
          <w:rFonts w:hint="eastAsia" w:ascii="宋体" w:hAnsi="宋体"/>
          <w:bCs/>
          <w:sz w:val="18"/>
          <w:szCs w:val="18"/>
        </w:rPr>
        <w:t>份额</w:t>
      </w:r>
      <w:r>
        <w:rPr>
          <w:rFonts w:ascii="宋体" w:hAnsi="宋体"/>
          <w:bCs/>
          <w:sz w:val="18"/>
          <w:szCs w:val="18"/>
        </w:rPr>
        <w:t>净值和份额</w:t>
      </w:r>
      <w:r>
        <w:rPr>
          <w:rFonts w:hint="eastAsia" w:ascii="宋体" w:hAnsi="宋体"/>
          <w:bCs/>
          <w:sz w:val="18"/>
          <w:szCs w:val="18"/>
        </w:rPr>
        <w:t>计算并支付投资者相应的理财利益，投资者所持有的理财份额则按比例注销。</w:t>
      </w:r>
      <w:r>
        <w:rPr>
          <w:rFonts w:hint="eastAsia" w:asciiTheme="majorEastAsia" w:hAnsiTheme="majorEastAsia" w:eastAsiaTheme="majorEastAsia"/>
          <w:bCs/>
          <w:sz w:val="18"/>
          <w:szCs w:val="18"/>
        </w:rPr>
        <w:t>如果投资者在本产品提前终止时仍有未赎回的理财产品份额，则产品管理人将于提前终止日将未赎回的产品份额自动进行清算。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产品管理人将依照协议约定公布提前终止日并指定分配日（一般为提前终止日之后的【3】个工作日以内）。产品管理人应将理财利益于指定的分配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（遇节假日顺延）向投资者分配。理财产品提前终止日（含当日）至理财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bookmarkEnd w:id="197"/>
    <w:bookmarkEnd w:id="198"/>
    <w:bookmarkEnd w:id="199"/>
    <w:p>
      <w:pPr>
        <w:pStyle w:val="2"/>
        <w:spacing w:before="0" w:after="0" w:line="360" w:lineRule="auto"/>
        <w:jc w:val="center"/>
        <w:rPr>
          <w:rFonts w:ascii="Times New Roman"/>
          <w:sz w:val="18"/>
          <w:szCs w:val="18"/>
        </w:rPr>
      </w:pPr>
      <w:r>
        <w:rPr>
          <w:rFonts w:ascii="Times New Roman"/>
          <w:b w:val="0"/>
          <w:bCs w:val="0"/>
          <w:kern w:val="2"/>
        </w:rPr>
        <w:br w:type="page"/>
      </w:r>
      <w:bookmarkStart w:id="200" w:name="_Toc739"/>
      <w:bookmarkStart w:id="201" w:name="_Toc74065747"/>
      <w:bookmarkStart w:id="202" w:name="_Toc17920"/>
      <w:bookmarkStart w:id="203" w:name="_Toc17198"/>
      <w:bookmarkStart w:id="204" w:name="_Toc21237"/>
      <w:bookmarkStart w:id="205" w:name="_Toc48649708"/>
      <w:bookmarkStart w:id="206" w:name="_Toc83391975"/>
      <w:bookmarkStart w:id="207" w:name="_Toc123112238"/>
      <w:bookmarkStart w:id="208" w:name="_Toc83394166"/>
      <w:bookmarkStart w:id="209" w:name="_Toc123102457"/>
      <w:bookmarkStart w:id="210" w:name="_Toc139991740"/>
      <w:bookmarkStart w:id="211" w:name="_Toc32092"/>
      <w:bookmarkStart w:id="212" w:name="_Toc98560356"/>
      <w:bookmarkStart w:id="213" w:name="_Toc29408"/>
      <w:bookmarkStart w:id="214" w:name="_Toc123051456"/>
      <w:bookmarkStart w:id="215" w:name="_Toc79392622"/>
      <w:bookmarkStart w:id="216" w:name="_Toc3329"/>
      <w:bookmarkStart w:id="217" w:name="_Toc141703890"/>
      <w:bookmarkStart w:id="218" w:name="_Toc32584"/>
      <w:bookmarkStart w:id="219" w:name="_Toc5170"/>
      <w:bookmarkStart w:id="220" w:name="_Toc79154674"/>
      <w:bookmarkStart w:id="221" w:name="_Toc8791"/>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的，将依据本协议书投资者信息中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2个工作日内发布重大事项公告，充分披露事件的原因、解决措施以及对投资者收益产生的影响。</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的产品份额净值、产品份额累计净值、业绩比较基准（如有）、业绩报酬计提起点（如有）等。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业绩报酬计提起点（</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起点（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起点（如有），以明确列示下一个完整投资周期对应的业绩比较基准（如有）、业绩报酬计提起点（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赎回申请或延缓支付赎回款项、</w:t>
      </w:r>
      <w:r>
        <w:rPr>
          <w:rFonts w:ascii="宋体" w:hAnsi="宋体"/>
          <w:bCs/>
          <w:sz w:val="18"/>
          <w:szCs w:val="18"/>
        </w:rPr>
        <w:t>巨额赎回等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于3个工作日</w:t>
      </w:r>
      <w:r>
        <w:rPr>
          <w:rFonts w:hint="eastAsia" w:ascii="宋体" w:hAnsi="宋体"/>
          <w:bCs/>
          <w:sz w:val="18"/>
          <w:szCs w:val="18"/>
        </w:rPr>
        <w:t>内</w:t>
      </w:r>
      <w:r>
        <w:rPr>
          <w:rFonts w:ascii="宋体" w:hAnsi="宋体"/>
          <w:bCs/>
          <w:sz w:val="18"/>
          <w:szCs w:val="18"/>
        </w:rPr>
        <w:t>发布相关信息</w:t>
      </w:r>
      <w:r>
        <w:rPr>
          <w:rFonts w:hint="eastAsia" w:ascii="宋体" w:hAnsi="宋体"/>
          <w:bCs/>
          <w:sz w:val="18"/>
          <w:szCs w:val="18"/>
        </w:rPr>
        <w:t>及</w:t>
      </w:r>
      <w:r>
        <w:rPr>
          <w:rFonts w:ascii="宋体" w:hAnsi="宋体"/>
          <w:bCs/>
          <w:sz w:val="18"/>
          <w:szCs w:val="18"/>
        </w:rPr>
        <w:t>处理措施。</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5）其他需要临时性公告的事项</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pStyle w:val="2"/>
        <w:spacing w:before="0" w:after="0" w:line="360" w:lineRule="auto"/>
        <w:jc w:val="center"/>
        <w:rPr>
          <w:rFonts w:ascii="Times New Roman"/>
          <w:b w:val="0"/>
          <w:sz w:val="30"/>
        </w:rPr>
      </w:pPr>
      <w:bookmarkStart w:id="222" w:name="_Toc83394167"/>
      <w:bookmarkStart w:id="223"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22"/>
      <w:bookmarkEnd w:id="223"/>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（一）投资者投资本产品可能面临的风险主要包括（但不限于）：</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spacing w:line="360" w:lineRule="auto"/>
        <w:ind w:firstLine="360"/>
        <w:rPr>
          <w:rFonts w:ascii="宋体" w:hAnsi="宋体"/>
          <w:sz w:val="18"/>
          <w:szCs w:val="18"/>
        </w:rPr>
      </w:pPr>
      <w:r>
        <w:rPr>
          <w:rFonts w:ascii="宋体" w:hAnsi="宋体"/>
          <w:sz w:val="18"/>
          <w:szCs w:val="18"/>
        </w:rPr>
        <w:t>3</w:t>
      </w:r>
      <w:r>
        <w:rPr>
          <w:rFonts w:hint="eastAsia" w:ascii="宋体" w:hAnsi="宋体"/>
          <w:sz w:val="18"/>
          <w:szCs w:val="18"/>
        </w:rPr>
        <w:t>.投资标的风险：本产品投资标的的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pPr>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流动性风险：</w:t>
      </w:r>
      <w:r>
        <w:rPr>
          <w:rFonts w:hint="eastAsia" w:ascii="宋体" w:hAnsi="宋体"/>
          <w:sz w:val="18"/>
          <w:szCs w:val="18"/>
        </w:rPr>
        <w:t>若本产品发生巨额赎回，投资者将面临不能及时赎回理财产品的风险。</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8</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9.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11</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14.估值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16</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7</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18.</w:t>
      </w:r>
      <w:r>
        <w:rPr>
          <w:rFonts w:hint="eastAsia" w:ascii="黑体" w:hAnsi="黑体" w:eastAsia="黑体"/>
          <w:sz w:val="18"/>
          <w:szCs w:val="18"/>
        </w:rPr>
        <w:t xml:space="preserve"> ★关联交易风险</w:t>
      </w:r>
      <w:r>
        <w:rPr>
          <w:rFonts w:hint="eastAsia" w:ascii="宋体" w:hAnsi="宋体"/>
          <w:sz w:val="18"/>
          <w:szCs w:val="18"/>
        </w:rPr>
        <w:t>：若本产品为私募理财产品的，且本产品的销售机构为兴业银行股份有限公司（以下简称“兴业银行”）的，鉴于兴业银行是产品管理人的关联方，尽管兴业银行已建立健全关联方产品销售管理制度，但上述关联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（二）★最不利投资情形下的投资结果示例：产品管理人对本产品的理财本金和收益不提供保证承诺，若理财产品运作期间，该理财产品投资标的出现风险，则投资者可能无法获得理财收益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16"/>
        <w:spacing w:line="360" w:lineRule="auto"/>
        <w:rPr>
          <w:rFonts w:hAnsi="宋体"/>
          <w:sz w:val="18"/>
          <w:szCs w:val="18"/>
        </w:rPr>
      </w:pPr>
    </w:p>
    <w:p>
      <w:p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6"/>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ind w:firstLine="360" w:firstLineChars="200"/>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ind w:firstLine="360" w:firstLineChars="200"/>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ind w:firstLine="360" w:firstLineChars="200"/>
        <w:jc w:val="left"/>
        <w:rPr>
          <w:rFonts w:ascii="宋体" w:hAnsi="宋体" w:cs="仿宋_GB2312"/>
          <w:kern w:val="0"/>
          <w:sz w:val="18"/>
          <w:szCs w:val="18"/>
        </w:rPr>
      </w:pP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ind w:left="840" w:leftChars="400"/>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ind w:left="840" w:leftChars="400"/>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6"/>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p>
    <w:p>
      <w:pPr>
        <w:widowControl/>
        <w:spacing w:line="360" w:lineRule="auto"/>
        <w:ind w:firstLine="360" w:firstLineChars="200"/>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和其他资料，同时可向产品管理人、产品托管人提供前述信息，并留存办理理财业务所需的投资者金融信息。</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ind w:firstLine="360" w:firstLineChars="200"/>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ind w:firstLine="361" w:firstLineChars="200"/>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ind w:firstLine="361" w:firstLineChars="200"/>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w:t>
      </w:r>
      <w:r>
        <w:rPr>
          <w:rFonts w:ascii="黑体" w:hAnsi="黑体" w:eastAsia="黑体"/>
          <w:b/>
          <w:bCs/>
          <w:sz w:val="28"/>
          <w:szCs w:val="28"/>
        </w:rPr>
        <w:t>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 xml:space="preserve"> 【兴业银行天天万利宝稳利</w:t>
      </w:r>
      <w:r>
        <w:rPr>
          <w:rFonts w:ascii="宋体" w:hAnsi="宋体" w:cs="仿宋_GB2312"/>
          <w:kern w:val="0"/>
          <w:sz w:val="18"/>
          <w:szCs w:val="18"/>
        </w:rPr>
        <w:t>6</w:t>
      </w:r>
      <w:r>
        <w:rPr>
          <w:rFonts w:hint="eastAsia" w:ascii="宋体" w:hAnsi="宋体" w:cs="仿宋_GB2312"/>
          <w:kern w:val="0"/>
          <w:sz w:val="18"/>
          <w:szCs w:val="18"/>
        </w:rPr>
        <w:t>号</w:t>
      </w:r>
      <w:r>
        <w:rPr>
          <w:rFonts w:hint="eastAsia" w:ascii="宋体" w:hAnsi="宋体" w:cs="仿宋_GB2312"/>
          <w:kern w:val="0"/>
          <w:sz w:val="18"/>
          <w:szCs w:val="18"/>
          <w:lang w:val="en-US" w:eastAsia="zh-CN"/>
        </w:rPr>
        <w:t>U</w:t>
      </w:r>
      <w:r>
        <w:rPr>
          <w:rFonts w:hint="eastAsia" w:ascii="宋体" w:hAnsi="宋体" w:cs="仿宋_GB2312"/>
          <w:kern w:val="0"/>
          <w:sz w:val="18"/>
          <w:szCs w:val="18"/>
        </w:rPr>
        <w:t>款净值型理财产品】。</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cs="仿宋_GB2312"/>
          <w:kern w:val="0"/>
          <w:sz w:val="18"/>
          <w:szCs w:val="18"/>
        </w:rPr>
        <w:t>【稳利恒盈6号U款 9个月A】（适用【A】类份额）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【稳利恒盈6号U款 9个月B】（适用【B】类份额）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【稳利恒盈6号U款 9个月C】（适用【C】类份额）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14:textFill>
            <w14:solidFill>
              <w14:schemeClr w14:val="tx1"/>
            </w14:solidFill>
          </w14:textFill>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14:textFill>
            <w14:solidFill>
              <w14:schemeClr w14:val="tx1"/>
            </w14:solidFill>
          </w14:textFill>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14:textFill>
            <w14:solidFill>
              <w14:schemeClr w14:val="tx1"/>
            </w14:solidFill>
          </w14:textFill>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448" w:firstLineChars="249"/>
        <w:rPr>
          <w:rFonts w:ascii="宋体" w:hAnsi="宋体" w:cs="仿宋_GB2312"/>
          <w:kern w:val="0"/>
          <w:sz w:val="18"/>
          <w:szCs w:val="18"/>
        </w:rPr>
      </w:pPr>
      <w:r>
        <w:rPr>
          <w:rFonts w:hint="eastAsia" w:ascii="宋体" w:hAnsi="宋体" w:cs="仿宋_GB2312"/>
          <w:kern w:val="0"/>
          <w:sz w:val="18"/>
          <w:szCs w:val="18"/>
        </w:rPr>
        <w:t>（一）投资者投资本产品可能面临的风险主要包括（但不限于）：</w:t>
      </w:r>
    </w:p>
    <w:p>
      <w:pPr>
        <w:pStyle w:val="14"/>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361"/>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.投资标的风险</w:t>
      </w:r>
      <w:r>
        <w:rPr>
          <w:rFonts w:hint="eastAsia" w:ascii="宋体" w:hAnsi="宋体" w:cs="仿宋_GB2312"/>
          <w:kern w:val="0"/>
          <w:sz w:val="18"/>
          <w:szCs w:val="18"/>
        </w:rPr>
        <w:t>：本产品投资标的的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pPr>
        <w:pStyle w:val="14"/>
        <w:ind w:firstLine="426" w:firstLineChars="0"/>
        <w:rPr>
          <w:rFonts w:ascii="宋体" w:hAnsi="宋体" w:cs="仿宋_GB2312"/>
          <w:kern w:val="0"/>
          <w:sz w:val="18"/>
          <w:szCs w:val="18"/>
        </w:rPr>
      </w:pPr>
      <w:r>
        <w:rPr>
          <w:rFonts w:ascii="宋体" w:hAnsi="宋体"/>
          <w:b/>
          <w:bCs/>
          <w:sz w:val="18"/>
          <w:szCs w:val="18"/>
        </w:rPr>
        <w:t>4</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autoSpaceDE w:val="0"/>
        <w:autoSpaceDN w:val="0"/>
        <w:adjustRightInd w:val="0"/>
        <w:ind w:firstLine="425" w:firstLineChars="235"/>
        <w:jc w:val="left"/>
        <w:rPr>
          <w:rFonts w:ascii="宋体" w:hAnsi="宋体" w:cs="仿宋_GB2312"/>
          <w:kern w:val="0"/>
          <w:sz w:val="18"/>
          <w:szCs w:val="18"/>
        </w:rPr>
      </w:pPr>
      <w:r>
        <w:rPr>
          <w:rFonts w:ascii="宋体" w:hAnsi="宋体"/>
          <w:b/>
          <w:bCs/>
          <w:sz w:val="18"/>
          <w:szCs w:val="18"/>
        </w:rPr>
        <w:t>5</w:t>
      </w:r>
      <w:r>
        <w:rPr>
          <w:rFonts w:hint="eastAsia" w:ascii="宋体" w:hAnsi="宋体"/>
          <w:b/>
          <w:bCs/>
          <w:sz w:val="18"/>
          <w:szCs w:val="18"/>
        </w:rPr>
        <w:t>.</w:t>
      </w:r>
      <w:r>
        <w:rPr>
          <w:rFonts w:ascii="宋体" w:hAnsi="宋体"/>
          <w:b/>
          <w:bCs/>
          <w:sz w:val="18"/>
          <w:szCs w:val="18"/>
        </w:rPr>
        <w:t>流动性风险：</w:t>
      </w:r>
      <w:r>
        <w:rPr>
          <w:rFonts w:hint="eastAsia" w:ascii="宋体" w:hAnsi="宋体" w:cs="仿宋_GB2312"/>
          <w:kern w:val="0"/>
          <w:sz w:val="18"/>
          <w:szCs w:val="18"/>
        </w:rPr>
        <w:t>若本产品发生巨额赎回，投资者将面临不能及时赎回理财产品的风险。</w:t>
      </w:r>
    </w:p>
    <w:p>
      <w:pPr>
        <w:pStyle w:val="14"/>
        <w:ind w:firstLine="426" w:firstLineChars="0"/>
        <w:rPr>
          <w:rFonts w:ascii="宋体" w:hAnsi="宋体" w:cs="仿宋_GB2312"/>
          <w:kern w:val="0"/>
          <w:sz w:val="18"/>
          <w:szCs w:val="18"/>
        </w:rPr>
      </w:pPr>
      <w:r>
        <w:rPr>
          <w:rFonts w:ascii="宋体" w:hAnsi="宋体" w:cs="仿宋_GB2312"/>
          <w:b/>
          <w:kern w:val="0"/>
          <w:sz w:val="18"/>
          <w:szCs w:val="18"/>
        </w:rPr>
        <w:t>6</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cs="仿宋_GB2312"/>
          <w:kern w:val="0"/>
          <w:sz w:val="18"/>
          <w:szCs w:val="18"/>
        </w:rPr>
      </w:pPr>
      <w:r>
        <w:rPr>
          <w:rFonts w:ascii="宋体" w:hAnsi="宋体"/>
          <w:b/>
          <w:bCs/>
          <w:sz w:val="18"/>
          <w:szCs w:val="18"/>
        </w:rPr>
        <w:t>7</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kern w:val="0"/>
          <w:sz w:val="18"/>
          <w:szCs w:val="18"/>
        </w:rPr>
      </w:pPr>
      <w:r>
        <w:rPr>
          <w:rFonts w:ascii="宋体" w:hAnsi="宋体" w:cs="仿宋_GB2312"/>
          <w:b/>
          <w:kern w:val="0"/>
          <w:sz w:val="18"/>
          <w:szCs w:val="18"/>
        </w:rPr>
        <w:t>8</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4"/>
        <w:ind w:firstLine="426" w:firstLineChars="0"/>
        <w:rPr>
          <w:rFonts w:ascii="宋体" w:hAnsi="宋体" w:cs="仿宋_GB2312"/>
          <w:kern w:val="0"/>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4"/>
        <w:ind w:firstLine="426"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Chars="0"/>
        <w:rPr>
          <w:rFonts w:ascii="宋体" w:hAnsi="宋体"/>
          <w:bCs/>
          <w:sz w:val="18"/>
          <w:szCs w:val="18"/>
        </w:rPr>
      </w:pPr>
      <w:r>
        <w:rPr>
          <w:rFonts w:ascii="宋体" w:hAnsi="宋体"/>
          <w:b/>
          <w:bCs/>
          <w:sz w:val="18"/>
          <w:szCs w:val="18"/>
        </w:rPr>
        <w:t>13</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Chars="0"/>
        <w:rPr>
          <w:rFonts w:ascii="宋体" w:hAnsi="宋体"/>
          <w:bCs/>
          <w:sz w:val="18"/>
          <w:szCs w:val="18"/>
        </w:rPr>
      </w:pPr>
      <w:r>
        <w:rPr>
          <w:rFonts w:ascii="宋体" w:hAnsi="宋体"/>
          <w:b/>
          <w:bCs/>
          <w:sz w:val="18"/>
          <w:szCs w:val="18"/>
        </w:rPr>
        <w:t>14.估值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Chars="0"/>
        <w:rPr>
          <w:rFonts w:ascii="宋体" w:hAnsi="宋体"/>
          <w:bCs/>
          <w:sz w:val="18"/>
          <w:szCs w:val="18"/>
        </w:rPr>
      </w:pPr>
      <w:r>
        <w:rPr>
          <w:rFonts w:ascii="宋体" w:hAnsi="宋体"/>
          <w:b/>
          <w:bCs/>
          <w:sz w:val="18"/>
          <w:szCs w:val="18"/>
        </w:rPr>
        <w:t>15</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Chars="0"/>
        <w:rPr>
          <w:rFonts w:ascii="黑体" w:hAnsi="黑体" w:eastAsia="黑体"/>
          <w:bCs/>
          <w:sz w:val="18"/>
          <w:szCs w:val="18"/>
          <w:u w:val="single"/>
        </w:rPr>
      </w:pPr>
      <w:r>
        <w:rPr>
          <w:rFonts w:ascii="宋体" w:hAnsi="宋体"/>
          <w:b/>
          <w:bCs/>
          <w:sz w:val="18"/>
          <w:szCs w:val="18"/>
        </w:rPr>
        <w:t>16</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4"/>
        <w:ind w:firstLineChars="0"/>
        <w:rPr>
          <w:rFonts w:ascii="黑体" w:hAnsi="黑体" w:eastAsia="黑体" w:cs="仿宋_GB2312"/>
          <w:kern w:val="0"/>
          <w:sz w:val="18"/>
          <w:szCs w:val="18"/>
        </w:rPr>
      </w:pPr>
      <w:r>
        <w:rPr>
          <w:rFonts w:ascii="黑体" w:hAnsi="黑体" w:eastAsia="黑体"/>
          <w:b/>
          <w:bCs/>
          <w:sz w:val="18"/>
          <w:szCs w:val="18"/>
          <w:u w:val="single"/>
        </w:rPr>
        <w:t>1</w:t>
      </w:r>
      <w:r>
        <w:rPr>
          <w:rFonts w:hint="eastAsia" w:ascii="黑体" w:hAnsi="黑体" w:eastAsia="黑体"/>
          <w:b/>
          <w:bCs/>
          <w:sz w:val="18"/>
          <w:szCs w:val="18"/>
          <w:u w:val="single"/>
        </w:rPr>
        <w:t>7</w:t>
      </w:r>
      <w:r>
        <w:rPr>
          <w:rFonts w:ascii="黑体" w:hAnsi="黑体" w:eastAsia="黑体"/>
          <w:b/>
          <w:bCs/>
          <w:sz w:val="18"/>
          <w:szCs w:val="18"/>
          <w:u w:val="single"/>
        </w:rPr>
        <w:t>.</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14"/>
        <w:ind w:firstLineChars="0"/>
        <w:rPr>
          <w:rFonts w:ascii="黑体" w:hAnsi="黑体" w:eastAsia="黑体"/>
          <w:sz w:val="18"/>
          <w:szCs w:val="18"/>
          <w:u w:val="single"/>
        </w:rPr>
      </w:pPr>
      <w:r>
        <w:rPr>
          <w:rFonts w:ascii="黑体" w:hAnsi="黑体" w:eastAsia="黑体"/>
          <w:b/>
          <w:bCs/>
          <w:sz w:val="18"/>
          <w:szCs w:val="18"/>
          <w:u w:val="single"/>
        </w:rPr>
        <w:t>18.</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若本产品为私募理财产品的，且本产品的销售机构为兴业银行股份有限公司（以下简称“兴业银行”）的，鉴于兴业银行是产品管理人的关联方，尽管兴业银行已建立健全关联方产品销售管理制度，但上述关联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（二）</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w:t>
      </w:r>
      <w:r>
        <w:rPr>
          <w:rFonts w:hint="eastAsia" w:ascii="黑体" w:hAnsi="黑体" w:eastAsia="黑体"/>
          <w:b/>
          <w:bCs/>
          <w:sz w:val="28"/>
          <w:szCs w:val="28"/>
        </w:rPr>
        <w:t>天天万利宝稳利</w:t>
      </w:r>
      <w:r>
        <w:rPr>
          <w:rStyle w:val="12"/>
          <w:rFonts w:hint="eastAsia" w:ascii="黑体" w:hAnsi="黑体" w:eastAsia="黑体"/>
          <w:sz w:val="28"/>
          <w:szCs w:val="28"/>
        </w:rPr>
        <w:t>】净值型理财产品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R1</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R2</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R3</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R4</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R5</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C5</w:t>
            </w:r>
            <w:r>
              <w:rPr>
                <w:rFonts w:hint="eastAsia" w:ascii="宋体" w:hAnsi="宋体"/>
                <w:sz w:val="18"/>
                <w:szCs w:val="18"/>
              </w:rPr>
              <w:t>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销售机构在销售本产品时，其对投资者风险承受能力等级的划分与表述可能与产品管理人存在差异，即采用销售机构设置的标准。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投资者风险承受能力，机构投资者由低至高分为【C1至C5五个等级】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【C5】</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R1</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R2</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R3</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R4</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R5</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6"/>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黑体" w:hAnsi="黑体" w:eastAsia="黑体"/>
      </w:rPr>
    </w:pPr>
    <w:r>
      <w:rPr>
        <w:rFonts w:hint="eastAsia" w:ascii="黑体" w:hAnsi="黑体" w:eastAsia="黑体"/>
        <w:sz w:val="18"/>
        <w:szCs w:val="18"/>
      </w:rPr>
      <w:t>版本说明：适用公募定期开放式理财产品</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docPartObj>
        <w:docPartGallery w:val="autotext"/>
      </w:docPartObj>
    </w:sdtPr>
    <w:sdtContent>
      <w:p>
        <w:pPr>
          <w:pStyle w:val="4"/>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jc w:val="right"/>
      <w:rPr>
        <w:b/>
      </w:rPr>
    </w:pPr>
    <w:r>
      <w:rPr>
        <w:rFonts w:hint="eastAsia"/>
        <w:b/>
      </w:rPr>
      <w:t>投资协议书</w:t>
    </w:r>
  </w:p>
  <w:p>
    <w:pPr>
      <w:pStyle w:val="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jc w:val="right"/>
      <w:rPr>
        <w:b/>
      </w:rPr>
    </w:pPr>
    <w:r>
      <w:rPr>
        <w:rFonts w:hint="eastAsia"/>
        <w:b/>
      </w:rPr>
      <w:t>投资协议书</w:t>
    </w:r>
  </w:p>
  <w:p>
    <w:pPr>
      <w:pStyle w:val="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F021E"/>
    <w:multiLevelType w:val="multilevel"/>
    <w:tmpl w:val="018F021E"/>
    <w:lvl w:ilvl="0" w:tentative="0">
      <w:start w:val="1"/>
      <w:numFmt w:val="decimalEnclosedCircle"/>
      <w:lvlText w:val="%1"/>
      <w:lvlJc w:val="left"/>
      <w:pPr>
        <w:ind w:left="360" w:hanging="36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C63C91"/>
    <w:multiLevelType w:val="multilevel"/>
    <w:tmpl w:val="10C63C91"/>
    <w:lvl w:ilvl="0" w:tentative="0">
      <w:start w:val="1"/>
      <w:numFmt w:val="decimalEnclosedCircle"/>
      <w:lvlText w:val="%1"/>
      <w:lvlJc w:val="left"/>
      <w:pPr>
        <w:ind w:left="360" w:hanging="36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A310B3"/>
    <w:multiLevelType w:val="multilevel"/>
    <w:tmpl w:val="4EA310B3"/>
    <w:lvl w:ilvl="0" w:tentative="0">
      <w:start w:val="2"/>
      <w:numFmt w:val="bullet"/>
      <w:lvlText w:val="★"/>
      <w:lvlJc w:val="left"/>
      <w:pPr>
        <w:ind w:left="360" w:hanging="360"/>
      </w:pPr>
      <w:rPr>
        <w:rFonts w:hint="eastAsia" w:ascii="黑体" w:hAnsi="黑体" w:eastAsia="黑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775CF"/>
    <w:rsid w:val="5007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qFormat/>
    <w:uiPriority w:val="99"/>
    <w:rPr>
      <w:color w:val="0000FF"/>
      <w:u w:val="single"/>
    </w:rPr>
  </w:style>
  <w:style w:type="paragraph" w:styleId="14">
    <w:name w:val="List Paragraph"/>
    <w:basedOn w:val="1"/>
    <w:qFormat/>
    <w:uiPriority w:val="0"/>
    <w:pPr>
      <w:ind w:firstLine="420" w:firstLineChars="200"/>
    </w:p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2022-04-12T04:22:00Z</dcterms:created>
  <dc:creator>xiao liu</dc:creator>
  <cp:lastModifiedBy>xiao liu</cp:lastModifiedBy>
  <dcterms:modified xsi:type="dcterms:W3CDTF">2022-04-12T04:25:12Z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65321C7843D34CF598CD03490ECB35D5</vt:lpwstr>
  </property>
</Properties>
</file>