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jc w:val="center"/>
        <w:rPr>
          <w:rFonts w:ascii="黑体" w:hAnsi="黑体" w:eastAsia="黑体"/>
          <w:b/>
          <w:sz w:val="28"/>
          <w:szCs w:val="28"/>
        </w:rPr>
      </w:pPr>
    </w:p>
    <w:p>
      <w:pPr>
        <w:widowControl/>
        <w:jc w:val="center"/>
        <w:rPr>
          <w:rFonts w:ascii="黑体" w:hAnsi="黑体" w:eastAsia="黑体"/>
          <w:b/>
          <w:sz w:val="44"/>
          <w:szCs w:val="44"/>
        </w:rPr>
      </w:pPr>
      <w:r>
        <w:rPr>
          <w:rFonts w:hint="eastAsia" w:ascii="黑体" w:hAnsi="黑体" w:eastAsia="黑体"/>
          <w:b/>
          <w:sz w:val="44"/>
          <w:szCs w:val="44"/>
        </w:rPr>
        <w:t>兴银理财天天万利宝稳利恒盈净值型理财产品销售文件</w:t>
      </w:r>
    </w:p>
    <w:p>
      <w:pPr>
        <w:widowControl/>
        <w:jc w:val="center"/>
        <w:rPr>
          <w:b/>
          <w:szCs w:val="21"/>
        </w:rPr>
      </w:pPr>
    </w:p>
    <w:tbl>
      <w:tblPr>
        <w:tblStyle w:val="9"/>
        <w:tblW w:w="86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1"/>
        <w:gridCol w:w="5954"/>
        <w:gridCol w:w="1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1"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954"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843"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1"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954" w:type="dxa"/>
          </w:tcPr>
          <w:p>
            <w:pPr>
              <w:widowControl/>
              <w:spacing w:line="360" w:lineRule="auto"/>
              <w:rPr>
                <w:rFonts w:ascii="宋体" w:hAnsi="宋体"/>
                <w:szCs w:val="21"/>
              </w:rPr>
            </w:pPr>
            <w:r>
              <w:rPr>
                <w:rFonts w:hint="eastAsia" w:ascii="宋体" w:hAnsi="宋体"/>
                <w:kern w:val="0"/>
                <w:sz w:val="20"/>
                <w:szCs w:val="21"/>
              </w:rPr>
              <w:t>兴银理财天天万利宝稳利恒盈净值型理财产品投资协议书</w:t>
            </w:r>
            <w:r>
              <w:rPr>
                <w:rFonts w:ascii="宋体" w:hAnsi="宋体"/>
                <w:kern w:val="0"/>
                <w:sz w:val="20"/>
                <w:szCs w:val="21"/>
              </w:rPr>
              <w:t xml:space="preserve"> </w:t>
            </w:r>
          </w:p>
        </w:tc>
        <w:tc>
          <w:tcPr>
            <w:tcW w:w="1843" w:type="dxa"/>
          </w:tcPr>
          <w:p>
            <w:pPr>
              <w:widowControl/>
              <w:spacing w:line="360" w:lineRule="auto"/>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1"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954" w:type="dxa"/>
          </w:tcPr>
          <w:p>
            <w:pPr>
              <w:widowControl/>
              <w:spacing w:line="360" w:lineRule="auto"/>
              <w:rPr>
                <w:rFonts w:ascii="宋体" w:hAnsi="宋体"/>
                <w:szCs w:val="21"/>
              </w:rPr>
            </w:pPr>
            <w:r>
              <w:rPr>
                <w:rFonts w:hint="eastAsia" w:ascii="宋体" w:hAnsi="宋体"/>
                <w:kern w:val="0"/>
                <w:sz w:val="20"/>
                <w:szCs w:val="21"/>
              </w:rPr>
              <w:t>兴银理财天天万利宝稳利恒盈净值型理财产品说明书</w:t>
            </w:r>
          </w:p>
        </w:tc>
        <w:tc>
          <w:tcPr>
            <w:tcW w:w="1843" w:type="dxa"/>
          </w:tcPr>
          <w:p>
            <w:pPr>
              <w:pStyle w:val="13"/>
              <w:widowControl/>
              <w:spacing w:line="360" w:lineRule="auto"/>
              <w:ind w:firstLine="0" w:firstLineChars="0"/>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1" w:type="dxa"/>
          </w:tcPr>
          <w:p>
            <w:pPr>
              <w:pStyle w:val="13"/>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954"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兴银理财天天万利宝稳利恒盈净值型理财产品（代理）销售协议书</w:t>
            </w:r>
          </w:p>
        </w:tc>
        <w:tc>
          <w:tcPr>
            <w:tcW w:w="1843" w:type="dxa"/>
          </w:tcPr>
          <w:p>
            <w:pPr>
              <w:pStyle w:val="13"/>
              <w:widowControl/>
              <w:spacing w:line="360" w:lineRule="auto"/>
              <w:ind w:firstLine="0" w:firstLineChars="0"/>
              <w:rPr>
                <w:rFonts w:ascii="宋体" w:hAnsi="宋体"/>
                <w:kern w:val="0"/>
                <w:sz w:val="20"/>
                <w:szCs w:val="21"/>
              </w:rPr>
            </w:pPr>
            <w:r>
              <w:rPr>
                <w:rFonts w:hint="eastAsia" w:ascii="宋体" w:hAnsi="宋体"/>
                <w:kern w:val="0"/>
                <w:sz w:val="20"/>
                <w:szCs w:val="21"/>
              </w:rPr>
              <w:t>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51"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954" w:type="dxa"/>
          </w:tcPr>
          <w:p>
            <w:pPr>
              <w:widowControl/>
              <w:spacing w:line="360" w:lineRule="auto"/>
              <w:rPr>
                <w:rFonts w:ascii="宋体" w:hAnsi="宋体"/>
                <w:szCs w:val="21"/>
              </w:rPr>
            </w:pPr>
            <w:r>
              <w:rPr>
                <w:rFonts w:hint="eastAsia" w:ascii="宋体" w:hAnsi="宋体"/>
                <w:kern w:val="0"/>
                <w:sz w:val="20"/>
                <w:szCs w:val="21"/>
              </w:rPr>
              <w:t>兴银理财天天万利宝稳利恒盈净值型理财产品风险揭示书</w:t>
            </w:r>
          </w:p>
        </w:tc>
        <w:tc>
          <w:tcPr>
            <w:tcW w:w="1843" w:type="dxa"/>
          </w:tcPr>
          <w:p>
            <w:pPr>
              <w:widowControl/>
              <w:spacing w:line="360" w:lineRule="auto"/>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851"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954"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兴银理财天天万利宝稳利恒盈净值型理财产品投资者权益须知</w:t>
            </w:r>
          </w:p>
        </w:tc>
        <w:tc>
          <w:tcPr>
            <w:tcW w:w="1843" w:type="dxa"/>
          </w:tcPr>
          <w:p>
            <w:pPr>
              <w:widowControl/>
              <w:spacing w:line="360" w:lineRule="auto"/>
              <w:rPr>
                <w:rFonts w:ascii="宋体" w:hAnsi="宋体"/>
                <w:kern w:val="0"/>
                <w:szCs w:val="21"/>
              </w:rPr>
            </w:pPr>
            <w:r>
              <w:rPr>
                <w:rFonts w:hint="eastAsia" w:ascii="宋体" w:hAnsi="宋体"/>
                <w:kern w:val="0"/>
                <w:sz w:val="20"/>
                <w:szCs w:val="21"/>
              </w:rPr>
              <w:t>投资者权益须知</w:t>
            </w:r>
          </w:p>
        </w:tc>
      </w:tr>
    </w:tbl>
    <w:p>
      <w:pPr>
        <w:pStyle w:val="13"/>
        <w:widowControl/>
        <w:spacing w:line="360" w:lineRule="auto"/>
        <w:ind w:left="198" w:firstLine="0" w:firstLineChars="0"/>
        <w:rPr>
          <w:b/>
          <w:szCs w:val="21"/>
        </w:rPr>
      </w:pPr>
    </w:p>
    <w:p>
      <w:pPr>
        <w:widowControl/>
        <w:spacing w:line="280" w:lineRule="atLeast"/>
        <w:jc w:val="left"/>
        <w:rPr>
          <w:rFonts w:ascii="黑体" w:hAnsi="黑体" w:eastAsia="黑体"/>
          <w:b/>
          <w:szCs w:val="21"/>
        </w:rPr>
      </w:pPr>
      <w:r>
        <w:rPr>
          <w:rFonts w:hint="eastAsia" w:ascii="黑体" w:hAnsi="黑体" w:eastAsia="黑体"/>
          <w:b/>
          <w:szCs w:val="21"/>
        </w:rPr>
        <w:t>郑重提示：</w:t>
      </w:r>
    </w:p>
    <w:p>
      <w:pPr>
        <w:pStyle w:val="13"/>
        <w:widowControl/>
        <w:snapToGrid w:val="0"/>
        <w:spacing w:line="280" w:lineRule="atLeast"/>
        <w:rPr>
          <w:rFonts w:ascii="黑体" w:hAnsi="黑体" w:eastAsia="黑体"/>
          <w:kern w:val="0"/>
          <w:szCs w:val="21"/>
        </w:rPr>
      </w:pPr>
      <w:r>
        <w:rPr>
          <w:rFonts w:hint="eastAsia" w:ascii="黑体" w:hAnsi="黑体" w:eastAsia="黑体"/>
          <w:kern w:val="0"/>
          <w:szCs w:val="21"/>
        </w:rPr>
        <w:t>1、销售文件的组成和编制的提示</w:t>
      </w:r>
    </w:p>
    <w:p>
      <w:pPr>
        <w:pStyle w:val="13"/>
        <w:widowControl/>
        <w:snapToGrid w:val="0"/>
        <w:spacing w:line="280" w:lineRule="atLeast"/>
        <w:rPr>
          <w:rFonts w:ascii="黑体" w:hAnsi="黑体" w:eastAsia="黑体"/>
          <w:kern w:val="0"/>
          <w:szCs w:val="21"/>
        </w:rPr>
      </w:pPr>
      <w:r>
        <w:rPr>
          <w:rFonts w:hint="eastAsia" w:ascii="黑体" w:hAnsi="黑体" w:eastAsia="黑体"/>
          <w:kern w:val="0"/>
          <w:szCs w:val="21"/>
        </w:rPr>
        <w:t>《投资协议书》、《产品说明书》、《销售协议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3"/>
        <w:widowControl/>
        <w:snapToGrid w:val="0"/>
        <w:spacing w:line="280" w:lineRule="atLeast"/>
        <w:rPr>
          <w:rFonts w:ascii="黑体" w:hAnsi="黑体" w:eastAsia="黑体"/>
          <w:kern w:val="0"/>
          <w:szCs w:val="21"/>
        </w:rPr>
      </w:pPr>
      <w:r>
        <w:rPr>
          <w:rFonts w:hint="eastAsia" w:ascii="黑体" w:hAnsi="黑体" w:eastAsia="黑体"/>
          <w:kern w:val="0"/>
          <w:szCs w:val="21"/>
        </w:rPr>
        <w:t>根据《理财公司理财产品销售管理暂行办法》（2</w:t>
      </w:r>
      <w:r>
        <w:rPr>
          <w:rFonts w:ascii="黑体" w:hAnsi="黑体" w:eastAsia="黑体"/>
          <w:kern w:val="0"/>
          <w:szCs w:val="21"/>
        </w:rPr>
        <w:t>021年银保监会令</w:t>
      </w:r>
      <w:r>
        <w:rPr>
          <w:rFonts w:hint="eastAsia" w:ascii="黑体" w:hAnsi="黑体" w:eastAsia="黑体"/>
          <w:kern w:val="0"/>
          <w:szCs w:val="21"/>
        </w:rPr>
        <w:t xml:space="preserve"> </w:t>
      </w:r>
      <w:r>
        <w:rPr>
          <w:rFonts w:ascii="黑体" w:hAnsi="黑体" w:eastAsia="黑体"/>
          <w:kern w:val="0"/>
          <w:szCs w:val="21"/>
        </w:rPr>
        <w:t>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3"/>
        <w:widowControl/>
        <w:snapToGrid w:val="0"/>
        <w:spacing w:line="280" w:lineRule="atLeast"/>
        <w:rPr>
          <w:rFonts w:ascii="黑体" w:hAnsi="黑体" w:eastAsia="黑体"/>
          <w:kern w:val="0"/>
          <w:szCs w:val="21"/>
        </w:rPr>
      </w:pPr>
      <w:r>
        <w:rPr>
          <w:rFonts w:hint="eastAsia" w:ascii="黑体" w:hAnsi="黑体" w:eastAsia="黑体"/>
          <w:kern w:val="0"/>
          <w:szCs w:val="21"/>
        </w:rPr>
        <w:t>2、投资者适当性的提示</w:t>
      </w:r>
    </w:p>
    <w:p>
      <w:pPr>
        <w:pStyle w:val="13"/>
        <w:widowControl/>
        <w:snapToGrid w:val="0"/>
        <w:spacing w:line="280" w:lineRule="atLeast"/>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13"/>
        <w:widowControl/>
        <w:snapToGrid w:val="0"/>
        <w:spacing w:line="280" w:lineRule="atLeast"/>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jc w:val="left"/>
        <w:rPr>
          <w:rFonts w:ascii="宋体" w:hAnsi="宋体"/>
          <w:b/>
          <w:sz w:val="28"/>
          <w:szCs w:val="28"/>
        </w:r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”标识，其中“黑体字”条款以及“★”标识标识强调，“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rPr>
          <w:rFonts w:ascii="宋体" w:hAnsi="宋体"/>
          <w:b/>
          <w:sz w:val="28"/>
          <w:szCs w:val="28"/>
        </w:rPr>
        <w:br w:type="page"/>
      </w:r>
    </w:p>
    <w:p>
      <w:pPr>
        <w:tabs>
          <w:tab w:val="left" w:pos="6660"/>
        </w:tabs>
        <w:spacing w:line="360" w:lineRule="auto"/>
        <w:jc w:val="center"/>
        <w:rPr>
          <w:bCs/>
          <w:sz w:val="44"/>
        </w:rPr>
      </w:pPr>
    </w:p>
    <w:p>
      <w:pPr>
        <w:widowControl/>
        <w:jc w:val="center"/>
        <w:rPr>
          <w:rStyle w:val="11"/>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jc w:val="center"/>
        <w:rPr>
          <w:b/>
          <w:sz w:val="52"/>
        </w:rPr>
      </w:pPr>
    </w:p>
    <w:p>
      <w:pPr>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jc w:val="center"/>
        <w:rPr>
          <w:b/>
          <w:sz w:val="52"/>
        </w:rPr>
      </w:pPr>
    </w:p>
    <w:p>
      <w:pPr>
        <w:adjustRightInd w:val="0"/>
        <w:spacing w:line="276" w:lineRule="auto"/>
        <w:jc w:val="center"/>
        <w:rPr>
          <w:rStyle w:val="11"/>
          <w:rFonts w:ascii="黑体" w:hAnsi="黑体" w:eastAsia="黑体" w:cs="宋体"/>
          <w:sz w:val="44"/>
          <w:szCs w:val="44"/>
        </w:rPr>
      </w:pPr>
      <w:r>
        <w:rPr>
          <w:rStyle w:val="11"/>
          <w:rFonts w:hint="eastAsia" w:ascii="黑体" w:hAnsi="黑体" w:eastAsia="黑体" w:cs="宋体"/>
          <w:sz w:val="44"/>
          <w:szCs w:val="44"/>
        </w:rPr>
        <w:t>兴银理财天天万利宝稳利恒盈净值型理财产品投资协议书</w:t>
      </w:r>
    </w:p>
    <w:p>
      <w:pPr>
        <w:jc w:val="center"/>
        <w:rPr>
          <w:b/>
          <w:sz w:val="32"/>
          <w:szCs w:val="32"/>
        </w:rPr>
      </w:pPr>
    </w:p>
    <w:p>
      <w:pPr>
        <w:tabs>
          <w:tab w:val="left" w:pos="8070"/>
          <w:tab w:val="right" w:pos="8306"/>
        </w:tabs>
        <w:autoSpaceDE w:val="0"/>
        <w:autoSpaceDN w:val="0"/>
        <w:adjustRightInd w:val="0"/>
        <w:snapToGrid w:val="0"/>
        <w:spacing w:before="156" w:beforeLines="50" w:line="320" w:lineRule="exact"/>
        <w:jc w:val="center"/>
        <w:rPr>
          <w:rFonts w:ascii="黑体" w:hAnsi="黑体" w:eastAsia="黑体"/>
          <w:b/>
          <w:szCs w:val="21"/>
          <w:u w:val="single"/>
        </w:rPr>
      </w:pPr>
      <w:r>
        <w:rPr>
          <w:rFonts w:hint="eastAsia" w:ascii="黑体" w:hAnsi="黑体" w:eastAsia="黑体"/>
          <w:b/>
          <w:szCs w:val="21"/>
        </w:rPr>
        <w:t xml:space="preserve">协议编号：【 </w:t>
      </w:r>
      <w:r>
        <w:rPr>
          <w:rFonts w:ascii="黑体" w:hAnsi="黑体" w:eastAsia="黑体"/>
          <w:b/>
          <w:szCs w:val="21"/>
        </w:rPr>
        <w:t xml:space="preserve">                </w:t>
      </w:r>
      <w:r>
        <w:rPr>
          <w:rFonts w:hint="eastAsia" w:ascii="黑体" w:hAnsi="黑体" w:eastAsia="黑体"/>
          <w:b/>
          <w:szCs w:val="21"/>
        </w:rPr>
        <w:t>】</w:t>
      </w:r>
    </w:p>
    <w:p>
      <w:pPr>
        <w:jc w:val="center"/>
        <w:rPr>
          <w:b/>
          <w:sz w:val="52"/>
        </w:rPr>
      </w:pPr>
    </w:p>
    <w:p>
      <w:pPr>
        <w:jc w:val="center"/>
        <w:rPr>
          <w:b/>
          <w:sz w:val="52"/>
        </w:rPr>
      </w:pPr>
    </w:p>
    <w:p>
      <w:pPr>
        <w:jc w:val="center"/>
        <w:rPr>
          <w:b/>
          <w:sz w:val="52"/>
        </w:rPr>
      </w:pPr>
    </w:p>
    <w:p>
      <w:pPr>
        <w:jc w:val="center"/>
        <w:rPr>
          <w:b/>
          <w:sz w:val="52"/>
        </w:rPr>
      </w:pPr>
    </w:p>
    <w:p>
      <w:pPr>
        <w:adjustRightInd w:val="0"/>
        <w:spacing w:line="276" w:lineRule="auto"/>
        <w:jc w:val="center"/>
        <w:rPr>
          <w:rStyle w:val="11"/>
          <w:rFonts w:ascii="宋体" w:hAnsi="宋体"/>
          <w:sz w:val="32"/>
          <w:szCs w:val="32"/>
        </w:rPr>
      </w:pPr>
      <w:bookmarkStart w:id="0" w:name="_Toc123112263"/>
      <w:bookmarkStart w:id="1" w:name="_Toc139991726"/>
      <w:bookmarkStart w:id="2" w:name="_Toc123701383"/>
      <w:bookmarkStart w:id="3" w:name="_Toc139992301"/>
      <w:bookmarkStart w:id="4" w:name="_Toc123112224"/>
      <w:r>
        <w:rPr>
          <w:rStyle w:val="11"/>
          <w:rFonts w:hint="eastAsia" w:ascii="宋体" w:hAnsi="宋体"/>
          <w:sz w:val="32"/>
          <w:szCs w:val="32"/>
        </w:rPr>
        <w:t>理财产品管理人：</w:t>
      </w:r>
      <w:bookmarkEnd w:id="0"/>
      <w:bookmarkEnd w:id="1"/>
      <w:bookmarkEnd w:id="2"/>
      <w:bookmarkEnd w:id="3"/>
      <w:bookmarkEnd w:id="4"/>
      <w:r>
        <w:rPr>
          <w:rStyle w:val="11"/>
          <w:rFonts w:hint="eastAsia" w:ascii="宋体" w:hAnsi="宋体"/>
          <w:sz w:val="32"/>
          <w:szCs w:val="32"/>
        </w:rPr>
        <w:t>兴银理财有限责任公司</w:t>
      </w:r>
    </w:p>
    <w:p>
      <w:pPr>
        <w:adjustRightInd w:val="0"/>
        <w:spacing w:line="276" w:lineRule="auto"/>
        <w:jc w:val="center"/>
        <w:rPr>
          <w:rStyle w:val="11"/>
          <w:rFonts w:ascii="黑体" w:hAnsi="黑体" w:eastAsia="黑体" w:cs="宋体"/>
          <w:sz w:val="28"/>
          <w:szCs w:val="28"/>
        </w:rPr>
      </w:pPr>
      <w:bookmarkStart w:id="5" w:name="_Toc139991727"/>
      <w:bookmarkStart w:id="6" w:name="_Toc123112264"/>
      <w:bookmarkStart w:id="7" w:name="_Toc123112225"/>
      <w:bookmarkStart w:id="8" w:name="_Toc139992302"/>
      <w:bookmarkStart w:id="9" w:name="_Toc123701384"/>
    </w:p>
    <w:bookmarkEnd w:id="5"/>
    <w:bookmarkEnd w:id="6"/>
    <w:bookmarkEnd w:id="7"/>
    <w:bookmarkEnd w:id="8"/>
    <w:bookmarkEnd w:id="9"/>
    <w:p>
      <w:pPr>
        <w:adjustRightInd w:val="0"/>
        <w:spacing w:line="276" w:lineRule="auto"/>
        <w:jc w:val="center"/>
        <w:rPr>
          <w:rStyle w:val="11"/>
          <w:rFonts w:ascii="黑体" w:hAnsi="黑体" w:eastAsia="黑体" w:cs="宋体"/>
          <w:sz w:val="28"/>
          <w:szCs w:val="28"/>
        </w:rPr>
      </w:pPr>
    </w:p>
    <w:p>
      <w:pPr>
        <w:adjustRightInd w:val="0"/>
        <w:spacing w:line="276" w:lineRule="auto"/>
        <w:jc w:val="center"/>
        <w:rPr>
          <w:rStyle w:val="11"/>
          <w:rFonts w:ascii="宋体" w:hAnsi="宋体"/>
          <w:sz w:val="32"/>
          <w:szCs w:val="32"/>
        </w:rPr>
      </w:pPr>
      <w:r>
        <w:rPr>
          <w:rStyle w:val="11"/>
          <w:rFonts w:hint="eastAsia" w:ascii="宋体" w:hAnsi="宋体"/>
          <w:sz w:val="32"/>
          <w:szCs w:val="32"/>
        </w:rPr>
        <w:t>日期</w:t>
      </w:r>
      <w:r>
        <w:rPr>
          <w:rStyle w:val="11"/>
          <w:rFonts w:ascii="宋体" w:hAnsi="宋体"/>
          <w:sz w:val="32"/>
          <w:szCs w:val="32"/>
        </w:rPr>
        <w:t>：</w:t>
      </w:r>
      <w:r>
        <w:rPr>
          <w:rStyle w:val="11"/>
          <w:rFonts w:hint="eastAsia" w:ascii="宋体" w:hAnsi="宋体"/>
          <w:sz w:val="32"/>
          <w:szCs w:val="32"/>
        </w:rPr>
        <w:t>【2022】年【2】月</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bCs/>
          <w:sz w:val="32"/>
        </w:rPr>
        <w:br w:type="page"/>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873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923"/>
        <w:gridCol w:w="708"/>
        <w:gridCol w:w="982"/>
        <w:gridCol w:w="1854"/>
        <w:gridCol w:w="1417"/>
        <w:gridCol w:w="2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cantSplit/>
          <w:trHeight w:val="449" w:hRule="exact"/>
          <w:jc w:val="center"/>
        </w:trPr>
        <w:tc>
          <w:tcPr>
            <w:tcW w:w="8732"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8732"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6119"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shd w:val="solid" w:color="FFFFFF" w:fill="FFFFFF"/>
            <w:vAlign w:val="center"/>
          </w:tcPr>
          <w:p>
            <w:pPr>
              <w:spacing w:line="320" w:lineRule="exact"/>
              <w:jc w:val="left"/>
              <w:rPr>
                <w:rFonts w:ascii="宋体" w:hAnsi="宋体"/>
                <w:b/>
                <w:bCs/>
                <w:sz w:val="18"/>
                <w:szCs w:val="18"/>
              </w:rPr>
            </w:pPr>
          </w:p>
        </w:tc>
        <w:tc>
          <w:tcPr>
            <w:tcW w:w="98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20" w:lineRule="exact"/>
              <w:jc w:val="left"/>
              <w:rPr>
                <w:rFonts w:ascii="宋体" w:hAnsi="宋体"/>
                <w:b/>
                <w:bCs/>
                <w:sz w:val="18"/>
                <w:szCs w:val="18"/>
              </w:rPr>
            </w:pPr>
          </w:p>
        </w:tc>
        <w:tc>
          <w:tcPr>
            <w:tcW w:w="1417"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848"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shd w:val="solid" w:color="FFFFFF" w:fill="FFFFFF"/>
            <w:vAlign w:val="center"/>
          </w:tcPr>
          <w:p>
            <w:pPr>
              <w:spacing w:line="320" w:lineRule="exact"/>
              <w:jc w:val="left"/>
              <w:rPr>
                <w:rFonts w:ascii="宋体" w:hAnsi="宋体"/>
                <w:b/>
                <w:bCs/>
                <w:sz w:val="18"/>
                <w:szCs w:val="18"/>
              </w:rPr>
            </w:pPr>
          </w:p>
        </w:tc>
        <w:tc>
          <w:tcPr>
            <w:tcW w:w="98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20" w:lineRule="exact"/>
              <w:jc w:val="left"/>
              <w:rPr>
                <w:rFonts w:ascii="宋体" w:hAnsi="宋体"/>
                <w:b/>
                <w:bCs/>
                <w:sz w:val="18"/>
                <w:szCs w:val="18"/>
              </w:rPr>
            </w:pPr>
          </w:p>
        </w:tc>
        <w:tc>
          <w:tcPr>
            <w:tcW w:w="1417"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848"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shd w:val="solid" w:color="FFFFFF" w:fill="FFFFFF"/>
            <w:vAlign w:val="center"/>
          </w:tcPr>
          <w:p>
            <w:pPr>
              <w:spacing w:line="320" w:lineRule="exact"/>
              <w:jc w:val="left"/>
              <w:rPr>
                <w:rFonts w:ascii="宋体" w:hAnsi="宋体"/>
                <w:b/>
                <w:bCs/>
                <w:sz w:val="18"/>
                <w:szCs w:val="18"/>
              </w:rPr>
            </w:pPr>
          </w:p>
        </w:tc>
        <w:tc>
          <w:tcPr>
            <w:tcW w:w="982"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119"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shd w:val="solid" w:color="FFFFFF" w:fill="FFFFFF"/>
            <w:vAlign w:val="center"/>
          </w:tcPr>
          <w:p>
            <w:pPr>
              <w:spacing w:line="320" w:lineRule="exact"/>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119"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11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84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611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84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611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923"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611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8732"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923"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6119"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923"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6119" w:type="dxa"/>
            <w:gridSpan w:val="3"/>
            <w:tcBorders>
              <w:bottom w:val="single" w:color="auto" w:sz="12" w:space="0"/>
            </w:tcBorders>
            <w:shd w:val="solid" w:color="FFFFFF" w:fill="FFFFFF"/>
            <w:vAlign w:val="center"/>
          </w:tcPr>
          <w:p>
            <w:pPr>
              <w:pStyle w:val="14"/>
              <w:jc w:val="both"/>
            </w:pPr>
            <w:r>
              <w:rPr>
                <w:rFonts w:hint="eastAsia" w:asciiTheme="majorEastAsia" w:hAnsiTheme="majorEastAsia" w:eastAsiaTheme="majorEastAsia"/>
                <w:bCs/>
                <w:sz w:val="18"/>
                <w:szCs w:val="18"/>
              </w:rPr>
              <w:t>本公司系根据中国银保监会批准设立的由</w:t>
            </w:r>
            <w:bookmarkStart w:id="226" w:name="_GoBack"/>
            <w:bookmarkEnd w:id="226"/>
            <w:r>
              <w:rPr>
                <w:rFonts w:hint="eastAsia" w:asciiTheme="majorEastAsia" w:hAnsiTheme="majorEastAsia" w:eastAsiaTheme="majorEastAsia"/>
                <w:bCs/>
                <w:sz w:val="18"/>
                <w:szCs w:val="18"/>
              </w:rPr>
              <w:t>兴业银行股份有限公司全资控股的银行理财子公司。公司名称：中文为“兴银理财有限责任公司”；英文：“</w:t>
            </w:r>
            <w:r>
              <w:rPr>
                <w:rFonts w:asciiTheme="majorEastAsia" w:hAnsiTheme="majorEastAsia" w:eastAsiaTheme="majorEastAsia"/>
                <w:bCs/>
                <w:sz w:val="18"/>
                <w:szCs w:val="18"/>
              </w:rPr>
              <w:t>CIB Wealth Management Co.,Ltd. ”</w:t>
            </w:r>
            <w:r>
              <w:rPr>
                <w:rFonts w:hint="eastAsia" w:asciiTheme="majorEastAsia" w:hAnsiTheme="majorEastAsia" w:eastAsiaTheme="majorEastAsia"/>
                <w:bCs/>
                <w:sz w:val="18"/>
                <w:szCs w:val="18"/>
              </w:rPr>
              <w:t>。公司成立于</w:t>
            </w:r>
            <w:r>
              <w:rPr>
                <w:rFonts w:asciiTheme="majorEastAsia" w:hAnsiTheme="majorEastAsia" w:eastAsiaTheme="majorEastAsia"/>
                <w:bCs/>
                <w:sz w:val="18"/>
                <w:szCs w:val="18"/>
              </w:rPr>
              <w:t>2019年12月，公司注册资本为50亿元人民币，全部由兴业银行股份有限公司以货币资金认购并一次性足额缴纳。公司注册地为福建省福州市。公司主要</w:t>
            </w:r>
            <w:r>
              <w:rPr>
                <w:rFonts w:hint="eastAsia" w:asciiTheme="majorEastAsia" w:hAnsiTheme="majorEastAsia" w:eastAsiaTheme="major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8732"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923"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119" w:type="dxa"/>
            <w:gridSpan w:val="3"/>
            <w:shd w:val="solid" w:color="FFFFFF" w:fill="FFFFFF"/>
          </w:tcPr>
          <w:p>
            <w:pPr>
              <w:autoSpaceDE w:val="0"/>
              <w:autoSpaceDN w:val="0"/>
              <w:adjustRightInd w:val="0"/>
              <w:jc w:val="left"/>
              <w:rPr>
                <w:rFonts w:ascii="宋体" w:hAnsi="宋体"/>
                <w:bCs/>
                <w:sz w:val="18"/>
                <w:szCs w:val="18"/>
              </w:rPr>
            </w:pPr>
            <w:r>
              <w:rPr>
                <w:rFonts w:hint="eastAsia" w:ascii="宋体" w:hAnsi="宋体"/>
                <w:bCs/>
                <w:sz w:val="18"/>
                <w:szCs w:val="18"/>
              </w:rPr>
              <w:t>兴银理财天天万利宝稳利恒盈</w:t>
            </w:r>
            <w:r>
              <w:rPr>
                <w:rFonts w:ascii="宋体" w:hAnsi="宋体"/>
                <w:bCs/>
                <w:sz w:val="18"/>
                <w:szCs w:val="18"/>
              </w:rPr>
              <w:t>7</w:t>
            </w:r>
            <w:r>
              <w:rPr>
                <w:rFonts w:hint="eastAsia" w:ascii="宋体" w:hAnsi="宋体"/>
                <w:bCs/>
                <w:sz w:val="18"/>
                <w:szCs w:val="18"/>
              </w:rPr>
              <w:t>号封闭式净值型理财产品第</w:t>
            </w:r>
            <w:r>
              <w:rPr>
                <w:rFonts w:ascii="宋体" w:hAnsi="宋体"/>
                <w:bCs/>
                <w:sz w:val="18"/>
                <w:szCs w:val="18"/>
              </w:rPr>
              <w:t>16</w:t>
            </w:r>
            <w:r>
              <w:rPr>
                <w:rFonts w:hint="eastAsia" w:ascii="宋体" w:hAnsi="宋体"/>
                <w:bCs/>
                <w:sz w:val="18"/>
                <w:szCs w:val="18"/>
              </w:rPr>
              <w:t>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1690" w:type="dxa"/>
            <w:gridSpan w:val="2"/>
            <w:shd w:val="solid" w:color="FFFFFF" w:fill="FFFFFF"/>
            <w:vAlign w:val="center"/>
          </w:tcPr>
          <w:p>
            <w:pPr>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119" w:type="dxa"/>
            <w:gridSpan w:val="3"/>
            <w:shd w:val="solid" w:color="FFFFFF" w:fill="FFFFFF"/>
          </w:tcPr>
          <w:p>
            <w:pPr>
              <w:widowControl/>
              <w:jc w:val="left"/>
              <w:rPr>
                <w:rFonts w:ascii="宋体" w:hAnsi="宋体"/>
                <w:bCs/>
                <w:sz w:val="18"/>
                <w:szCs w:val="18"/>
              </w:rPr>
            </w:pPr>
            <w:r>
              <w:rPr>
                <w:rFonts w:hint="eastAsia" w:ascii="宋体" w:hAnsi="宋体"/>
                <w:bCs/>
                <w:sz w:val="18"/>
                <w:szCs w:val="18"/>
              </w:rPr>
              <w:t>【A】类</w:t>
            </w:r>
            <w:r>
              <w:rPr>
                <w:rFonts w:ascii="宋体" w:hAnsi="宋体"/>
                <w:bCs/>
                <w:sz w:val="18"/>
                <w:szCs w:val="18"/>
              </w:rPr>
              <w:t>份额：</w:t>
            </w:r>
            <w:r>
              <w:rPr>
                <w:rFonts w:hint="eastAsia" w:ascii="宋体" w:hAnsi="宋体"/>
                <w:bCs/>
                <w:sz w:val="18"/>
                <w:szCs w:val="18"/>
              </w:rPr>
              <w:t>【稳利恒盈7号16期 3年季分红A】</w:t>
            </w:r>
          </w:p>
          <w:p>
            <w:pPr>
              <w:widowControl/>
              <w:jc w:val="left"/>
              <w:rPr>
                <w:rFonts w:ascii="宋体" w:hAnsi="宋体"/>
                <w:bCs/>
                <w:sz w:val="18"/>
                <w:szCs w:val="18"/>
              </w:rPr>
            </w:pPr>
            <w:r>
              <w:rPr>
                <w:rFonts w:hint="eastAsia" w:ascii="宋体" w:hAnsi="宋体"/>
                <w:bCs/>
                <w:sz w:val="18"/>
                <w:szCs w:val="18"/>
              </w:rPr>
              <w:t>【</w:t>
            </w:r>
            <w:r>
              <w:rPr>
                <w:rFonts w:ascii="宋体" w:hAnsi="宋体"/>
                <w:bCs/>
                <w:sz w:val="18"/>
                <w:szCs w:val="18"/>
              </w:rPr>
              <w:t>B</w:t>
            </w:r>
            <w:r>
              <w:rPr>
                <w:rFonts w:hint="eastAsia" w:ascii="宋体" w:hAnsi="宋体"/>
                <w:bCs/>
                <w:sz w:val="18"/>
                <w:szCs w:val="18"/>
              </w:rPr>
              <w:t>】类</w:t>
            </w:r>
            <w:r>
              <w:rPr>
                <w:rFonts w:ascii="宋体" w:hAnsi="宋体"/>
                <w:bCs/>
                <w:sz w:val="18"/>
                <w:szCs w:val="18"/>
              </w:rPr>
              <w:t>份额：【</w:t>
            </w:r>
            <w:r>
              <w:rPr>
                <w:rFonts w:hint="eastAsia" w:ascii="宋体" w:hAnsi="宋体"/>
                <w:bCs/>
                <w:sz w:val="18"/>
                <w:szCs w:val="18"/>
              </w:rPr>
              <w:t>稳利恒盈7号16期 3年季分红</w:t>
            </w:r>
            <w:r>
              <w:rPr>
                <w:rFonts w:ascii="宋体" w:hAnsi="宋体"/>
                <w:bCs/>
                <w:sz w:val="18"/>
                <w:szCs w:val="18"/>
              </w:rPr>
              <w:t>B】</w:t>
            </w:r>
          </w:p>
          <w:p>
            <w:pPr>
              <w:widowControl/>
              <w:spacing w:line="276" w:lineRule="auto"/>
              <w:jc w:val="left"/>
              <w:rPr>
                <w:rFonts w:ascii="宋体" w:hAnsi="宋体"/>
                <w:bCs/>
                <w:sz w:val="18"/>
                <w:szCs w:val="18"/>
              </w:rPr>
            </w:pPr>
            <w:r>
              <w:rPr>
                <w:rFonts w:hint="eastAsia" w:ascii="宋体" w:hAnsi="宋体"/>
                <w:bCs/>
                <w:sz w:val="18"/>
                <w:szCs w:val="18"/>
              </w:rPr>
              <w:t>【C】类</w:t>
            </w:r>
            <w:r>
              <w:rPr>
                <w:rFonts w:ascii="宋体" w:hAnsi="宋体"/>
                <w:bCs/>
                <w:sz w:val="18"/>
                <w:szCs w:val="18"/>
              </w:rPr>
              <w:t>份额：【</w:t>
            </w:r>
            <w:r>
              <w:rPr>
                <w:rFonts w:hint="eastAsia" w:ascii="宋体" w:hAnsi="宋体"/>
                <w:bCs/>
                <w:sz w:val="18"/>
                <w:szCs w:val="18"/>
              </w:rPr>
              <w:t>稳利恒盈7号16期 3年季分红</w:t>
            </w:r>
            <w:r>
              <w:rPr>
                <w:rFonts w:ascii="宋体" w:hAnsi="宋体"/>
                <w:bCs/>
                <w:sz w:val="18"/>
                <w:szCs w:val="18"/>
              </w:rPr>
              <w:t>C】</w:t>
            </w:r>
          </w:p>
          <w:p>
            <w:pPr>
              <w:widowControl/>
              <w:spacing w:line="276"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D</w:t>
            </w:r>
            <w:r>
              <w:rPr>
                <w:rFonts w:hint="eastAsia" w:ascii="宋体" w:hAnsi="宋体"/>
                <w:bCs/>
                <w:sz w:val="18"/>
                <w:szCs w:val="18"/>
              </w:rPr>
              <w:t>】类</w:t>
            </w:r>
            <w:r>
              <w:rPr>
                <w:rFonts w:ascii="宋体" w:hAnsi="宋体"/>
                <w:bCs/>
                <w:sz w:val="18"/>
                <w:szCs w:val="18"/>
              </w:rPr>
              <w:t>份额：【</w:t>
            </w:r>
            <w:r>
              <w:rPr>
                <w:rFonts w:hint="eastAsia" w:ascii="宋体" w:hAnsi="宋体"/>
                <w:bCs/>
                <w:sz w:val="18"/>
                <w:szCs w:val="18"/>
              </w:rPr>
              <w:t>稳利恒盈7号16期 3年乡村振兴</w:t>
            </w:r>
            <w:r>
              <w:rPr>
                <w:rFonts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1690" w:type="dxa"/>
            <w:gridSpan w:val="2"/>
            <w:shd w:val="solid" w:color="FFFFFF" w:fill="FFFFFF"/>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119" w:type="dxa"/>
            <w:gridSpan w:val="3"/>
            <w:shd w:val="solid" w:color="FFFFFF" w:fill="FFFFFF"/>
          </w:tcPr>
          <w:p>
            <w:pPr>
              <w:spacing w:line="276" w:lineRule="auto"/>
              <w:rPr>
                <w:rFonts w:hAnsi="宋体"/>
                <w:bCs/>
                <w:sz w:val="18"/>
                <w:szCs w:val="18"/>
              </w:rPr>
            </w:pPr>
            <w:r>
              <w:rPr>
                <w:rFonts w:hint="eastAsia" w:asciiTheme="minorEastAsia" w:hAnsiTheme="minorEastAsia"/>
                <w:sz w:val="18"/>
                <w:szCs w:val="18"/>
              </w:rPr>
              <w:t>【</w:t>
            </w:r>
            <w:r>
              <w:rPr>
                <w:rFonts w:asciiTheme="minorEastAsia" w:hAnsiTheme="minorEastAsia"/>
                <w:sz w:val="18"/>
                <w:szCs w:val="18"/>
              </w:rPr>
              <w:t>Z7002021000243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119" w:type="dxa"/>
            <w:gridSpan w:val="3"/>
            <w:shd w:val="solid" w:color="FFFFFF" w:fill="FFFFFF"/>
            <w:vAlign w:val="center"/>
          </w:tcPr>
          <w:p>
            <w:pPr>
              <w:spacing w:line="276" w:lineRule="auto"/>
              <w:jc w:val="left"/>
              <w:rPr>
                <w:rFonts w:ascii="宋体" w:hAnsi="宋体"/>
                <w:bCs/>
                <w:sz w:val="18"/>
                <w:szCs w:val="18"/>
              </w:rPr>
            </w:pPr>
            <w:r>
              <w:rPr>
                <w:rFonts w:ascii="宋体" w:hAnsi="宋体"/>
                <w:bCs/>
                <w:sz w:val="18"/>
                <w:szCs w:val="18"/>
              </w:rPr>
              <w:t>【9N213160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923" w:type="dxa"/>
            <w:vMerge w:val="continue"/>
            <w:shd w:val="solid" w:color="FFFFFF" w:fill="FFFFFF"/>
            <w:vAlign w:val="center"/>
          </w:tcPr>
          <w:p>
            <w:pPr>
              <w:spacing w:line="320" w:lineRule="exact"/>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119" w:type="dxa"/>
            <w:gridSpan w:val="3"/>
            <w:shd w:val="solid" w:color="FFFFFF" w:fill="FFFFFF"/>
            <w:vAlign w:val="center"/>
          </w:tcPr>
          <w:p>
            <w:pPr>
              <w:rPr>
                <w:rFonts w:ascii="宋体" w:hAnsi="宋体"/>
                <w:bCs/>
                <w:sz w:val="18"/>
                <w:szCs w:val="18"/>
              </w:rPr>
            </w:pPr>
            <w:r>
              <w:rPr>
                <w:rFonts w:hint="eastAsia" w:ascii="宋体" w:hAnsi="宋体"/>
                <w:bCs/>
                <w:sz w:val="18"/>
                <w:szCs w:val="18"/>
              </w:rPr>
              <w:t>【A】类</w:t>
            </w:r>
            <w:r>
              <w:rPr>
                <w:rFonts w:ascii="宋体" w:hAnsi="宋体"/>
                <w:bCs/>
                <w:sz w:val="18"/>
                <w:szCs w:val="18"/>
              </w:rPr>
              <w:t>份额：【9N21316</w:t>
            </w:r>
            <w:r>
              <w:rPr>
                <w:rFonts w:hint="eastAsia" w:ascii="宋体" w:hAnsi="宋体"/>
                <w:bCs/>
                <w:sz w:val="18"/>
                <w:szCs w:val="18"/>
              </w:rPr>
              <w:t>A</w:t>
            </w:r>
            <w:r>
              <w:rPr>
                <w:rFonts w:ascii="宋体" w:hAnsi="宋体"/>
                <w:bCs/>
                <w:sz w:val="18"/>
                <w:szCs w:val="18"/>
              </w:rPr>
              <w:t>】</w:t>
            </w:r>
          </w:p>
          <w:p>
            <w:pPr>
              <w:rPr>
                <w:rFonts w:ascii="宋体" w:hAnsi="宋体"/>
                <w:bCs/>
                <w:sz w:val="18"/>
                <w:szCs w:val="18"/>
              </w:rPr>
            </w:pPr>
            <w:r>
              <w:rPr>
                <w:rFonts w:hint="eastAsia" w:ascii="宋体" w:hAnsi="宋体"/>
                <w:bCs/>
                <w:sz w:val="18"/>
                <w:szCs w:val="18"/>
              </w:rPr>
              <w:t>【</w:t>
            </w:r>
            <w:r>
              <w:rPr>
                <w:rFonts w:ascii="宋体" w:hAnsi="宋体"/>
                <w:bCs/>
                <w:sz w:val="18"/>
                <w:szCs w:val="18"/>
              </w:rPr>
              <w:t>B</w:t>
            </w:r>
            <w:r>
              <w:rPr>
                <w:rFonts w:hint="eastAsia" w:ascii="宋体" w:hAnsi="宋体"/>
                <w:bCs/>
                <w:sz w:val="18"/>
                <w:szCs w:val="18"/>
              </w:rPr>
              <w:t>】类</w:t>
            </w:r>
            <w:r>
              <w:rPr>
                <w:rFonts w:ascii="宋体" w:hAnsi="宋体"/>
                <w:bCs/>
                <w:sz w:val="18"/>
                <w:szCs w:val="18"/>
              </w:rPr>
              <w:t>份额：【9N21316</w:t>
            </w:r>
            <w:r>
              <w:rPr>
                <w:rFonts w:hint="eastAsia" w:ascii="宋体" w:hAnsi="宋体"/>
                <w:bCs/>
                <w:sz w:val="18"/>
                <w:szCs w:val="18"/>
              </w:rPr>
              <w:t>B</w:t>
            </w:r>
            <w:r>
              <w:rPr>
                <w:rFonts w:ascii="宋体" w:hAnsi="宋体"/>
                <w:bCs/>
                <w:sz w:val="18"/>
                <w:szCs w:val="18"/>
              </w:rPr>
              <w:t>】</w:t>
            </w:r>
          </w:p>
          <w:p>
            <w:pPr>
              <w:spacing w:line="276" w:lineRule="auto"/>
              <w:jc w:val="left"/>
              <w:rPr>
                <w:rFonts w:ascii="宋体" w:hAnsi="宋体"/>
                <w:bCs/>
                <w:sz w:val="18"/>
                <w:szCs w:val="18"/>
              </w:rPr>
            </w:pPr>
            <w:r>
              <w:rPr>
                <w:rFonts w:hint="eastAsia" w:ascii="宋体" w:hAnsi="宋体"/>
                <w:bCs/>
                <w:sz w:val="18"/>
                <w:szCs w:val="18"/>
              </w:rPr>
              <w:t>【C】类</w:t>
            </w:r>
            <w:r>
              <w:rPr>
                <w:rFonts w:ascii="宋体" w:hAnsi="宋体"/>
                <w:bCs/>
                <w:sz w:val="18"/>
                <w:szCs w:val="18"/>
              </w:rPr>
              <w:t>份额：【9N21316</w:t>
            </w:r>
            <w:r>
              <w:rPr>
                <w:rFonts w:hint="eastAsia" w:ascii="宋体" w:hAnsi="宋体"/>
                <w:bCs/>
                <w:sz w:val="18"/>
                <w:szCs w:val="18"/>
              </w:rPr>
              <w:t>C</w:t>
            </w:r>
            <w:r>
              <w:rPr>
                <w:rFonts w:ascii="宋体" w:hAnsi="宋体"/>
                <w:bCs/>
                <w:sz w:val="18"/>
                <w:szCs w:val="18"/>
              </w:rPr>
              <w:t>】</w:t>
            </w:r>
          </w:p>
          <w:p>
            <w:pPr>
              <w:spacing w:line="276" w:lineRule="auto"/>
              <w:jc w:val="left"/>
              <w:rPr>
                <w:rFonts w:ascii="宋体" w:hAnsi="宋体"/>
                <w:bCs/>
                <w:sz w:val="18"/>
                <w:szCs w:val="18"/>
              </w:rPr>
            </w:pPr>
            <w:r>
              <w:rPr>
                <w:rFonts w:hint="eastAsia" w:ascii="宋体" w:hAnsi="宋体"/>
                <w:bCs/>
                <w:sz w:val="18"/>
                <w:szCs w:val="18"/>
              </w:rPr>
              <w:t>【</w:t>
            </w:r>
            <w:r>
              <w:rPr>
                <w:rFonts w:ascii="宋体" w:hAnsi="宋体"/>
                <w:bCs/>
                <w:sz w:val="18"/>
                <w:szCs w:val="18"/>
              </w:rPr>
              <w:t>D</w:t>
            </w:r>
            <w:r>
              <w:rPr>
                <w:rFonts w:hint="eastAsia" w:ascii="宋体" w:hAnsi="宋体"/>
                <w:bCs/>
                <w:sz w:val="18"/>
                <w:szCs w:val="18"/>
              </w:rPr>
              <w:t>】类</w:t>
            </w:r>
            <w:r>
              <w:rPr>
                <w:rFonts w:ascii="宋体" w:hAnsi="宋体"/>
                <w:bCs/>
                <w:sz w:val="18"/>
                <w:szCs w:val="18"/>
              </w:rPr>
              <w:t>份额：【9N21316D】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8732" w:type="dxa"/>
            <w:gridSpan w:val="6"/>
            <w:shd w:val="pct10" w:color="FFFFFF" w:fill="A5A5A5" w:themeFill="background1" w:themeFillShade="A6"/>
            <w:vAlign w:val="center"/>
          </w:tcPr>
          <w:p>
            <w:pPr>
              <w:spacing w:line="320" w:lineRule="exact"/>
              <w:jc w:val="left"/>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923"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7809"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产品兑付，账号：</w:t>
            </w:r>
            <w:r>
              <w:rPr>
                <w:rFonts w:ascii="宋体" w:hAnsi="宋体"/>
                <w:u w:val="single"/>
              </w:rPr>
              <w:t xml:space="preserve">　                     </w:t>
            </w:r>
            <w:r>
              <w:rPr>
                <w:rFonts w:hint="eastAsia" w:ascii="宋体" w:hAnsi="宋体"/>
              </w:rPr>
              <w:t>。</w:t>
            </w:r>
          </w:p>
        </w:tc>
      </w:tr>
    </w:tbl>
    <w:p>
      <w:pPr>
        <w:widowControl/>
        <w:jc w:val="left"/>
        <w:rPr>
          <w:bCs/>
          <w:sz w:val="32"/>
        </w:rPr>
      </w:pPr>
      <w:bookmarkStart w:id="10" w:name="_Toc123112227"/>
      <w:bookmarkStart w:id="11" w:name="_Toc123701386"/>
      <w:bookmarkStart w:id="12" w:name="_Toc139991729"/>
      <w:bookmarkStart w:id="13" w:name="_Toc123112266"/>
    </w:p>
    <w:tbl>
      <w:tblPr>
        <w:tblStyle w:val="9"/>
        <w:tblpPr w:leftFromText="180" w:rightFromText="180" w:vertAnchor="page" w:horzAnchor="margin" w:tblpY="182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91" w:hRule="atLeast"/>
        </w:trPr>
        <w:tc>
          <w:tcPr>
            <w:tcW w:w="8296" w:type="dxa"/>
          </w:tcPr>
          <w:p>
            <w:pPr>
              <w:snapToGrid w:val="0"/>
              <w:spacing w:line="280" w:lineRule="atLeast"/>
              <w:jc w:val="center"/>
              <w:rPr>
                <w:b/>
                <w:sz w:val="30"/>
                <w:szCs w:val="30"/>
              </w:rPr>
            </w:pPr>
            <w:r>
              <w:rPr>
                <w:rFonts w:hint="eastAsia"/>
                <w:b/>
                <w:kern w:val="0"/>
                <w:sz w:val="30"/>
                <w:szCs w:val="30"/>
              </w:rPr>
              <w:t>特别风险提示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15" w:hRule="atLeast"/>
        </w:trPr>
        <w:tc>
          <w:tcPr>
            <w:tcW w:w="8296" w:type="dxa"/>
          </w:tcPr>
          <w:p>
            <w:pPr>
              <w:pStyle w:val="7"/>
              <w:snapToGrid w:val="0"/>
              <w:spacing w:before="0" w:beforeAutospacing="0" w:after="0" w:afterAutospacing="0" w:line="280" w:lineRule="atLeast"/>
              <w:jc w:val="both"/>
              <w:rPr>
                <w:rFonts w:ascii="黑体" w:hAnsi="黑体" w:eastAsia="黑体"/>
                <w:bCs/>
                <w:sz w:val="18"/>
                <w:szCs w:val="18"/>
              </w:rPr>
            </w:pPr>
            <w:r>
              <w:rPr>
                <w:rFonts w:hint="eastAsia" w:ascii="黑体" w:hAnsi="黑体" w:eastAsia="黑体"/>
                <w:bCs/>
                <w:sz w:val="18"/>
                <w:szCs w:val="18"/>
              </w:rPr>
              <w:t>★ 理财产品与存款存在明显区别，理财非存款、产品有风险、投资须谨慎。</w:t>
            </w:r>
          </w:p>
          <w:p>
            <w:pPr>
              <w:pStyle w:val="7"/>
              <w:snapToGrid w:val="0"/>
              <w:spacing w:before="0" w:beforeAutospacing="0" w:after="0" w:afterAutospacing="0" w:line="280" w:lineRule="atLeast"/>
              <w:jc w:val="both"/>
              <w:rPr>
                <w:rFonts w:ascii="黑体" w:hAnsi="黑体" w:eastAsia="黑体"/>
                <w:bCs/>
                <w:sz w:val="18"/>
                <w:szCs w:val="18"/>
              </w:rPr>
            </w:pP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报酬计提起点</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r>
              <w:rPr>
                <w:rFonts w:hint="eastAsia" w:ascii="黑体" w:hAnsi="黑体" w:eastAsia="黑体"/>
                <w:bCs/>
                <w:sz w:val="18"/>
                <w:szCs w:val="18"/>
              </w:rPr>
              <w:t>★ 《投资协议书》、《产品说明书》、《销售</w:t>
            </w:r>
            <w:r>
              <w:rPr>
                <w:rFonts w:ascii="黑体" w:hAnsi="黑体" w:eastAsia="黑体"/>
                <w:bCs/>
                <w:sz w:val="18"/>
                <w:szCs w:val="18"/>
              </w:rPr>
              <w:t>协议书</w:t>
            </w:r>
            <w:r>
              <w:rPr>
                <w:rFonts w:hint="eastAsia" w:ascii="黑体" w:hAnsi="黑体" w:eastAsia="黑体"/>
                <w:bCs/>
                <w:sz w:val="18"/>
                <w:szCs w:val="18"/>
              </w:rPr>
              <w:t>》、《风险揭示书》、《</w:t>
            </w:r>
            <w:r>
              <w:rPr>
                <w:rFonts w:ascii="黑体" w:hAnsi="黑体" w:eastAsia="黑体"/>
                <w:bCs/>
                <w:sz w:val="18"/>
                <w:szCs w:val="18"/>
              </w:rPr>
              <w:t>投资者</w:t>
            </w:r>
            <w:r>
              <w:rPr>
                <w:rFonts w:hint="eastAsia" w:ascii="黑体" w:hAnsi="黑体" w:eastAsia="黑体"/>
                <w:bCs/>
                <w:sz w:val="18"/>
                <w:szCs w:val="18"/>
              </w:rPr>
              <w:t>权益须知》等有关文件共同构成一份完整且不可分割的理财产品销售文件。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p>
          <w:p>
            <w:pPr>
              <w:pStyle w:val="7"/>
              <w:snapToGrid w:val="0"/>
              <w:spacing w:before="0" w:beforeAutospacing="0" w:after="0" w:afterAutospacing="0" w:line="280" w:lineRule="atLeast"/>
              <w:ind w:left="270" w:hanging="270" w:hangingChars="150"/>
              <w:jc w:val="both"/>
              <w:rPr>
                <w:rFonts w:ascii="黑体" w:hAnsi="黑体" w:eastAsia="黑体"/>
                <w:bCs/>
                <w:sz w:val="18"/>
                <w:szCs w:val="18"/>
              </w:rPr>
            </w:pPr>
            <w:r>
              <w:rPr>
                <w:rFonts w:hint="eastAsia" w:ascii="黑体" w:hAnsi="黑体" w:eastAsia="黑体"/>
                <w:bCs/>
                <w:sz w:val="18"/>
                <w:szCs w:val="18"/>
              </w:rPr>
              <w:t>★</w:t>
            </w:r>
            <w:r>
              <w:rPr>
                <w:rFonts w:hint="eastAsia" w:ascii="黑体" w:hAnsi="黑体" w:eastAsia="黑体"/>
                <w:bCs/>
                <w:sz w:val="18"/>
                <w:szCs w:val="18"/>
              </w:rPr>
              <w:tab/>
            </w:r>
            <w:r>
              <w:rPr>
                <w:rFonts w:hint="eastAsia" w:ascii="黑体" w:hAnsi="黑体" w:eastAsia="黑体"/>
                <w:bCs/>
                <w:sz w:val="18"/>
                <w:szCs w:val="18"/>
              </w:rPr>
              <w:t>投资者在此同意并授权，产品管理人可根据监管要求，为理财产品登记、反洗钱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等需要，向登记部门或监管机构提供投资者相关信息。</w:t>
            </w:r>
          </w:p>
          <w:p>
            <w:pPr>
              <w:spacing w:line="280" w:lineRule="atLeast"/>
              <w:rPr>
                <w:b/>
                <w:sz w:val="18"/>
                <w:szCs w:val="18"/>
              </w:rPr>
            </w:pPr>
          </w:p>
          <w:p>
            <w:pPr>
              <w:spacing w:line="280" w:lineRule="atLeast"/>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spacing w:line="280" w:lineRule="atLeast"/>
              <w:rPr>
                <w:rFonts w:ascii="黑体" w:hAnsi="黑体" w:eastAsia="黑体"/>
                <w:bCs/>
                <w:sz w:val="18"/>
                <w:szCs w:val="18"/>
              </w:rPr>
            </w:pPr>
          </w:p>
          <w:p>
            <w:pPr>
              <w:spacing w:line="280" w:lineRule="atLeast"/>
              <w:rPr>
                <w:b/>
                <w:sz w:val="18"/>
                <w:szCs w:val="18"/>
              </w:rPr>
            </w:pPr>
            <w:r>
              <w:rPr>
                <w:rFonts w:hint="eastAsia" w:ascii="黑体" w:hAnsi="黑体" w:eastAsia="黑体"/>
                <w:bCs/>
                <w:kern w:val="0"/>
                <w:sz w:val="18"/>
                <w:szCs w:val="18"/>
              </w:rPr>
              <w:t>★投资者对本《投资协议书》的内容有任何疑问，</w:t>
            </w:r>
            <w:r>
              <w:rPr>
                <w:rFonts w:hint="eastAsia" w:ascii="黑体" w:hAnsi="黑体" w:eastAsia="黑体"/>
                <w:color w:val="000000"/>
                <w:kern w:val="0"/>
                <w:sz w:val="18"/>
                <w:szCs w:val="18"/>
              </w:rPr>
              <w:t>请向产品管理人或销售机构咨询。</w:t>
            </w:r>
          </w:p>
        </w:tc>
      </w:tr>
    </w:tbl>
    <w:p>
      <w:pPr>
        <w:widowControl/>
        <w:jc w:val="left"/>
        <w:rPr>
          <w:rFonts w:ascii="宋体" w:hAnsi="宋体" w:cs="仿宋_GB2312"/>
          <w:b/>
          <w:kern w:val="0"/>
          <w:sz w:val="18"/>
          <w:szCs w:val="18"/>
        </w:rPr>
      </w:pPr>
    </w:p>
    <w:p>
      <w:pPr>
        <w:widowControl/>
        <w:jc w:val="left"/>
        <w:rPr>
          <w:rFonts w:asciiTheme="majorHAnsi" w:hAnsiTheme="majorHAnsi" w:eastAsiaTheme="majorEastAsia" w:cstheme="majorBidi"/>
          <w:color w:val="2E75B6" w:themeColor="accent1" w:themeShade="BF"/>
          <w:kern w:val="0"/>
          <w:sz w:val="32"/>
          <w:szCs w:val="32"/>
        </w:rPr>
      </w:pPr>
      <w:r>
        <w:br w:type="page"/>
      </w:r>
    </w:p>
    <w:sdt>
      <w:sdtPr>
        <w:rPr>
          <w:rFonts w:ascii="Times New Roman" w:hAnsi="Times New Roman" w:eastAsia="宋体" w:cs="Times New Roman"/>
          <w:color w:val="auto"/>
          <w:kern w:val="2"/>
          <w:sz w:val="21"/>
          <w:szCs w:val="20"/>
          <w:lang w:val="zh-CN"/>
        </w:rPr>
        <w:id w:val="1862702016"/>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5"/>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"_Toc76720585" </w:instrText>
          </w:r>
          <w:r>
            <w:fldChar w:fldCharType="separate"/>
          </w:r>
          <w:r>
            <w:rPr>
              <w:rStyle w:val="12"/>
              <w:rFonts w:hint="eastAsia"/>
            </w:rPr>
            <w:t>第一条</w:t>
          </w:r>
          <w:r>
            <w:rPr>
              <w:rStyle w:val="12"/>
            </w:rPr>
            <w:t xml:space="preserve">  </w:t>
          </w:r>
          <w:r>
            <w:rPr>
              <w:rStyle w:val="12"/>
              <w:rFonts w:hint="eastAsia"/>
            </w:rPr>
            <w:t>前言</w:t>
          </w:r>
          <w:r>
            <w:tab/>
          </w:r>
          <w:r>
            <w:fldChar w:fldCharType="begin"/>
          </w:r>
          <w:r>
            <w:instrText xml:space="preserve"> PAGEREF _Toc76720585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"_Toc76720586" </w:instrText>
          </w:r>
          <w:r>
            <w:fldChar w:fldCharType="separate"/>
          </w:r>
          <w:r>
            <w:rPr>
              <w:rStyle w:val="12"/>
              <w:rFonts w:hint="eastAsia"/>
            </w:rPr>
            <w:t>第二条</w:t>
          </w:r>
          <w:r>
            <w:rPr>
              <w:rStyle w:val="12"/>
            </w:rPr>
            <w:t xml:space="preserve">  </w:t>
          </w:r>
          <w:r>
            <w:rPr>
              <w:rStyle w:val="12"/>
              <w:rFonts w:hint="eastAsia"/>
            </w:rPr>
            <w:t>释义</w:t>
          </w:r>
          <w:r>
            <w:tab/>
          </w:r>
          <w:r>
            <w:fldChar w:fldCharType="begin"/>
          </w:r>
          <w:r>
            <w:instrText xml:space="preserve"> PAGEREF _Toc76720586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"_Toc76720587" </w:instrText>
          </w:r>
          <w:r>
            <w:fldChar w:fldCharType="separate"/>
          </w:r>
          <w:r>
            <w:rPr>
              <w:rStyle w:val="12"/>
              <w:rFonts w:hint="eastAsia"/>
            </w:rPr>
            <w:t>第三条</w:t>
          </w:r>
          <w:r>
            <w:rPr>
              <w:rStyle w:val="12"/>
            </w:rPr>
            <w:t xml:space="preserve">  </w:t>
          </w:r>
          <w:r>
            <w:rPr>
              <w:rStyle w:val="12"/>
              <w:rFonts w:hint="eastAsia"/>
            </w:rPr>
            <w:t>双方权利义务</w:t>
          </w:r>
          <w:r>
            <w:tab/>
          </w:r>
          <w:r>
            <w:fldChar w:fldCharType="begin"/>
          </w:r>
          <w:r>
            <w:instrText xml:space="preserve"> PAGEREF _Toc76720587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"_Toc76720588" </w:instrText>
          </w:r>
          <w:r>
            <w:fldChar w:fldCharType="separate"/>
          </w:r>
          <w:r>
            <w:rPr>
              <w:rStyle w:val="12"/>
              <w:rFonts w:hint="eastAsia" w:hAnsi="宋体"/>
            </w:rPr>
            <w:t>第四条</w:t>
          </w:r>
          <w:r>
            <w:rPr>
              <w:rStyle w:val="12"/>
              <w:rFonts w:hAnsi="宋体"/>
            </w:rPr>
            <w:t xml:space="preserve">  </w:t>
          </w:r>
          <w:r>
            <w:rPr>
              <w:rStyle w:val="12"/>
              <w:rFonts w:hint="eastAsia" w:hAnsi="宋体"/>
            </w:rPr>
            <w:t>理财产品基本情况</w:t>
          </w:r>
          <w:r>
            <w:tab/>
          </w:r>
          <w:r>
            <w:fldChar w:fldCharType="begin"/>
          </w:r>
          <w:r>
            <w:instrText xml:space="preserve"> PAGEREF _Toc76720588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"_Toc76720589" </w:instrText>
          </w:r>
          <w:r>
            <w:fldChar w:fldCharType="separate"/>
          </w:r>
          <w:r>
            <w:rPr>
              <w:rStyle w:val="12"/>
              <w:rFonts w:hint="eastAsia"/>
            </w:rPr>
            <w:t>第五条</w:t>
          </w:r>
          <w:r>
            <w:rPr>
              <w:rStyle w:val="12"/>
            </w:rPr>
            <w:t xml:space="preserve">  </w:t>
          </w:r>
          <w:r>
            <w:rPr>
              <w:rStyle w:val="12"/>
              <w:rFonts w:hint="eastAsia"/>
            </w:rPr>
            <w:t>理财产品的认购</w:t>
          </w:r>
          <w:r>
            <w:tab/>
          </w:r>
          <w:r>
            <w:fldChar w:fldCharType="begin"/>
          </w:r>
          <w:r>
            <w:instrText xml:space="preserve"> PAGEREF _Toc76720589 \h </w:instrText>
          </w:r>
          <w:r>
            <w:fldChar w:fldCharType="separate"/>
          </w:r>
          <w:r>
            <w:t>9</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"_Toc76720590" </w:instrText>
          </w:r>
          <w:r>
            <w:fldChar w:fldCharType="separate"/>
          </w:r>
          <w:r>
            <w:rPr>
              <w:rStyle w:val="12"/>
              <w:rFonts w:hint="eastAsia"/>
            </w:rPr>
            <w:t>第六条</w:t>
          </w:r>
          <w:r>
            <w:rPr>
              <w:rStyle w:val="12"/>
            </w:rPr>
            <w:t xml:space="preserve">  </w:t>
          </w:r>
          <w:r>
            <w:rPr>
              <w:rStyle w:val="12"/>
              <w:rFonts w:hint="eastAsia"/>
            </w:rPr>
            <w:t>理财产品的投资</w:t>
          </w:r>
          <w:r>
            <w:tab/>
          </w:r>
          <w:r>
            <w:fldChar w:fldCharType="begin"/>
          </w:r>
          <w:r>
            <w:instrText xml:space="preserve"> PAGEREF _Toc76720590 \h </w:instrText>
          </w:r>
          <w:r>
            <w:fldChar w:fldCharType="separate"/>
          </w:r>
          <w:r>
            <w:t>11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"_Toc76720591" </w:instrText>
          </w:r>
          <w:r>
            <w:fldChar w:fldCharType="separate"/>
          </w:r>
          <w:r>
            <w:rPr>
              <w:rStyle w:val="12"/>
              <w:rFonts w:hint="eastAsia"/>
            </w:rPr>
            <w:t>第七条</w:t>
          </w:r>
          <w:r>
            <w:rPr>
              <w:rStyle w:val="12"/>
            </w:rPr>
            <w:t xml:space="preserve">  </w:t>
          </w:r>
          <w:r>
            <w:rPr>
              <w:rStyle w:val="12"/>
              <w:rFonts w:hint="eastAsia"/>
            </w:rPr>
            <w:t>理财产品的资产</w:t>
          </w:r>
          <w:r>
            <w:tab/>
          </w:r>
          <w:r>
            <w:fldChar w:fldCharType="begin"/>
          </w:r>
          <w:r>
            <w:instrText xml:space="preserve"> PAGEREF _Toc76720591 \h </w:instrText>
          </w:r>
          <w:r>
            <w:fldChar w:fldCharType="separate"/>
          </w:r>
          <w:r>
            <w:t>13</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"_Toc76720592" </w:instrText>
          </w:r>
          <w:r>
            <w:fldChar w:fldCharType="separate"/>
          </w:r>
          <w:r>
            <w:rPr>
              <w:rStyle w:val="12"/>
              <w:rFonts w:hint="eastAsia"/>
            </w:rPr>
            <w:t>第八条</w:t>
          </w:r>
          <w:r>
            <w:rPr>
              <w:rStyle w:val="12"/>
            </w:rPr>
            <w:t xml:space="preserve">  </w:t>
          </w:r>
          <w:r>
            <w:rPr>
              <w:rStyle w:val="12"/>
              <w:rFonts w:hint="eastAsia"/>
            </w:rPr>
            <w:t>理财产品项下资产的估值</w:t>
          </w:r>
          <w:r>
            <w:tab/>
          </w:r>
          <w:r>
            <w:fldChar w:fldCharType="begin"/>
          </w:r>
          <w:r>
            <w:instrText xml:space="preserve"> PAGEREF _Toc76720592 \h </w:instrText>
          </w:r>
          <w:r>
            <w:fldChar w:fldCharType="separate"/>
          </w:r>
          <w:r>
            <w:t>14</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"_Toc76720593" </w:instrText>
          </w:r>
          <w:r>
            <w:fldChar w:fldCharType="separate"/>
          </w:r>
          <w:r>
            <w:rPr>
              <w:rStyle w:val="12"/>
              <w:rFonts w:hint="eastAsia"/>
            </w:rPr>
            <w:t>第九条</w:t>
          </w:r>
          <w:r>
            <w:rPr>
              <w:rStyle w:val="12"/>
            </w:rPr>
            <w:t xml:space="preserve">  </w:t>
          </w:r>
          <w:r>
            <w:rPr>
              <w:rStyle w:val="12"/>
              <w:rFonts w:hint="eastAsia"/>
            </w:rPr>
            <w:t>理财产品的利益分配</w:t>
          </w:r>
          <w:r>
            <w:tab/>
          </w:r>
          <w:r>
            <w:fldChar w:fldCharType="begin"/>
          </w:r>
          <w:r>
            <w:instrText xml:space="preserve"> PAGEREF _Toc76720593 \h </w:instrText>
          </w:r>
          <w:r>
            <w:fldChar w:fldCharType="separate"/>
          </w:r>
          <w:r>
            <w:t>16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"_Toc76720594" </w:instrText>
          </w:r>
          <w:r>
            <w:fldChar w:fldCharType="separate"/>
          </w:r>
          <w:r>
            <w:rPr>
              <w:rStyle w:val="12"/>
              <w:rFonts w:hint="eastAsia"/>
            </w:rPr>
            <w:t>第十条</w:t>
          </w:r>
          <w:r>
            <w:rPr>
              <w:rStyle w:val="12"/>
            </w:rPr>
            <w:t xml:space="preserve">  </w:t>
          </w:r>
          <w:r>
            <w:rPr>
              <w:rStyle w:val="12"/>
              <w:rFonts w:hint="eastAsia"/>
            </w:rPr>
            <w:t>理财产品的费用与税收</w:t>
          </w:r>
          <w:r>
            <w:tab/>
          </w:r>
          <w:r>
            <w:fldChar w:fldCharType="begin"/>
          </w:r>
          <w:r>
            <w:instrText xml:space="preserve"> PAGEREF _Toc76720594 \h </w:instrText>
          </w:r>
          <w:r>
            <w:fldChar w:fldCharType="separate"/>
          </w:r>
          <w:r>
            <w:t>17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"_Toc76720595" </w:instrText>
          </w:r>
          <w:r>
            <w:fldChar w:fldCharType="separate"/>
          </w:r>
          <w:r>
            <w:rPr>
              <w:rStyle w:val="12"/>
              <w:rFonts w:hint="eastAsia"/>
            </w:rPr>
            <w:t>第十一条</w:t>
          </w:r>
          <w:r>
            <w:rPr>
              <w:rStyle w:val="12"/>
            </w:rPr>
            <w:t xml:space="preserve">  </w:t>
          </w:r>
          <w:r>
            <w:rPr>
              <w:rStyle w:val="12"/>
              <w:rFonts w:hint="eastAsia"/>
            </w:rPr>
            <w:t>理财产品的终止与清算</w:t>
          </w:r>
          <w:r>
            <w:tab/>
          </w:r>
          <w:r>
            <w:fldChar w:fldCharType="begin"/>
          </w:r>
          <w:r>
            <w:instrText xml:space="preserve"> PAGEREF _Toc76720595 \h </w:instrText>
          </w:r>
          <w:r>
            <w:fldChar w:fldCharType="separate"/>
          </w:r>
          <w:r>
            <w:t>19</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"_Toc76720596" </w:instrText>
          </w:r>
          <w:r>
            <w:fldChar w:fldCharType="separate"/>
          </w:r>
          <w:r>
            <w:rPr>
              <w:rStyle w:val="12"/>
              <w:rFonts w:hint="eastAsia"/>
            </w:rPr>
            <w:t>第十二条</w:t>
          </w:r>
          <w:r>
            <w:rPr>
              <w:rStyle w:val="12"/>
            </w:rPr>
            <w:t xml:space="preserve">  </w:t>
          </w:r>
          <w:r>
            <w:rPr>
              <w:rStyle w:val="12"/>
              <w:rFonts w:hint="eastAsia"/>
            </w:rPr>
            <w:t>理财产品的信息披露</w:t>
          </w:r>
          <w:r>
            <w:tab/>
          </w:r>
          <w:r>
            <w:fldChar w:fldCharType="begin"/>
          </w:r>
          <w:r>
            <w:instrText xml:space="preserve"> PAGEREF _Toc76720596 \h </w:instrText>
          </w:r>
          <w:r>
            <w:fldChar w:fldCharType="separate"/>
          </w:r>
          <w:r>
            <w:t>21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"_Toc76720597" </w:instrText>
          </w:r>
          <w:r>
            <w:fldChar w:fldCharType="separate"/>
          </w:r>
          <w:r>
            <w:rPr>
              <w:rStyle w:val="12"/>
              <w:rFonts w:hint="eastAsia"/>
            </w:rPr>
            <w:t>第十三条</w:t>
          </w:r>
          <w:r>
            <w:rPr>
              <w:rStyle w:val="12"/>
            </w:rPr>
            <w:t xml:space="preserve">  </w:t>
          </w:r>
          <w:r>
            <w:rPr>
              <w:rStyle w:val="12"/>
              <w:rFonts w:hint="eastAsia"/>
            </w:rPr>
            <w:t>理财产品的风险揭示</w:t>
          </w:r>
          <w:r>
            <w:tab/>
          </w:r>
          <w:r>
            <w:fldChar w:fldCharType="begin"/>
          </w:r>
          <w:r>
            <w:instrText xml:space="preserve"> PAGEREF _Toc76720597 \h </w:instrText>
          </w:r>
          <w:r>
            <w:fldChar w:fldCharType="separate"/>
          </w:r>
          <w:r>
            <w:t>23</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"_Toc76720598" </w:instrText>
          </w:r>
          <w:r>
            <w:fldChar w:fldCharType="separate"/>
          </w:r>
          <w:r>
            <w:rPr>
              <w:rStyle w:val="12"/>
              <w:rFonts w:hint="eastAsia"/>
            </w:rPr>
            <w:t>第十四条</w:t>
          </w:r>
          <w:r>
            <w:rPr>
              <w:rStyle w:val="12"/>
            </w:rPr>
            <w:t xml:space="preserve">  </w:t>
          </w:r>
          <w:r>
            <w:rPr>
              <w:rStyle w:val="12"/>
              <w:rFonts w:hint="eastAsia"/>
            </w:rPr>
            <w:t>不可抗力</w:t>
          </w:r>
          <w:r>
            <w:tab/>
          </w:r>
          <w:r>
            <w:fldChar w:fldCharType="begin"/>
          </w:r>
          <w:r>
            <w:instrText xml:space="preserve"> PAGEREF _Toc76720598 \h </w:instrText>
          </w:r>
          <w:r>
            <w:fldChar w:fldCharType="separate"/>
          </w:r>
          <w:r>
            <w:t>26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"_Toc76720599" </w:instrText>
          </w:r>
          <w:r>
            <w:fldChar w:fldCharType="separate"/>
          </w:r>
          <w:r>
            <w:rPr>
              <w:rStyle w:val="12"/>
              <w:rFonts w:hint="eastAsia"/>
            </w:rPr>
            <w:t>第十五条</w:t>
          </w:r>
          <w:r>
            <w:rPr>
              <w:rStyle w:val="12"/>
            </w:rPr>
            <w:t xml:space="preserve">  </w:t>
          </w:r>
          <w:r>
            <w:rPr>
              <w:rStyle w:val="12"/>
              <w:rFonts w:hint="eastAsia"/>
            </w:rPr>
            <w:t>违约责任</w:t>
          </w:r>
          <w:r>
            <w:tab/>
          </w:r>
          <w:r>
            <w:fldChar w:fldCharType="begin"/>
          </w:r>
          <w:r>
            <w:instrText xml:space="preserve"> PAGEREF _Toc76720599 \h </w:instrText>
          </w:r>
          <w:r>
            <w:fldChar w:fldCharType="separate"/>
          </w:r>
          <w:r>
            <w:t>27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"_Toc76720600" </w:instrText>
          </w:r>
          <w:r>
            <w:fldChar w:fldCharType="separate"/>
          </w:r>
          <w:r>
            <w:rPr>
              <w:rStyle w:val="12"/>
              <w:rFonts w:hint="eastAsia"/>
            </w:rPr>
            <w:t>第十六条</w:t>
          </w:r>
          <w:r>
            <w:rPr>
              <w:rStyle w:val="12"/>
            </w:rPr>
            <w:t xml:space="preserve">  </w:t>
          </w:r>
          <w:r>
            <w:rPr>
              <w:rStyle w:val="12"/>
              <w:rFonts w:hint="eastAsia"/>
            </w:rPr>
            <w:t>法律适用和争议解决</w:t>
          </w:r>
          <w:r>
            <w:tab/>
          </w:r>
          <w:r>
            <w:fldChar w:fldCharType="begin"/>
          </w:r>
          <w:r>
            <w:instrText xml:space="preserve"> PAGEREF _Toc76720600 \h </w:instrText>
          </w:r>
          <w:r>
            <w:fldChar w:fldCharType="separate"/>
          </w:r>
          <w:r>
            <w:t>28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"_Toc76720601" </w:instrText>
          </w:r>
          <w:r>
            <w:fldChar w:fldCharType="separate"/>
          </w:r>
          <w:r>
            <w:rPr>
              <w:rStyle w:val="12"/>
              <w:rFonts w:hint="eastAsia"/>
            </w:rPr>
            <w:t>第十七条</w:t>
          </w:r>
          <w:r>
            <w:rPr>
              <w:rStyle w:val="12"/>
            </w:rPr>
            <w:t xml:space="preserve">  </w:t>
          </w:r>
          <w:r>
            <w:rPr>
              <w:rStyle w:val="12"/>
              <w:rFonts w:hint="eastAsia"/>
            </w:rPr>
            <w:t>协议的签署和效力</w:t>
          </w:r>
          <w:r>
            <w:tab/>
          </w:r>
          <w:r>
            <w:fldChar w:fldCharType="begin"/>
          </w:r>
          <w:r>
            <w:instrText xml:space="preserve"> PAGEREF _Toc76720601 \h </w:instrText>
          </w:r>
          <w:r>
            <w:fldChar w:fldCharType="separate"/>
          </w:r>
          <w:r>
            <w:t>29</w:t>
          </w:r>
          <w:r>
            <w:fldChar w:fldCharType="end"/>
          </w:r>
          <w:r>
            <w:fldChar w:fldCharType="end"/>
          </w:r>
        </w:p>
        <w:p>
          <w:pPr>
            <w:widowControl/>
            <w:jc w:val="left"/>
            <w:rPr>
              <w:rFonts w:ascii="宋体" w:hAnsi="宋体" w:cs="仿宋_GB2312"/>
              <w:b/>
              <w:kern w:val="0"/>
              <w:sz w:val="18"/>
              <w:szCs w:val="18"/>
            </w:rPr>
          </w:pPr>
          <w:r>
            <w:rPr>
              <w:b/>
              <w:bCs/>
              <w:lang w:val="zh-CN"/>
            </w:rPr>
            <w:fldChar w:fldCharType="end"/>
          </w:r>
        </w:p>
      </w:sdtContent>
    </w:sdt>
    <w:p>
      <w:pPr>
        <w:widowControl/>
        <w:jc w:val="left"/>
        <w:rPr>
          <w:rFonts w:ascii="宋体" w:hAnsi="宋体" w:cs="仿宋_GB2312"/>
          <w:b/>
          <w:kern w:val="0"/>
          <w:sz w:val="18"/>
          <w:szCs w:val="18"/>
        </w:rPr>
      </w:pPr>
    </w:p>
    <w:p>
      <w:pPr>
        <w:widowControl/>
        <w:jc w:val="left"/>
        <w:rPr>
          <w:rFonts w:ascii="宋体" w:hAnsi="宋体" w:cs="仿宋_GB2312"/>
          <w:b/>
          <w:kern w:val="0"/>
          <w:sz w:val="18"/>
          <w:szCs w:val="18"/>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6897"/>
      <w:bookmarkStart w:id="15" w:name="_Toc4966"/>
      <w:bookmarkStart w:id="16" w:name="_Toc32639"/>
      <w:bookmarkStart w:id="17" w:name="_Toc6306"/>
      <w:bookmarkStart w:id="18" w:name="_Toc123112229"/>
      <w:bookmarkStart w:id="19" w:name="_Toc30935"/>
      <w:bookmarkStart w:id="20" w:name="_Toc123112268"/>
      <w:bookmarkStart w:id="21" w:name="_Toc29629"/>
      <w:bookmarkStart w:id="22" w:name="_Toc15517"/>
      <w:bookmarkStart w:id="23" w:name="_Toc23386"/>
      <w:bookmarkStart w:id="24" w:name="_Toc8727"/>
      <w:bookmarkStart w:id="25" w:name="_Toc141703880"/>
      <w:bookmarkStart w:id="26" w:name="_Toc4867"/>
      <w:bookmarkStart w:id="27" w:name="_Toc123701389"/>
      <w:bookmarkStart w:id="28" w:name="_Toc139991730"/>
      <w:bookmarkStart w:id="29" w:name="_Toc76720585"/>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13020"/>
      <w:bookmarkStart w:id="34" w:name="_Toc2465"/>
      <w:bookmarkStart w:id="35" w:name="_Toc819"/>
      <w:bookmarkStart w:id="36" w:name="_Toc19592"/>
      <w:bookmarkStart w:id="37" w:name="_Toc258829399"/>
      <w:bookmarkStart w:id="38" w:name="_Toc3224"/>
      <w:bookmarkStart w:id="39" w:name="_Toc15067"/>
      <w:bookmarkStart w:id="40" w:name="_Toc21301"/>
      <w:bookmarkStart w:id="41" w:name="_Toc22864"/>
      <w:bookmarkStart w:id="42" w:name="_Toc6617"/>
      <w:r>
        <w:rPr>
          <w:rFonts w:hint="eastAsia" w:ascii="Times New Roman"/>
          <w:color w:val="auto"/>
          <w:sz w:val="30"/>
        </w:rPr>
        <w:t>前言</w:t>
      </w:r>
      <w:bookmarkEnd w:id="29"/>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（一）订立本投资协议的目的、依据和原则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、订立本投资协议的目的是保护投资人合法权益，明确投资协议当事人的权利义务，规范理财产品运作。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号）、《商业银行理财业务监督管理办法》（2018年银保监会令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（2018年银保监会令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第7号）、《理财公司理财产品销售管理暂行办法》（2021年银保监会令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是规定投资协议当事人之间权利义务关系的基本法律文件，其他与理财产品相关的涉及投资协议当事人之间权利义务关系的任何文件或表述，如与投资协议有冲突，均以投资协议为准。投资协议当事人按照法律法规、监管规定及其他有关规定以及投资协议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的当事人包括产品管理人、产品托管人和产品份额持有人。理财产品投资人自依本投资协议取得理财产品份额，即成为理财产品份额持有人和本投资协议的当事人，其持有理财产品份额的行为本身即表明其对投资协议的承认和接受。</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 xml:space="preserve"> </w:t>
      </w:r>
    </w:p>
    <w:p>
      <w:pPr>
        <w:widowControl/>
        <w:ind w:firstLine="480"/>
        <w:jc w:val="left"/>
      </w:pPr>
      <w:r>
        <w:rPr>
          <w:rFonts w:asciiTheme="majorEastAsia" w:hAnsiTheme="majorEastAsia" w:eastAsiaTheme="majorEastAsia"/>
          <w:bCs/>
          <w:sz w:val="18"/>
          <w:szCs w:val="18"/>
        </w:rPr>
        <w:br w:type="page"/>
      </w:r>
    </w:p>
    <w:p>
      <w:pPr>
        <w:pStyle w:val="2"/>
        <w:spacing w:before="0" w:after="0"/>
        <w:jc w:val="center"/>
        <w:rPr>
          <w:rFonts w:ascii="Times New Roman"/>
          <w:color w:val="auto"/>
          <w:sz w:val="30"/>
        </w:rPr>
      </w:pPr>
      <w:bookmarkStart w:id="44" w:name="_Toc75770031"/>
      <w:bookmarkStart w:id="45" w:name="_Toc76720586"/>
      <w:r>
        <w:rPr>
          <w:rFonts w:ascii="Times New Roman"/>
          <w:color w:val="auto"/>
          <w:sz w:val="30"/>
        </w:rPr>
        <w:t>第二</w:t>
      </w:r>
      <w:r>
        <w:rPr>
          <w:rFonts w:hint="eastAsia" w:ascii="Times New Roman"/>
          <w:color w:val="auto"/>
          <w:sz w:val="30"/>
        </w:rPr>
        <w:t xml:space="preserve">条 </w:t>
      </w:r>
      <w:r>
        <w:rPr>
          <w:rFonts w:ascii="Times New Roman"/>
          <w:color w:val="auto"/>
          <w:sz w:val="30"/>
        </w:rPr>
        <w:t xml:space="preserve"> 释义</w:t>
      </w:r>
      <w:bookmarkEnd w:id="30"/>
      <w:bookmarkEnd w:id="44"/>
      <w:bookmarkEnd w:id="45"/>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销售机构的具体名单见《产品说明书》以及产品管理人届时发布的相关公告。</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：指产品管理人向投资者提供的，用于描述产品特征，约定权利义务的文件。具体指《兴银理财【天天万利宝稳利恒盈】净值型理财产品销售文件》，包括《投资协议书》、《产品说明书》、《销售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《投资协议书》：指管理人统一编制的《兴银理财【天天万利宝稳利恒盈】净值型理财产品投资协议书》，以及对该文件的有效修改或补充。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）《产品说明书》：指管理人统一编制的《兴银理财【天天万利宝稳利恒盈】净值型理财产品说明书》，以及对该文件的有效修改或补充。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（4）《销售协议书》：指管理人统一编制的《兴银理财【天天万利宝稳利恒盈】净值型理财产品（代理）销售协议书》或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的《兴银理财【天天万利宝稳利恒盈】净值型理财产品（代理）销售协议书》，以及对该文件的有效修改或补充。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）《风险揭示书》：指管理人统一编制的《兴银理财【天天万利宝稳利恒盈】净值型理财产品风险揭示书》或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的《兴银理财【天天万利宝稳利恒盈】净值型理财产品风险揭示书》，以及对该文件的有效修改或补充。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）《投资者权益须知》：指管理人统一编制的《兴银理财【天天万利宝稳利恒盈】净值型理财产品投资者权益须知》或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《兴银理财【天天万利宝稳利恒盈】净值型理财产品投资者权益须知》，以及对该文件的有效修改或补充。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：指产品管理人赋予产品的唯一性编码。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指本款理财产品可能存在不同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，管理人在理财产品销售管理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为区分不同产品份额类别，</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产品代码项下设置的</w:t>
      </w:r>
      <w:r>
        <w:rPr>
          <w:rFonts w:hint="eastAsia" w:asciiTheme="majorEastAsia" w:hAnsiTheme="majorEastAsia" w:eastAsiaTheme="majorEastAsia"/>
          <w:bCs/>
          <w:color w:val="auto"/>
          <w:sz w:val="18"/>
          <w:szCs w:val="18"/>
        </w:rPr>
        <w:t>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理财产品份额净值包括当前理财产品份额净值和累计理财产品份额净值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指产品目前的净值</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）★业绩报酬计提起点：指管理人收取超额业绩报酬的参照，不代表理财产品未来表现，不等于理财产品实际收益，不作为产品收益的业绩保证，投资须谨慎。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r>
        <w:rPr>
          <w:rFonts w:hint="eastAsia" w:ascii="黑体" w:hAnsi="黑体" w:eastAsia="黑体"/>
          <w:bCs/>
          <w:color w:val="auto"/>
          <w:sz w:val="18"/>
          <w:szCs w:val="18"/>
        </w:rPr>
        <w:t>在理财产品对外投资资产正常回收的情况下，该等财产性利益包括理财产品本金及理财产品收益。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理财产品本金/理财本金：指就每一投资者而言，指投资者为认购</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申购理财产品份额而向理财产品管理人交付的货币资金，即投资者的初始投资本金。就每一理财产品份额而言，在本理财产品成立时每一理财产品份额的初始投资本金为</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w:t>
      </w:r>
      <w:r>
        <w:rPr>
          <w:rFonts w:hint="eastAsia" w:ascii="黑体" w:hAnsi="黑体" w:eastAsia="黑体"/>
          <w:bCs/>
          <w:color w:val="auto"/>
          <w:sz w:val="18"/>
          <w:szCs w:val="18"/>
        </w:rPr>
        <w:t>为避免疑义，理财产品本金的称谓仅为方便计算理财产品利益而创设的，并非对投资者理财产品本金不受损失的承诺。</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理财产品收益/理财收益：指投资者投资理财产品获得的投资收益，该收益为其获得分配的全部理财产品利益中扣除理财产品本金的部分。</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17）期间分配：指在理财产品终止日（不含当日）前的理财产品利益分配。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）收益分配基准日：指本产品管理人以该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理财收益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）兑付日：指</w:t>
      </w:r>
      <w:r>
        <w:rPr>
          <w:rFonts w:hAnsi="宋体"/>
          <w:bCs/>
          <w:color w:val="auto"/>
          <w:sz w:val="18"/>
          <w:szCs w:val="18"/>
        </w:rPr>
        <w:t>投资者</w:t>
      </w:r>
      <w:r>
        <w:rPr>
          <w:rFonts w:hint="eastAsia" w:hAnsi="宋体"/>
          <w:bCs/>
          <w:color w:val="auto"/>
          <w:sz w:val="18"/>
          <w:szCs w:val="18"/>
        </w:rPr>
        <w:t>理财资金到达</w:t>
      </w:r>
      <w:r>
        <w:rPr>
          <w:rFonts w:hAnsi="宋体"/>
          <w:bCs/>
          <w:color w:val="auto"/>
          <w:sz w:val="18"/>
          <w:szCs w:val="18"/>
        </w:rPr>
        <w:t>投资者</w:t>
      </w:r>
      <w:r>
        <w:rPr>
          <w:rFonts w:hint="eastAsia" w:hAnsi="宋体"/>
          <w:bCs/>
          <w:color w:val="auto"/>
          <w:sz w:val="18"/>
          <w:szCs w:val="18"/>
        </w:rPr>
        <w:t>账户的日期。</w:t>
      </w:r>
    </w:p>
    <w:p>
      <w:pPr>
        <w:pStyle w:val="1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1）清算期：指自本理财产品终止日至投资者理财本金及收益到账日之间的期间。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pPr>
      <w:r>
        <w:br w:type="page"/>
      </w:r>
    </w:p>
    <w:p>
      <w:pPr>
        <w:pStyle w:val="2"/>
        <w:spacing w:before="0" w:after="0"/>
        <w:jc w:val="center"/>
        <w:rPr>
          <w:rFonts w:ascii="Times New Roman"/>
          <w:color w:val="auto"/>
          <w:sz w:val="30"/>
        </w:rPr>
      </w:pPr>
      <w:bookmarkStart w:id="46" w:name="_Toc76720587"/>
      <w:bookmarkStart w:id="47" w:name="_Toc75770032"/>
      <w:bookmarkStart w:id="48" w:name="_Toc74065739"/>
      <w:r>
        <w:rPr>
          <w:rFonts w:ascii="Times New Roman"/>
          <w:color w:val="auto"/>
          <w:sz w:val="30"/>
        </w:rPr>
        <w:t>第</w:t>
      </w:r>
      <w:r>
        <w:rPr>
          <w:rFonts w:hint="eastAsia" w:ascii="Times New Roman"/>
          <w:color w:val="auto"/>
          <w:sz w:val="30"/>
        </w:rPr>
        <w:t xml:space="preserve">三条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6"/>
      <w:bookmarkEnd w:id="47"/>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自有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w:t>
      </w:r>
      <w:r>
        <w:rPr>
          <w:rFonts w:ascii="黑体" w:hAnsi="黑体" w:eastAsia="黑体"/>
          <w:sz w:val="18"/>
          <w:szCs w:val="18"/>
        </w:rPr>
        <w:t xml:space="preserve">, </w:t>
      </w:r>
      <w:r>
        <w:rPr>
          <w:rFonts w:hint="eastAsia" w:ascii="黑体" w:hAnsi="黑体" w:eastAsia="黑体"/>
          <w:sz w:val="18"/>
          <w:szCs w:val="18"/>
        </w:rPr>
        <w:t>由此导致的后果应由投资者自行承担</w:t>
      </w:r>
      <w:r>
        <w:rPr>
          <w:rFonts w:ascii="黑体" w:hAnsi="黑体" w:eastAsia="黑体"/>
          <w:sz w:val="18"/>
          <w:szCs w:val="18"/>
        </w:rPr>
        <w:t xml:space="preserve">, </w:t>
      </w:r>
      <w:r>
        <w:rPr>
          <w:rFonts w:hint="eastAsia" w:ascii="黑体" w:hAnsi="黑体" w:eastAsia="黑体"/>
          <w:sz w:val="18"/>
          <w:szCs w:val="18"/>
        </w:rPr>
        <w:t>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投资者应按产品管理人要求开立理财产品指定账户（以下简称“指定账户”），用于本产品的理财资金划转及理财产品分配及兑付，</w:t>
      </w:r>
      <w:r>
        <w:rPr>
          <w:rFonts w:hint="eastAsia" w:ascii="黑体" w:hAnsi="黑体" w:eastAsia="黑体"/>
          <w:sz w:val="18"/>
          <w:szCs w:val="18"/>
        </w:rPr>
        <w:t>投资者承诺持有本产品期间指定账户不做销户。</w:t>
      </w:r>
    </w:p>
    <w:p>
      <w:pPr>
        <w:spacing w:line="360" w:lineRule="auto"/>
        <w:ind w:firstLine="360" w:firstLineChars="200"/>
        <w:rPr>
          <w:rFonts w:ascii="黑体" w:hAnsi="黑体" w:eastAsia="黑体" w:cs="仿宋_GB2312"/>
          <w:bCs/>
          <w:kern w:val="0"/>
          <w:sz w:val="18"/>
          <w:szCs w:val="18"/>
        </w:rPr>
      </w:pPr>
      <w:r>
        <w:rPr>
          <w:rFonts w:ascii="宋体" w:hAnsi="宋体"/>
          <w:sz w:val="18"/>
          <w:szCs w:val="18"/>
        </w:rPr>
        <w:t>9.</w:t>
      </w:r>
      <w:r>
        <w:rPr>
          <w:rFonts w:hint="eastAsia" w:ascii="黑体" w:hAnsi="黑体" w:eastAsia="黑体"/>
          <w:sz w:val="18"/>
          <w:szCs w:val="18"/>
        </w:rPr>
        <w:t>★</w:t>
      </w:r>
      <w:r>
        <w:rPr>
          <w:rFonts w:hint="eastAsia" w:ascii="宋体" w:hAnsi="宋体"/>
          <w:sz w:val="18"/>
          <w:szCs w:val="18"/>
        </w:rPr>
        <w:t>投资者在购买本产品时，</w:t>
      </w:r>
      <w:r>
        <w:rPr>
          <w:rFonts w:hint="eastAsia" w:ascii="黑体" w:hAnsi="黑体" w:eastAsia="黑体"/>
          <w:sz w:val="18"/>
          <w:szCs w:val="18"/>
        </w:rPr>
        <w:t>应同时在约定的时间结点前向指定账户存入足额理财资金，并同意授权产品管理人或销售机构于相应的资金归集日将投资者指定账户内相应的理财资金划转至产品管理人理财账户。</w:t>
      </w:r>
      <w:r>
        <w:rPr>
          <w:rFonts w:hint="eastAsia" w:ascii="黑体" w:hAnsi="黑体" w:eastAsia="黑体" w:cs="仿宋_GB2312"/>
          <w:bCs/>
          <w:kern w:val="0"/>
          <w:sz w:val="18"/>
          <w:szCs w:val="18"/>
        </w:rPr>
        <w:t>对此产品管理人无需另行征得投资者同意或给予通知，无需在划款时以电话等方式与投资者进行最后确认。对于风险较高或投资者单笔购买金额较大的理财产品，同样适用上述划款操作规则。</w:t>
      </w:r>
      <w:r>
        <w:rPr>
          <w:rFonts w:hint="eastAsia" w:ascii="黑体" w:hAnsi="黑体" w:eastAsia="黑体"/>
          <w:sz w:val="18"/>
          <w:szCs w:val="18"/>
        </w:rPr>
        <w:t>由于投资者未存入理财资金或理财资金不足或未在约定的时间前购买本产品而导致交易失败的，产品管理人不承担相应责任</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sz w:val="18"/>
          <w:szCs w:val="18"/>
        </w:rPr>
      </w:pPr>
      <w:r>
        <w:rPr>
          <w:rFonts w:hint="eastAsia" w:ascii="宋体" w:hAnsi="宋体"/>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5.产品管理人将严格履行投资者信息保密义务。除法律法规及监管规范另有规定或者投资者同意披露外，产品管理人不得向任何组织、个人提供或泄漏与投资者有关的资料和信息。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产品管理人作为理财产品管理人</w:t>
      </w:r>
      <w:r>
        <w:rPr>
          <w:rFonts w:ascii="宋体" w:hAnsi="宋体"/>
          <w:sz w:val="18"/>
          <w:szCs w:val="18"/>
        </w:rPr>
        <w:t xml:space="preserve">, </w:t>
      </w:r>
      <w:r>
        <w:rPr>
          <w:rFonts w:hint="eastAsia" w:ascii="宋体" w:hAnsi="宋体"/>
          <w:sz w:val="18"/>
          <w:szCs w:val="18"/>
        </w:rPr>
        <w:t>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11.其他在本产品所对应理财产品销售文件中约定的产品管理人的权利与义务。</w:t>
      </w:r>
    </w:p>
    <w:p>
      <w:pPr>
        <w:widowControl/>
        <w:spacing w:line="360" w:lineRule="auto"/>
        <w:jc w:val="left"/>
        <w:rPr>
          <w:b/>
          <w:kern w:val="0"/>
          <w:sz w:val="30"/>
        </w:rPr>
      </w:pPr>
      <w:r>
        <w:rPr>
          <w:sz w:val="30"/>
        </w:rPr>
        <w:br w:type="page"/>
      </w:r>
    </w:p>
    <w:p>
      <w:pPr>
        <w:pStyle w:val="2"/>
        <w:spacing w:before="0" w:after="0"/>
        <w:jc w:val="center"/>
        <w:rPr>
          <w:rFonts w:hAnsi="宋体"/>
          <w:sz w:val="28"/>
          <w:szCs w:val="28"/>
        </w:rPr>
      </w:pPr>
      <w:bookmarkStart w:id="49" w:name="_Toc75770033"/>
      <w:bookmarkStart w:id="50" w:name="_Toc76720588"/>
      <w:r>
        <w:rPr>
          <w:rFonts w:hint="eastAsia" w:hAnsi="宋体"/>
          <w:sz w:val="28"/>
          <w:szCs w:val="28"/>
        </w:rPr>
        <w:t>第四条  理财产品基本情况</w:t>
      </w:r>
      <w:bookmarkEnd w:id="31"/>
      <w:bookmarkEnd w:id="32"/>
      <w:bookmarkEnd w:id="33"/>
      <w:bookmarkEnd w:id="34"/>
      <w:bookmarkEnd w:id="35"/>
      <w:bookmarkEnd w:id="36"/>
      <w:bookmarkEnd w:id="37"/>
      <w:bookmarkEnd w:id="38"/>
      <w:bookmarkEnd w:id="39"/>
      <w:bookmarkEnd w:id="40"/>
      <w:bookmarkEnd w:id="41"/>
      <w:bookmarkEnd w:id="42"/>
      <w:bookmarkEnd w:id="48"/>
      <w:bookmarkEnd w:id="49"/>
      <w:bookmarkEnd w:id="50"/>
      <w:r>
        <w:rPr>
          <w:rFonts w:hint="eastAsia" w:hAnsi="宋体"/>
          <w:sz w:val="28"/>
          <w:szCs w:val="28"/>
        </w:rPr>
        <w:t xml:space="preserve"> </w:t>
      </w:r>
    </w:p>
    <w:p>
      <w:pPr>
        <w:pStyle w:val="14"/>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color w:val="auto"/>
          <w:sz w:val="18"/>
          <w:szCs w:val="18"/>
        </w:rPr>
        <w:t>详见《产品说明书》。</w:t>
      </w:r>
    </w:p>
    <w:p>
      <w:pPr>
        <w:pStyle w:val="14"/>
        <w:spacing w:line="360" w:lineRule="auto"/>
        <w:ind w:firstLine="360" w:firstLineChars="200"/>
        <w:rPr>
          <w:rFonts w:asciiTheme="minorEastAsia" w:hAnsiTheme="minorEastAsia" w:eastAsiaTheme="minorEastAsia"/>
          <w:color w:val="auto"/>
          <w:sz w:val="18"/>
          <w:szCs w:val="18"/>
        </w:rPr>
      </w:pPr>
      <w:bookmarkStart w:id="51" w:name="_Toc6683"/>
      <w:bookmarkStart w:id="52" w:name="_Toc545"/>
      <w:bookmarkStart w:id="53" w:name="_Toc18631"/>
      <w:bookmarkStart w:id="54" w:name="_Toc22708"/>
      <w:bookmarkStart w:id="55" w:name="_Toc20318"/>
      <w:bookmarkStart w:id="56" w:name="_Toc733"/>
      <w:bookmarkStart w:id="57" w:name="_Toc6149"/>
      <w:bookmarkStart w:id="58" w:name="_Toc24571"/>
      <w:bookmarkStart w:id="59" w:name="_Toc20627"/>
      <w:bookmarkStart w:id="60" w:name="_Toc13288"/>
      <w:bookmarkStart w:id="61" w:name="_Toc74065740"/>
      <w:bookmarkStart w:id="62" w:name="_Toc258829400"/>
      <w:bookmarkStart w:id="63" w:name="_Toc233456272"/>
    </w:p>
    <w:p>
      <w:pPr>
        <w:widowControl/>
        <w:spacing w:line="360" w:lineRule="auto"/>
        <w:jc w:val="left"/>
        <w:rPr>
          <w:rFonts w:asciiTheme="minorEastAsia" w:hAnsiTheme="minorEastAsia" w:eastAsiaTheme="minorEastAsia"/>
          <w:kern w:val="0"/>
          <w:sz w:val="18"/>
          <w:szCs w:val="18"/>
        </w:rPr>
      </w:pPr>
      <w:r>
        <w:rPr>
          <w:rFonts w:asciiTheme="minorEastAsia" w:hAnsiTheme="minorEastAsia" w:eastAsiaTheme="minorEastAsia"/>
          <w:sz w:val="18"/>
          <w:szCs w:val="18"/>
        </w:rPr>
        <w:br w:type="page"/>
      </w:r>
    </w:p>
    <w:p>
      <w:pPr>
        <w:pStyle w:val="2"/>
        <w:spacing w:before="0" w:after="0"/>
        <w:jc w:val="center"/>
        <w:rPr>
          <w:rFonts w:ascii="Times New Roman"/>
          <w:color w:val="auto"/>
          <w:sz w:val="30"/>
        </w:rPr>
      </w:pPr>
      <w:bookmarkStart w:id="64" w:name="_Toc75770034"/>
      <w:bookmarkStart w:id="65" w:name="_Toc76720589"/>
      <w:r>
        <w:rPr>
          <w:rFonts w:ascii="Times New Roman"/>
          <w:color w:val="auto"/>
          <w:sz w:val="30"/>
        </w:rPr>
        <w:t>第</w:t>
      </w:r>
      <w:r>
        <w:rPr>
          <w:rFonts w:hint="eastAsia" w:ascii="Times New Roman"/>
          <w:color w:val="auto"/>
          <w:sz w:val="30"/>
        </w:rPr>
        <w:t>五条</w:t>
      </w:r>
      <w:r>
        <w:rPr>
          <w:rFonts w:ascii="Times New Roman"/>
          <w:color w:val="auto"/>
          <w:sz w:val="30"/>
        </w:rPr>
        <w:t xml:space="preserve">  </w:t>
      </w:r>
      <w:bookmarkEnd w:id="51"/>
      <w:bookmarkEnd w:id="52"/>
      <w:bookmarkEnd w:id="53"/>
      <w:bookmarkEnd w:id="54"/>
      <w:bookmarkEnd w:id="55"/>
      <w:bookmarkEnd w:id="56"/>
      <w:bookmarkEnd w:id="57"/>
      <w:bookmarkEnd w:id="58"/>
      <w:bookmarkEnd w:id="59"/>
      <w:bookmarkEnd w:id="60"/>
      <w:bookmarkStart w:id="66" w:name="_Toc79392573"/>
      <w:r>
        <w:rPr>
          <w:rFonts w:hint="eastAsia" w:ascii="Times New Roman"/>
          <w:color w:val="auto"/>
          <w:sz w:val="30"/>
        </w:rPr>
        <w:t>理财产品的认购</w:t>
      </w:r>
      <w:bookmarkEnd w:id="61"/>
      <w:bookmarkEnd w:id="64"/>
      <w:bookmarkEnd w:id="65"/>
    </w:p>
    <w:p>
      <w:pPr>
        <w:spacing w:line="360" w:lineRule="auto"/>
        <w:ind w:firstLine="361" w:firstLineChars="200"/>
        <w:rPr>
          <w:rFonts w:asciiTheme="minorEastAsia" w:hAnsiTheme="minorEastAsia"/>
          <w:b/>
          <w:bCs/>
          <w:sz w:val="18"/>
          <w:szCs w:val="18"/>
        </w:rPr>
      </w:pPr>
      <w:bookmarkStart w:id="67" w:name="_Hlt88031774"/>
      <w:bookmarkEnd w:id="67"/>
      <w:bookmarkStart w:id="6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9"/>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330"/>
        <w:gridCol w:w="3921"/>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330" w:type="dxa"/>
            <w:vAlign w:val="center"/>
          </w:tcPr>
          <w:p>
            <w:pPr>
              <w:spacing w:line="360" w:lineRule="auto"/>
              <w:ind w:firstLine="361" w:firstLineChars="200"/>
              <w:rPr>
                <w:rFonts w:asciiTheme="minorEastAsia" w:hAnsiTheme="minorEastAsia" w:eastAsiaTheme="minorEastAsia"/>
                <w:b/>
                <w:bCs/>
                <w:sz w:val="18"/>
                <w:szCs w:val="18"/>
              </w:rPr>
            </w:pPr>
            <w:r>
              <w:rPr>
                <w:rFonts w:hint="eastAsia" w:asciiTheme="minorEastAsia" w:hAnsiTheme="minorEastAsia"/>
                <w:b/>
                <w:bCs/>
                <w:kern w:val="0"/>
                <w:sz w:val="18"/>
                <w:szCs w:val="18"/>
              </w:rPr>
              <w:t>认购期/募集期</w:t>
            </w:r>
          </w:p>
        </w:tc>
        <w:tc>
          <w:tcPr>
            <w:tcW w:w="3921"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330" w:type="dxa"/>
            <w:vAlign w:val="center"/>
          </w:tcPr>
          <w:p>
            <w:pPr>
              <w:spacing w:line="360" w:lineRule="auto"/>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募集期开始日【9:00】</w:t>
            </w:r>
            <w:r>
              <w:rPr>
                <w:rFonts w:asciiTheme="minorEastAsia" w:hAnsiTheme="minorEastAsia" w:eastAsiaTheme="minorEastAsia"/>
                <w:bCs/>
                <w:kern w:val="0"/>
                <w:sz w:val="18"/>
                <w:szCs w:val="18"/>
              </w:rPr>
              <w:t>至募集期终止日</w:t>
            </w:r>
            <w:r>
              <w:rPr>
                <w:rFonts w:hint="eastAsia" w:asciiTheme="minorEastAsia" w:hAnsiTheme="minorEastAsia" w:eastAsiaTheme="minorEastAsia"/>
                <w:bCs/>
                <w:kern w:val="0"/>
                <w:sz w:val="18"/>
                <w:szCs w:val="18"/>
              </w:rPr>
              <w:t>【17:00】</w:t>
            </w:r>
          </w:p>
        </w:tc>
        <w:tc>
          <w:tcPr>
            <w:tcW w:w="3921" w:type="dxa"/>
            <w:vAlign w:val="center"/>
          </w:tcPr>
          <w:p>
            <w:pPr>
              <w:spacing w:line="360" w:lineRule="auto"/>
              <w:rPr>
                <w:rFonts w:asciiTheme="minorEastAsia" w:hAnsiTheme="minorEastAsia" w:eastAsiaTheme="minorEastAsia"/>
                <w:bCs/>
                <w:sz w:val="18"/>
                <w:szCs w:val="18"/>
              </w:rPr>
            </w:pPr>
            <w:r>
              <w:rPr>
                <w:rFonts w:hint="eastAsia" w:asciiTheme="minorEastAsia" w:hAnsiTheme="minorEastAsia"/>
                <w:bCs/>
                <w:kern w:val="0"/>
                <w:sz w:val="18"/>
                <w:szCs w:val="18"/>
              </w:rPr>
              <w:t>产品管理人在产品成立日对投资者的认购申请的有效性进行确认，登记份额。</w:t>
            </w:r>
          </w:p>
        </w:tc>
        <w:tc>
          <w:tcPr>
            <w:tcW w:w="1610" w:type="dxa"/>
            <w:vAlign w:val="center"/>
          </w:tcPr>
          <w:p>
            <w:pPr>
              <w:spacing w:line="360" w:lineRule="auto"/>
              <w:rPr>
                <w:rFonts w:asciiTheme="minorEastAsia" w:hAnsiTheme="minorEastAsia" w:eastAsiaTheme="minorEastAsia"/>
                <w:bCs/>
                <w:sz w:val="18"/>
                <w:szCs w:val="18"/>
              </w:rPr>
            </w:pPr>
            <w:r>
              <w:rPr>
                <w:rFonts w:hint="eastAsia"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hint="eastAsia" w:asciiTheme="minorEastAsia" w:hAnsiTheme="minorEastAsia"/>
          <w:b/>
          <w:bCs/>
          <w:sz w:val="18"/>
          <w:szCs w:val="18"/>
        </w:rPr>
        <w:t>3.</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4.认购的费用</w:t>
      </w:r>
    </w:p>
    <w:p>
      <w:pPr>
        <w:spacing w:line="360" w:lineRule="auto"/>
        <w:ind w:firstLine="360" w:firstLineChars="200"/>
        <w:rPr>
          <w:bCs/>
          <w:sz w:val="18"/>
          <w:szCs w:val="18"/>
        </w:rPr>
      </w:pPr>
      <w:r>
        <w:rPr>
          <w:rFonts w:hint="eastAsia" w:asciiTheme="minorEastAsia" w:hAnsiTheme="minorEastAsia"/>
          <w:sz w:val="18"/>
          <w:szCs w:val="18"/>
        </w:rPr>
        <w:t>本产品认购费率详见</w:t>
      </w:r>
      <w:r>
        <w:rPr>
          <w:rFonts w:hint="eastAsia" w:asciiTheme="minorEastAsia" w:hAnsiTheme="minorEastAsia" w:eastAsiaTheme="minorEastAsia"/>
          <w:sz w:val="18"/>
          <w:szCs w:val="18"/>
        </w:rPr>
        <w:t>《产品说明书》</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6.认购的起点和追加金额</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A</w:t>
      </w:r>
      <w:r>
        <w:rPr>
          <w:rFonts w:hint="eastAsia" w:asciiTheme="minorEastAsia" w:hAnsiTheme="minorEastAsia" w:eastAsiaTheme="minorEastAsia"/>
          <w:color w:val="auto"/>
          <w:sz w:val="18"/>
          <w:szCs w:val="18"/>
        </w:rPr>
        <w:t>份额：起点金额为【1.00】元；以【</w:t>
      </w:r>
      <w:r>
        <w:rPr>
          <w:rFonts w:asciiTheme="minorEastAsia" w:hAnsiTheme="minorEastAsia" w:eastAsiaTheme="minorEastAsia"/>
          <w:color w:val="auto"/>
          <w:sz w:val="18"/>
          <w:szCs w:val="18"/>
        </w:rPr>
        <w:t>0.01</w:t>
      </w:r>
      <w:r>
        <w:rPr>
          <w:rFonts w:hint="eastAsia" w:asciiTheme="minorEastAsia" w:hAnsiTheme="minorEastAsia" w:eastAsiaTheme="minorEastAsia"/>
          <w:color w:val="auto"/>
          <w:sz w:val="18"/>
          <w:szCs w:val="18"/>
        </w:rPr>
        <w:t>】元的整数倍递增。</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B份额：起点金额为【</w:t>
      </w:r>
      <w:r>
        <w:rPr>
          <w:rFonts w:asciiTheme="minorEastAsia" w:hAnsiTheme="minorEastAsia" w:eastAsiaTheme="minorEastAsia"/>
          <w:color w:val="auto"/>
          <w:sz w:val="18"/>
          <w:szCs w:val="18"/>
        </w:rPr>
        <w:t>300,000</w:t>
      </w:r>
      <w:r>
        <w:rPr>
          <w:rFonts w:hint="eastAsia" w:asciiTheme="minorEastAsia" w:hAnsiTheme="minorEastAsia" w:eastAsiaTheme="minorEastAsia"/>
          <w:color w:val="auto"/>
          <w:sz w:val="18"/>
          <w:szCs w:val="18"/>
        </w:rPr>
        <w:t>.00】元；以【1</w:t>
      </w:r>
      <w:r>
        <w:rPr>
          <w:rFonts w:asciiTheme="minorEastAsia" w:hAnsiTheme="minorEastAsia" w:eastAsiaTheme="minorEastAsia"/>
          <w:color w:val="auto"/>
          <w:sz w:val="18"/>
          <w:szCs w:val="18"/>
        </w:rPr>
        <w:t>0,000</w:t>
      </w:r>
      <w:r>
        <w:rPr>
          <w:rFonts w:hint="eastAsia" w:asciiTheme="minorEastAsia" w:hAnsiTheme="minorEastAsia" w:eastAsiaTheme="minorEastAsia"/>
          <w:color w:val="auto"/>
          <w:sz w:val="18"/>
          <w:szCs w:val="18"/>
        </w:rPr>
        <w:t>.00】元的整数倍递增。</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C份额：起点金额为【</w:t>
      </w: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.00】元；以【0.</w:t>
      </w:r>
      <w:r>
        <w:rPr>
          <w:rFonts w:asciiTheme="minorEastAsia" w:hAnsiTheme="minorEastAsia" w:eastAsiaTheme="minorEastAsia"/>
          <w:color w:val="auto"/>
          <w:sz w:val="18"/>
          <w:szCs w:val="18"/>
        </w:rPr>
        <w:t>01</w:t>
      </w:r>
      <w:r>
        <w:rPr>
          <w:rFonts w:hint="eastAsia" w:asciiTheme="minorEastAsia" w:hAnsiTheme="minorEastAsia" w:eastAsiaTheme="minorEastAsia"/>
          <w:color w:val="auto"/>
          <w:sz w:val="18"/>
          <w:szCs w:val="18"/>
        </w:rPr>
        <w:t>】元的整数倍递增。</w:t>
      </w:r>
    </w:p>
    <w:p>
      <w:pPr>
        <w:pStyle w:val="14"/>
        <w:spacing w:line="360" w:lineRule="auto"/>
        <w:ind w:firstLine="360" w:firstLineChars="200"/>
        <w:rPr>
          <w:rFonts w:hint="eastAsia" w:asciiTheme="minorEastAsia" w:hAnsiTheme="minorEastAsia" w:eastAsiaTheme="minorEastAsia"/>
          <w:color w:val="auto"/>
          <w:sz w:val="18"/>
          <w:szCs w:val="18"/>
        </w:rPr>
      </w:pPr>
      <w:r>
        <w:rPr>
          <w:rFonts w:asciiTheme="minorEastAsia" w:hAnsiTheme="minorEastAsia" w:eastAsiaTheme="minorEastAsia"/>
          <w:color w:val="auto"/>
          <w:sz w:val="18"/>
          <w:szCs w:val="18"/>
        </w:rPr>
        <w:t>D</w:t>
      </w:r>
      <w:r>
        <w:rPr>
          <w:rFonts w:hint="eastAsia" w:asciiTheme="minorEastAsia" w:hAnsiTheme="minorEastAsia" w:eastAsiaTheme="minorEastAsia"/>
          <w:color w:val="auto"/>
          <w:sz w:val="18"/>
          <w:szCs w:val="18"/>
        </w:rPr>
        <w:t>份额：起点金额为【</w:t>
      </w:r>
      <w:r>
        <w:rPr>
          <w:rFonts w:asciiTheme="minorEastAsia" w:hAnsiTheme="minorEastAsia" w:eastAsiaTheme="minorEastAsia"/>
          <w:color w:val="auto"/>
          <w:sz w:val="18"/>
          <w:szCs w:val="18"/>
        </w:rPr>
        <w:t>1,000</w:t>
      </w:r>
      <w:r>
        <w:rPr>
          <w:rFonts w:hint="eastAsia" w:asciiTheme="minorEastAsia" w:hAnsiTheme="minorEastAsia" w:eastAsiaTheme="minorEastAsia"/>
          <w:color w:val="auto"/>
          <w:sz w:val="18"/>
          <w:szCs w:val="18"/>
        </w:rPr>
        <w:t>.00】元；以【0.</w:t>
      </w:r>
      <w:r>
        <w:rPr>
          <w:rFonts w:asciiTheme="minorEastAsia" w:hAnsiTheme="minorEastAsia" w:eastAsiaTheme="minorEastAsia"/>
          <w:color w:val="auto"/>
          <w:sz w:val="18"/>
          <w:szCs w:val="18"/>
        </w:rPr>
        <w:t>01</w:t>
      </w:r>
      <w:r>
        <w:rPr>
          <w:rFonts w:hint="eastAsia" w:asciiTheme="minorEastAsia" w:hAnsiTheme="minorEastAsia" w:eastAsiaTheme="minorEastAsia"/>
          <w:color w:val="auto"/>
          <w:sz w:val="18"/>
          <w:szCs w:val="18"/>
        </w:rPr>
        <w:t>】元的整数倍递增。</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 xml:space="preserve">【/】份，符合产品管理人流动性管理的稳定资金除外。如需突破最高持有上限，请与产品管理人或销售机构客户经理联系。 </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8.募集期认购资金利息的处理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投资者认购资金在产品认购期内按照活期存款利率计息，但在产品认购期所产生的利息不作为理财本金进入理财运作，不计算理财收益。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ind w:firstLine="360" w:firstLineChars="200"/>
        <w:rPr>
          <w:rFonts w:asciiTheme="minorEastAsia" w:hAnsiTheme="minorEastAsia"/>
          <w:bCs/>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jc w:val="left"/>
        <w:rPr>
          <w:rFonts w:asciiTheme="minorEastAsia" w:hAnsiTheme="minorEastAsia"/>
          <w:bCs/>
          <w:kern w:val="0"/>
          <w:sz w:val="18"/>
          <w:szCs w:val="18"/>
        </w:rPr>
      </w:pPr>
      <w:r>
        <w:rPr>
          <w:rFonts w:asciiTheme="minorEastAsia" w:hAnsiTheme="minorEastAsia"/>
          <w:bCs/>
          <w:sz w:val="18"/>
          <w:szCs w:val="18"/>
        </w:rPr>
        <w:br w:type="page"/>
      </w:r>
      <w:bookmarkEnd w:id="68"/>
    </w:p>
    <w:bookmarkEnd w:id="66"/>
    <w:p>
      <w:pPr>
        <w:pStyle w:val="2"/>
        <w:spacing w:before="0" w:after="0"/>
        <w:jc w:val="center"/>
        <w:rPr>
          <w:rFonts w:ascii="Times New Roman"/>
          <w:color w:val="auto"/>
          <w:sz w:val="30"/>
        </w:rPr>
      </w:pPr>
      <w:bookmarkStart w:id="69" w:name="_Toc29948"/>
      <w:bookmarkStart w:id="70" w:name="_Toc90742321"/>
      <w:bookmarkStart w:id="71" w:name="_Toc22074"/>
      <w:bookmarkStart w:id="72" w:name="_Toc29784"/>
      <w:bookmarkStart w:id="73" w:name="_Toc3266"/>
      <w:bookmarkStart w:id="74" w:name="_Toc74065741"/>
      <w:bookmarkStart w:id="75" w:name="_Toc90742390"/>
      <w:bookmarkStart w:id="76" w:name="_Toc16265"/>
      <w:bookmarkStart w:id="77" w:name="_Toc7151"/>
      <w:bookmarkStart w:id="78" w:name="_Toc90742688"/>
      <w:bookmarkStart w:id="79" w:name="_Toc6714"/>
      <w:bookmarkStart w:id="80" w:name="_Toc76720590"/>
      <w:bookmarkStart w:id="81" w:name="_Toc27189"/>
      <w:bookmarkStart w:id="82" w:name="_Toc27226"/>
      <w:bookmarkStart w:id="83" w:name="_Toc75770035"/>
      <w:bookmarkStart w:id="84" w:name="_Toc15203"/>
      <w:r>
        <w:rPr>
          <w:rFonts w:ascii="Times New Roman"/>
          <w:color w:val="auto"/>
          <w:sz w:val="30"/>
        </w:rPr>
        <w:t>第</w:t>
      </w:r>
      <w:r>
        <w:rPr>
          <w:rFonts w:hint="eastAsia" w:ascii="Times New Roman"/>
          <w:color w:val="auto"/>
          <w:sz w:val="30"/>
        </w:rPr>
        <w:t>六条</w:t>
      </w:r>
      <w:r>
        <w:rPr>
          <w:rFonts w:ascii="Times New Roman"/>
          <w:color w:val="auto"/>
          <w:sz w:val="30"/>
        </w:rPr>
        <w:t xml:space="preserve">  </w:t>
      </w:r>
      <w:r>
        <w:rPr>
          <w:rFonts w:hint="eastAsia" w:ascii="Times New Roman"/>
          <w:color w:val="auto"/>
          <w:sz w:val="30"/>
        </w:rPr>
        <w:t>理财产品的投资</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本产品为固定收益类产品，以绝对收益为主要投资目标，通过不断优化组合，力争在合理控制组合风险的前提下实现超越业绩比较基准的收益。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.投资范围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本产品主要投资范围包括但不限于</w:t>
      </w:r>
      <w:r>
        <w:rPr>
          <w:rFonts w:hint="eastAsia" w:asciiTheme="majorEastAsia" w:hAnsiTheme="majorEastAsia" w:eastAsiaTheme="majorEastAsia"/>
          <w:bCs/>
          <w:sz w:val="18"/>
          <w:szCs w:val="18"/>
        </w:rPr>
        <w:t>（实际可投资范围根据法律法规及监管规定进行调整）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（4）国债期货、利率互换、信用风险缓释工具、债券借贷等。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（5）混合债券型二级基金、混合型基金以及通过信托公司、基金管理公司、证券公司、期货公司、保险公司及上述机构的子公司等国家法律法规允许的机构投资于权益类资产。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（7）其他风险不高于前述资产的资产。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本产品投资于固定收益类资产的比例不低于产品总资产的80%；投资于股票资产的比例合计不超过产品总资产的10%。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（2）国债期货、利率互换、债券借贷的合约价值占产品总资产比例不高于20%。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（3）符合监管要求的非标准化债权类资产占产品总资产比例不高于50%。</w:t>
      </w:r>
    </w:p>
    <w:p>
      <w:pPr>
        <w:spacing w:line="360" w:lineRule="auto"/>
        <w:ind w:firstLine="360" w:firstLineChars="200"/>
        <w:rPr>
          <w:rFonts w:asciiTheme="majorEastAsia" w:hAnsiTheme="majorEastAsia"/>
          <w:sz w:val="18"/>
        </w:rPr>
      </w:pPr>
      <w:r>
        <w:rPr>
          <w:rFonts w:asciiTheme="majorEastAsia" w:hAnsiTheme="majorEastAsia" w:eastAsiaTheme="majorEastAsia"/>
          <w:bCs/>
          <w:sz w:val="18"/>
          <w:szCs w:val="18"/>
        </w:rPr>
        <w:t>3</w:t>
      </w:r>
      <w:r>
        <w:rPr>
          <w:rFonts w:hint="eastAsia" w:asciiTheme="majorEastAsia" w:hAnsiTheme="majorEastAsia" w:eastAsiaTheme="majorEastAsia"/>
          <w:bCs/>
          <w:kern w:val="0"/>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黑体" w:hAnsi="黑体" w:eastAsia="黑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产品管理人应当根据市场情况调整投资范围、投资资产种类或投资比例，并进行相应公告。超出前述约定投资比例的，高风险类型的理财产品可超出比例范围投资较低风险资产，且无需投资者书面同意。</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任何责任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kern w:val="0"/>
          <w:sz w:val="18"/>
          <w:szCs w:val="18"/>
        </w:rPr>
      </w:pPr>
      <w:r>
        <w:rPr>
          <w:rFonts w:asciiTheme="majorEastAsia" w:hAnsiTheme="majorEastAsia" w:eastAsiaTheme="majorEastAsia"/>
          <w:kern w:val="0"/>
          <w:sz w:val="18"/>
          <w:szCs w:val="18"/>
        </w:rPr>
        <w:t>1.组合限制</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2）全部公募理财产品持有单只证券或单只公募证券投资基金的市值，不得超过该证券市值或该公募证券投资基金市值的30%</w:t>
      </w:r>
      <w:r>
        <w:rPr>
          <w:rFonts w:hint="eastAsia" w:asciiTheme="majorEastAsia" w:hAnsiTheme="majorEastAsia" w:eastAsiaTheme="majorEastAsia"/>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3）全部理财产品持有单一上市公司发行的股票，不得超过该上市公司可流通股票的30%。</w:t>
      </w:r>
    </w:p>
    <w:p>
      <w:pPr>
        <w:pStyle w:val="14"/>
        <w:spacing w:line="280" w:lineRule="exact"/>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w:t>
      </w:r>
      <w:r>
        <w:rPr>
          <w:rFonts w:hint="eastAsia" w:asciiTheme="majorEastAsia" w:hAnsiTheme="majorEastAsia" w:eastAsiaTheme="majorEastAsia"/>
          <w:bCs/>
          <w:kern w:val="0"/>
          <w:sz w:val="18"/>
          <w:szCs w:val="18"/>
        </w:rPr>
        <w:t>本</w:t>
      </w:r>
      <w:r>
        <w:rPr>
          <w:rFonts w:hint="eastAsia" w:asciiTheme="majorEastAsia" w:hAnsiTheme="majorEastAsia" w:eastAsiaTheme="majorEastAsia"/>
          <w:bCs/>
          <w:sz w:val="18"/>
          <w:szCs w:val="18"/>
        </w:rPr>
        <w:t>产品因为流动性需要可开展存单质押、债券正回购等融资业务，本产品</w:t>
      </w:r>
      <w:r>
        <w:rPr>
          <w:rFonts w:asciiTheme="majorEastAsia" w:hAnsiTheme="majorEastAsia" w:eastAsiaTheme="majorEastAsia"/>
          <w:bCs/>
          <w:sz w:val="18"/>
          <w:szCs w:val="18"/>
        </w:rPr>
        <w:t>总资产不超过净资产的200%</w:t>
      </w:r>
      <w:r>
        <w:rPr>
          <w:rFonts w:hint="eastAsia" w:asciiTheme="majorEastAsia" w:hAnsiTheme="majorEastAsia" w:eastAsiaTheme="majorEastAsia"/>
          <w:bCs/>
          <w:sz w:val="18"/>
          <w:szCs w:val="18"/>
        </w:rPr>
        <w:t>。</w:t>
      </w:r>
    </w:p>
    <w:p>
      <w:pPr>
        <w:pStyle w:val="14"/>
        <w:ind w:firstLine="360" w:firstLineChars="200"/>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bCs/>
          <w:sz w:val="18"/>
          <w:szCs w:val="18"/>
        </w:rPr>
        <w:t>（6）</w:t>
      </w:r>
      <w:r>
        <w:rPr>
          <w:rFonts w:hint="eastAsia" w:asciiTheme="majorEastAsia" w:hAnsiTheme="majorEastAsia" w:eastAsiaTheme="majorEastAsia"/>
          <w:color w:val="000000" w:themeColor="text1"/>
          <w:sz w:val="18"/>
          <w:szCs w:val="18"/>
          <w14:textFill>
            <w14:solidFill>
              <w14:schemeClr w14:val="tx1"/>
            </w14:solidFill>
          </w14:textFill>
        </w:rPr>
        <w:t>本产品投资资产组合久期不超过【5】年</w:t>
      </w:r>
      <w:r>
        <w:rPr>
          <w:rFonts w:asciiTheme="majorEastAsia" w:hAnsiTheme="majorEastAsia" w:eastAsiaTheme="majorEastAsia"/>
          <w:color w:val="000000" w:themeColor="text1"/>
          <w:sz w:val="18"/>
          <w:szCs w:val="18"/>
          <w14:textFill>
            <w14:solidFill>
              <w14:schemeClr w14:val="tx1"/>
            </w14:solidFill>
          </w14:textFill>
        </w:rPr>
        <w:t>。</w:t>
      </w:r>
    </w:p>
    <w:p>
      <w:pPr>
        <w:tabs>
          <w:tab w:val="right" w:pos="8306"/>
        </w:tabs>
        <w:spacing w:line="360" w:lineRule="auto"/>
        <w:ind w:firstLine="360" w:firstLineChars="200"/>
        <w:rPr>
          <w:rFonts w:asciiTheme="majorEastAsia" w:hAnsiTheme="majorEastAsia"/>
          <w:kern w:val="0"/>
          <w:sz w:val="18"/>
        </w:rPr>
      </w:pPr>
      <w:r>
        <w:rPr>
          <w:rFonts w:hint="eastAsia" w:asciiTheme="majorEastAsia" w:hAnsiTheme="majorEastAsia" w:eastAsiaTheme="majorEastAsia"/>
          <w:bCs/>
          <w:kern w:val="0"/>
          <w:sz w:val="18"/>
          <w:szCs w:val="18"/>
        </w:rPr>
        <w:t>（7）本</w:t>
      </w:r>
      <w:r>
        <w:rPr>
          <w:rFonts w:hint="eastAsia" w:asciiTheme="majorEastAsia" w:hAnsiTheme="majorEastAsia"/>
          <w:kern w:val="0"/>
          <w:sz w:val="18"/>
        </w:rPr>
        <w:t>产品投资</w:t>
      </w:r>
      <w:r>
        <w:rPr>
          <w:rFonts w:hint="eastAsia" w:asciiTheme="majorEastAsia" w:hAnsiTheme="majorEastAsia" w:eastAsiaTheme="majorEastAsia"/>
          <w:bCs/>
          <w:kern w:val="0"/>
          <w:sz w:val="18"/>
          <w:szCs w:val="18"/>
        </w:rPr>
        <w:t>的各类债券主体（发行人或担保人）或债项评级达到AA级（含）以上</w:t>
      </w:r>
      <w:r>
        <w:rPr>
          <w:rFonts w:hint="eastAsia" w:asciiTheme="majorEastAsia" w:hAnsiTheme="majorEastAsia"/>
          <w:kern w:val="0"/>
          <w:sz w:val="18"/>
        </w:rPr>
        <w:t>。</w:t>
      </w:r>
      <w:r>
        <w:rPr>
          <w:rFonts w:asciiTheme="majorEastAsia" w:hAnsiTheme="majorEastAsia"/>
          <w:kern w:val="0"/>
          <w:sz w:val="18"/>
        </w:rPr>
        <w:tab/>
      </w:r>
    </w:p>
    <w:p>
      <w:pPr>
        <w:spacing w:line="280" w:lineRule="exact"/>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w:t>
      </w:r>
      <w:r>
        <w:rPr>
          <w:rFonts w:asciiTheme="majorEastAsia" w:hAnsiTheme="majorEastAsia" w:eastAsiaTheme="majorEastAsia"/>
          <w:bCs/>
          <w:sz w:val="18"/>
          <w:szCs w:val="18"/>
        </w:rPr>
        <w:t>管理</w:t>
      </w:r>
      <w:r>
        <w:rPr>
          <w:rFonts w:hint="eastAsia" w:asciiTheme="majorEastAsia" w:hAnsiTheme="majorEastAsia" w:eastAsiaTheme="majorEastAsia"/>
          <w:bCs/>
          <w:sz w:val="18"/>
          <w:szCs w:val="18"/>
        </w:rPr>
        <w:t>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2.其他</w:t>
      </w:r>
      <w:r>
        <w:rPr>
          <w:rFonts w:asciiTheme="majorEastAsia" w:hAnsiTheme="majorEastAsia" w:eastAsiaTheme="majorEastAsia"/>
          <w:bCs/>
          <w:sz w:val="18"/>
          <w:szCs w:val="18"/>
        </w:rPr>
        <w:t>投资限制</w:t>
      </w:r>
    </w:p>
    <w:p>
      <w:pPr>
        <w:spacing w:line="360" w:lineRule="auto"/>
        <w:ind w:firstLine="360" w:firstLineChars="200"/>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1</w:t>
      </w:r>
      <w:r>
        <w:rPr>
          <w:rFonts w:hint="eastAsia" w:asciiTheme="majorEastAsia" w:hAnsiTheme="majorEastAsia" w:eastAsiaTheme="majorEastAsia"/>
          <w:kern w:val="0"/>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2</w:t>
      </w:r>
      <w:r>
        <w:rPr>
          <w:rFonts w:hint="eastAsia" w:asciiTheme="majorEastAsia" w:hAnsiTheme="majorEastAsia" w:eastAsiaTheme="majorEastAsia"/>
          <w:kern w:val="0"/>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3</w:t>
      </w:r>
      <w:r>
        <w:rPr>
          <w:rFonts w:hint="eastAsia" w:asciiTheme="majorEastAsia" w:hAnsiTheme="majorEastAsia" w:eastAsiaTheme="majorEastAsia"/>
          <w:kern w:val="0"/>
          <w:sz w:val="18"/>
          <w:szCs w:val="18"/>
        </w:rPr>
        <w:t>）不得直接或间接投资于《商业银行理财业务监督管理办法》（银保监会令</w:t>
      </w:r>
      <w:r>
        <w:rPr>
          <w:rFonts w:asciiTheme="majorEastAsia" w:hAnsiTheme="majorEastAsia" w:eastAsiaTheme="majorEastAsia"/>
          <w:kern w:val="0"/>
          <w:sz w:val="18"/>
          <w:szCs w:val="18"/>
        </w:rPr>
        <w:t>2018年第6号）第三十五条所列示资产之外，由未经金融监督管理部门许可设立、</w:t>
      </w:r>
      <w:r>
        <w:rPr>
          <w:rFonts w:hint="eastAsia" w:asciiTheme="majorEastAsia" w:hAnsiTheme="majorEastAsia" w:eastAsiaTheme="majorEastAsia"/>
          <w:kern w:val="0"/>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4）不得直接或间接投资于兴业银行信贷资产受（收）益权，面向非机构投资者发行的理财产品不得直接或间接投资于不良资产受（收）益权。</w:t>
      </w:r>
    </w:p>
    <w:p>
      <w:pPr>
        <w:spacing w:line="360" w:lineRule="auto"/>
        <w:ind w:firstLine="360" w:firstLineChars="200"/>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5）其他法律法规规定或监管规定禁止或限制理财产品投资的情形。</w:t>
      </w:r>
    </w:p>
    <w:p>
      <w:pPr>
        <w:spacing w:line="360" w:lineRule="auto"/>
        <w:ind w:firstLine="360" w:firstLineChars="200"/>
        <w:rPr>
          <w:rFonts w:asciiTheme="majorEastAsia" w:hAnsiTheme="majorEastAsia" w:eastAsiaTheme="majorEastAsia"/>
          <w:kern w:val="0"/>
          <w:sz w:val="18"/>
          <w:szCs w:val="18"/>
        </w:rPr>
      </w:pPr>
      <w:r>
        <w:rPr>
          <w:rFonts w:asciiTheme="majorEastAsia" w:hAnsiTheme="majorEastAsia" w:eastAsiaTheme="majorEastAsia"/>
          <w:kern w:val="0"/>
          <w:sz w:val="18"/>
          <w:szCs w:val="18"/>
        </w:rPr>
        <w:t>3.如果法律法规对本</w:t>
      </w:r>
      <w:r>
        <w:rPr>
          <w:rFonts w:hint="eastAsia" w:asciiTheme="majorEastAsia" w:hAnsiTheme="majorEastAsia" w:eastAsiaTheme="majorEastAsia"/>
          <w:kern w:val="0"/>
          <w:sz w:val="18"/>
          <w:szCs w:val="18"/>
        </w:rPr>
        <w:t>协议</w:t>
      </w:r>
      <w:r>
        <w:rPr>
          <w:rFonts w:asciiTheme="majorEastAsia" w:hAnsiTheme="majorEastAsia" w:eastAsiaTheme="majorEastAsia"/>
          <w:kern w:val="0"/>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本产品主要投资于固定收益类资产，以绝对收益为投资目标，并配置一定比例的权益类资产，把握股票市场的投资机会，为投资者提供长期稳定的投资回报。其中权益类资产主要为混合债券型二级基金以及打新策略为主的混合型基金中的股票投资。</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6"/>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1、产品管理人设立业绩比较基准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具体以当期《产品说明书》为准。</w:t>
      </w:r>
    </w:p>
    <w:p>
      <w:pPr>
        <w:pStyle w:val="6"/>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pStyle w:val="14"/>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jc w:val="center"/>
        <w:rPr>
          <w:rFonts w:ascii="Times New Roman"/>
          <w:color w:val="auto"/>
          <w:sz w:val="30"/>
        </w:rPr>
      </w:pPr>
      <w:bookmarkStart w:id="85" w:name="_Toc74065742"/>
      <w:bookmarkStart w:id="86" w:name="_Toc26986"/>
      <w:bookmarkStart w:id="87" w:name="_Toc139991735"/>
      <w:bookmarkStart w:id="88" w:name="_Toc18329"/>
      <w:bookmarkStart w:id="89" w:name="_Toc7848"/>
      <w:bookmarkStart w:id="90" w:name="_Toc18526"/>
      <w:bookmarkStart w:id="91" w:name="_Toc17912"/>
      <w:bookmarkStart w:id="92" w:name="_Toc1823"/>
      <w:bookmarkStart w:id="93" w:name="_Toc21988"/>
      <w:bookmarkStart w:id="94" w:name="_Toc4741"/>
      <w:bookmarkStart w:id="95" w:name="_Toc18797"/>
      <w:bookmarkStart w:id="96" w:name="_Toc76720591"/>
      <w:bookmarkStart w:id="97" w:name="_Toc75770036"/>
      <w:bookmarkStart w:id="98" w:name="_Toc141703885"/>
      <w:bookmarkStart w:id="99" w:name="_Toc14893"/>
      <w:r>
        <w:rPr>
          <w:rFonts w:ascii="Times New Roman"/>
          <w:color w:val="auto"/>
          <w:sz w:val="30"/>
        </w:rPr>
        <w:t>第</w:t>
      </w:r>
      <w:r>
        <w:rPr>
          <w:rFonts w:hint="eastAsia" w:ascii="Times New Roman"/>
          <w:color w:val="auto"/>
          <w:sz w:val="30"/>
        </w:rPr>
        <w:t>七条</w:t>
      </w:r>
      <w:r>
        <w:rPr>
          <w:rFonts w:ascii="Times New Roman"/>
          <w:color w:val="auto"/>
          <w:sz w:val="30"/>
        </w:rPr>
        <w:t xml:space="preserve">  </w:t>
      </w:r>
      <w:r>
        <w:rPr>
          <w:rFonts w:hint="eastAsia" w:ascii="Times New Roman"/>
          <w:color w:val="auto"/>
          <w:sz w:val="30"/>
        </w:rPr>
        <w:t>理财产品的资产</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14"/>
        <w:spacing w:line="360" w:lineRule="auto"/>
        <w:ind w:firstLine="361" w:firstLineChars="200"/>
        <w:rPr>
          <w:rFonts w:asciiTheme="majorEastAsia" w:hAnsiTheme="majorEastAsia" w:eastAsiaTheme="majorEastAsia"/>
          <w:b/>
          <w:color w:val="auto"/>
          <w:sz w:val="18"/>
          <w:szCs w:val="18"/>
        </w:rPr>
      </w:pPr>
      <w:bookmarkStart w:id="100"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0"/>
    <w:p>
      <w:pPr>
        <w:pStyle w:val="2"/>
        <w:spacing w:before="0" w:after="0"/>
        <w:jc w:val="center"/>
        <w:rPr>
          <w:rFonts w:ascii="Times New Roman"/>
          <w:color w:val="auto"/>
          <w:sz w:val="30"/>
        </w:rPr>
      </w:pPr>
      <w:bookmarkStart w:id="101" w:name="_Toc4003"/>
      <w:bookmarkStart w:id="102" w:name="_Toc48649707"/>
      <w:bookmarkStart w:id="103" w:name="_Toc123112234"/>
      <w:bookmarkStart w:id="104" w:name="_Toc123051452"/>
      <w:bookmarkStart w:id="105" w:name="_Toc98560352"/>
      <w:bookmarkStart w:id="106" w:name="_Toc23261"/>
      <w:bookmarkStart w:id="107" w:name="_Toc141703886"/>
      <w:bookmarkStart w:id="108" w:name="_Toc7920"/>
      <w:bookmarkStart w:id="109" w:name="_Toc20733"/>
      <w:bookmarkStart w:id="110" w:name="_Toc74065743"/>
      <w:bookmarkStart w:id="111" w:name="_Toc17244"/>
      <w:bookmarkStart w:id="112" w:name="_Toc610"/>
      <w:bookmarkStart w:id="113" w:name="_Toc10463"/>
      <w:bookmarkStart w:id="114" w:name="_Toc79392606"/>
      <w:bookmarkStart w:id="115" w:name="_Toc139991736"/>
      <w:bookmarkStart w:id="116" w:name="_Toc76720592"/>
      <w:bookmarkStart w:id="117" w:name="_Toc1270"/>
      <w:bookmarkStart w:id="118" w:name="_Toc1427"/>
      <w:bookmarkStart w:id="119" w:name="_Toc23822"/>
      <w:bookmarkStart w:id="120" w:name="_Toc75770037"/>
      <w:bookmarkStart w:id="121" w:name="_Toc123102453"/>
      <w:r>
        <w:rPr>
          <w:rFonts w:ascii="Times New Roman"/>
          <w:color w:val="auto"/>
          <w:sz w:val="30"/>
        </w:rPr>
        <w:t>第</w:t>
      </w:r>
      <w:r>
        <w:rPr>
          <w:rFonts w:hint="eastAsia" w:ascii="Times New Roman"/>
          <w:color w:val="auto"/>
          <w:sz w:val="30"/>
        </w:rPr>
        <w:t>八条</w:t>
      </w:r>
      <w:r>
        <w:rPr>
          <w:rFonts w:ascii="Times New Roman"/>
          <w:color w:val="auto"/>
          <w:sz w:val="30"/>
        </w:rPr>
        <w:t xml:space="preserve">  </w:t>
      </w:r>
      <w:r>
        <w:rPr>
          <w:rFonts w:hint="eastAsia" w:ascii="Times New Roman"/>
          <w:color w:val="auto"/>
          <w:sz w:val="30"/>
        </w:rPr>
        <w:t>理财产品项下资产的估值</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14"/>
        <w:spacing w:line="360" w:lineRule="auto"/>
        <w:ind w:firstLine="425" w:firstLineChars="235"/>
        <w:rPr>
          <w:rFonts w:hAnsi="宋体"/>
          <w:b/>
          <w:color w:val="auto"/>
          <w:sz w:val="18"/>
          <w:szCs w:val="18"/>
        </w:rPr>
      </w:pPr>
      <w:r>
        <w:rPr>
          <w:rFonts w:hint="eastAsia" w:hAnsi="宋体"/>
          <w:b/>
          <w:color w:val="auto"/>
          <w:sz w:val="18"/>
          <w:szCs w:val="18"/>
        </w:rPr>
        <w:t>（一）估值目的</w:t>
      </w:r>
    </w:p>
    <w:p>
      <w:pPr>
        <w:pStyle w:val="14"/>
        <w:spacing w:line="360" w:lineRule="auto"/>
        <w:ind w:firstLine="423" w:firstLineChars="235"/>
        <w:rPr>
          <w:rFonts w:hAnsi="宋体"/>
          <w:color w:val="auto"/>
          <w:sz w:val="18"/>
          <w:szCs w:val="18"/>
        </w:rPr>
      </w:pPr>
      <w:r>
        <w:rPr>
          <w:rFonts w:hint="eastAsia" w:hAnsi="宋体"/>
          <w:color w:val="auto"/>
          <w:sz w:val="18"/>
          <w:szCs w:val="18"/>
        </w:rPr>
        <w:t>理财资产估值的目的是客观、准确地反映理财资产是否保值、增值。</w:t>
      </w:r>
    </w:p>
    <w:p>
      <w:pPr>
        <w:pStyle w:val="14"/>
        <w:spacing w:line="360" w:lineRule="auto"/>
        <w:ind w:firstLine="425" w:firstLineChars="235"/>
        <w:rPr>
          <w:rFonts w:hAnsi="宋体"/>
          <w:b/>
          <w:color w:val="auto"/>
          <w:sz w:val="18"/>
          <w:szCs w:val="18"/>
        </w:rPr>
      </w:pPr>
      <w:r>
        <w:rPr>
          <w:rFonts w:hint="eastAsia" w:hAnsi="宋体"/>
          <w:b/>
          <w:color w:val="auto"/>
          <w:sz w:val="18"/>
          <w:szCs w:val="18"/>
        </w:rPr>
        <w:t>（二）估值日</w:t>
      </w:r>
    </w:p>
    <w:p>
      <w:pPr>
        <w:pStyle w:val="14"/>
        <w:ind w:firstLine="423" w:firstLineChars="235"/>
        <w:rPr>
          <w:rFonts w:hAnsi="宋体"/>
          <w:b/>
          <w:color w:val="auto"/>
          <w:sz w:val="18"/>
          <w:szCs w:val="18"/>
        </w:rPr>
      </w:pPr>
      <w:r>
        <w:rPr>
          <w:rFonts w:hint="eastAsia" w:hAnsi="宋体"/>
          <w:color w:val="auto"/>
          <w:sz w:val="18"/>
        </w:rPr>
        <w:t>本产品</w:t>
      </w:r>
      <w:r>
        <w:rPr>
          <w:rFonts w:hAnsi="宋体"/>
          <w:color w:val="auto"/>
          <w:sz w:val="18"/>
        </w:rPr>
        <w:t>每周</w:t>
      </w:r>
      <w:r>
        <w:rPr>
          <w:rFonts w:hint="eastAsia" w:hAnsi="宋体"/>
          <w:color w:val="auto"/>
          <w:sz w:val="18"/>
        </w:rPr>
        <w:t>（按节假日顺延）</w:t>
      </w:r>
      <w:r>
        <w:rPr>
          <w:rFonts w:hint="eastAsia" w:hAnsi="宋体"/>
          <w:color w:val="auto"/>
          <w:sz w:val="18"/>
          <w:szCs w:val="18"/>
        </w:rPr>
        <w:t>以及于季度、半年度和年度报告等</w:t>
      </w:r>
      <w:r>
        <w:rPr>
          <w:rFonts w:hint="eastAsia" w:hAnsi="宋体"/>
          <w:color w:val="auto"/>
          <w:sz w:val="18"/>
        </w:rPr>
        <w:t>定期</w:t>
      </w:r>
      <w:r>
        <w:rPr>
          <w:rFonts w:hint="eastAsia" w:hAnsi="宋体"/>
          <w:color w:val="auto"/>
          <w:sz w:val="18"/>
          <w:szCs w:val="18"/>
        </w:rPr>
        <w:t>报告</w:t>
      </w:r>
      <w:r>
        <w:rPr>
          <w:rFonts w:hAnsi="宋体"/>
          <w:color w:val="auto"/>
          <w:sz w:val="18"/>
          <w:szCs w:val="18"/>
        </w:rPr>
        <w:t>公布</w:t>
      </w:r>
      <w:r>
        <w:rPr>
          <w:rFonts w:hAnsi="宋体"/>
          <w:color w:val="auto"/>
          <w:sz w:val="18"/>
        </w:rPr>
        <w:t>产品份额净值</w:t>
      </w:r>
      <w:r>
        <w:rPr>
          <w:rFonts w:hint="eastAsia"/>
          <w:color w:val="auto"/>
          <w:sz w:val="18"/>
          <w:szCs w:val="18"/>
        </w:rPr>
        <w:t>。</w:t>
      </w:r>
    </w:p>
    <w:p>
      <w:pPr>
        <w:pStyle w:val="14"/>
        <w:spacing w:line="360" w:lineRule="auto"/>
        <w:ind w:firstLine="425" w:firstLineChars="235"/>
        <w:rPr>
          <w:rFonts w:hAnsi="宋体"/>
          <w:b/>
          <w:color w:val="auto"/>
          <w:sz w:val="18"/>
          <w:szCs w:val="18"/>
        </w:rPr>
      </w:pPr>
      <w:r>
        <w:rPr>
          <w:rFonts w:hint="eastAsia" w:hAnsi="宋体"/>
          <w:b/>
          <w:color w:val="auto"/>
          <w:sz w:val="18"/>
          <w:szCs w:val="18"/>
        </w:rPr>
        <w:t>（三）估值对象</w:t>
      </w:r>
    </w:p>
    <w:p>
      <w:pPr>
        <w:pStyle w:val="14"/>
        <w:spacing w:line="360" w:lineRule="auto"/>
        <w:ind w:firstLine="423" w:firstLineChars="235"/>
        <w:rPr>
          <w:rFonts w:hAnsi="宋体"/>
          <w:color w:val="auto"/>
          <w:sz w:val="18"/>
          <w:szCs w:val="18"/>
        </w:rPr>
      </w:pPr>
      <w:r>
        <w:rPr>
          <w:rFonts w:hint="eastAsia" w:hAnsi="宋体"/>
          <w:color w:val="auto"/>
          <w:sz w:val="18"/>
          <w:szCs w:val="18"/>
        </w:rPr>
        <w:t>本产品所拥有的各类证券、资产管理产品和银行存款、应收款项、其它投资等资产及负债。</w:t>
      </w:r>
    </w:p>
    <w:p>
      <w:pPr>
        <w:pStyle w:val="14"/>
        <w:spacing w:line="360" w:lineRule="auto"/>
        <w:ind w:firstLine="425" w:firstLineChars="235"/>
        <w:rPr>
          <w:rFonts w:hAnsi="宋体"/>
          <w:b/>
          <w:color w:val="auto"/>
          <w:sz w:val="18"/>
          <w:szCs w:val="18"/>
        </w:rPr>
      </w:pPr>
      <w:r>
        <w:rPr>
          <w:rFonts w:hint="eastAsia" w:hAnsi="宋体"/>
          <w:b/>
          <w:color w:val="auto"/>
          <w:sz w:val="18"/>
          <w:szCs w:val="18"/>
        </w:rPr>
        <w:t>（四）估值方法</w:t>
      </w:r>
    </w:p>
    <w:p>
      <w:pPr>
        <w:pStyle w:val="14"/>
        <w:spacing w:line="360" w:lineRule="auto"/>
        <w:ind w:firstLine="424" w:firstLineChars="236"/>
        <w:rPr>
          <w:rFonts w:hAnsi="宋体"/>
          <w:color w:val="auto"/>
          <w:sz w:val="18"/>
        </w:rPr>
      </w:pPr>
      <w:r>
        <w:rPr>
          <w:rFonts w:hint="eastAsia" w:hAnsi="宋体"/>
          <w:color w:val="auto"/>
          <w:sz w:val="18"/>
        </w:rPr>
        <w:t>本产品按以下方式进行估值：</w:t>
      </w:r>
    </w:p>
    <w:p>
      <w:pPr>
        <w:pStyle w:val="14"/>
        <w:spacing w:line="360" w:lineRule="auto"/>
        <w:ind w:firstLine="426" w:firstLineChars="236"/>
        <w:rPr>
          <w:rFonts w:asciiTheme="minorEastAsia" w:hAnsiTheme="minorEastAsia" w:eastAsiaTheme="minorEastAsia"/>
          <w:b/>
          <w:color w:val="auto"/>
          <w:sz w:val="18"/>
          <w:szCs w:val="18"/>
        </w:rPr>
      </w:pPr>
      <w:bookmarkStart w:id="122" w:name="OLE_LINK6"/>
      <w:bookmarkStart w:id="123" w:name="OLE_LINK5"/>
      <w:bookmarkStart w:id="124" w:name="OLE_LINK7"/>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424" w:firstLineChars="236"/>
        <w:rPr>
          <w:rFonts w:asciiTheme="minorEastAsia" w:hAnsiTheme="minorEastAsia"/>
          <w:sz w:val="18"/>
        </w:rPr>
      </w:pPr>
      <w:r>
        <w:rPr>
          <w:rFonts w:hint="eastAsia" w:asciiTheme="minorEastAsia" w:hAnsiTheme="minorEastAsia"/>
          <w:color w:val="auto"/>
          <w:sz w:val="18"/>
        </w:rPr>
        <w:t>（</w:t>
      </w:r>
      <w:r>
        <w:rPr>
          <w:rFonts w:asciiTheme="minorEastAsia" w:hAnsiTheme="minorEastAsia"/>
          <w:color w:val="auto"/>
          <w:sz w:val="18"/>
        </w:rPr>
        <w:t>1</w:t>
      </w:r>
      <w:r>
        <w:rPr>
          <w:rFonts w:hint="eastAsia" w:asciiTheme="minorEastAsia" w:hAnsiTheme="minorEastAsia"/>
          <w:color w:val="auto"/>
          <w:sz w:val="18"/>
        </w:rPr>
        <w:t>）投资以收取合同现金流量为目的并持有到期的债券，可使用摊余成本计量。</w:t>
      </w:r>
    </w:p>
    <w:p>
      <w:pPr>
        <w:pStyle w:val="14"/>
        <w:spacing w:line="360" w:lineRule="auto"/>
        <w:ind w:firstLine="424" w:firstLineChars="236"/>
        <w:rPr>
          <w:rFonts w:asciiTheme="minorEastAsia" w:hAnsiTheme="minorEastAsia"/>
          <w:color w:val="auto"/>
          <w:sz w:val="18"/>
        </w:rPr>
      </w:pPr>
      <w:r>
        <w:rPr>
          <w:rFonts w:hint="eastAsia" w:asciiTheme="minorEastAsia" w:hAnsiTheme="minorEastAsia"/>
          <w:color w:val="auto"/>
          <w:sz w:val="18"/>
        </w:rPr>
        <w:t>（</w:t>
      </w:r>
      <w:r>
        <w:rPr>
          <w:rFonts w:asciiTheme="minorEastAsia" w:hAnsiTheme="minorEastAsia"/>
          <w:color w:val="auto"/>
          <w:sz w:val="18"/>
        </w:rPr>
        <w:t>2</w:t>
      </w:r>
      <w:r>
        <w:rPr>
          <w:rFonts w:hint="eastAsia" w:asciiTheme="minorEastAsia" w:hAnsiTheme="minorEastAsia"/>
          <w:color w:val="auto"/>
          <w:sz w:val="18"/>
        </w:rPr>
        <w:t>）除（</w:t>
      </w:r>
      <w:r>
        <w:rPr>
          <w:rFonts w:asciiTheme="minorEastAsia" w:hAnsiTheme="minorEastAsia"/>
          <w:color w:val="auto"/>
          <w:sz w:val="18"/>
        </w:rPr>
        <w:t>1</w:t>
      </w:r>
      <w:r>
        <w:rPr>
          <w:rFonts w:hint="eastAsia" w:asciiTheme="minorEastAsia" w:hAnsiTheme="minorEastAsia"/>
          <w:color w:val="auto"/>
          <w:sz w:val="18"/>
        </w:rPr>
        <w:t>）以外的标准化债权类资产以公允价值计量，主要依据为第三方估值机构提供的价格数据。第三方估值机构包括：中央国债登记结算公司和中证指数有限公司。</w:t>
      </w:r>
    </w:p>
    <w:p>
      <w:pPr>
        <w:pStyle w:val="14"/>
        <w:spacing w:line="360" w:lineRule="auto"/>
        <w:ind w:firstLine="424" w:firstLineChars="236"/>
        <w:rPr>
          <w:rFonts w:asciiTheme="minorEastAsia" w:hAnsiTheme="minorEastAsia"/>
          <w:sz w:val="18"/>
        </w:rPr>
      </w:pPr>
      <w:r>
        <w:rPr>
          <w:rFonts w:hint="eastAsia" w:asciiTheme="minorEastAsia" w:hAnsiTheme="minorEastAsia"/>
          <w:color w:val="auto"/>
          <w:sz w:val="18"/>
        </w:rPr>
        <w:t>（3）</w:t>
      </w:r>
      <w:r>
        <w:rPr>
          <w:rFonts w:hint="eastAsia" w:hAnsi="宋体"/>
          <w:color w:val="auto"/>
          <w:sz w:val="18"/>
          <w:szCs w:val="18"/>
        </w:rPr>
        <w:t>在证券交易所上市的债券，</w:t>
      </w:r>
      <w:r>
        <w:rPr>
          <w:rFonts w:hint="eastAsia" w:asciiTheme="minorEastAsia" w:hAnsiTheme="minorEastAsia"/>
          <w:color w:val="auto"/>
          <w:sz w:val="18"/>
        </w:rPr>
        <w:t>如第三方估值机构提供的估值价格与市场收盘价存在差异，且管理人认为收盘价更能体现其公允价值，可与托管人协商一致后采用收盘价进行估值。</w:t>
      </w:r>
    </w:p>
    <w:p>
      <w:pPr>
        <w:pStyle w:val="14"/>
        <w:spacing w:line="360" w:lineRule="auto"/>
        <w:ind w:firstLine="424" w:firstLineChars="236"/>
        <w:rPr>
          <w:rFonts w:asciiTheme="minorEastAsia" w:hAnsiTheme="minorEastAsia"/>
          <w:sz w:val="18"/>
        </w:rPr>
      </w:pPr>
      <w:r>
        <w:rPr>
          <w:rFonts w:hint="eastAsia" w:asciiTheme="minorEastAsia" w:hAnsiTheme="minorEastAsia" w:eastAsiaTheme="minorEastAsia"/>
          <w:color w:val="auto"/>
          <w:sz w:val="18"/>
          <w:szCs w:val="18"/>
        </w:rPr>
        <w:t>（4）</w:t>
      </w:r>
      <w:r>
        <w:rPr>
          <w:rFonts w:hint="eastAsia" w:asciiTheme="minorEastAsia" w:hAnsiTheme="minorEastAsia"/>
          <w:color w:val="auto"/>
          <w:sz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424" w:firstLineChars="236"/>
        <w:rPr>
          <w:rFonts w:asciiTheme="minorEastAsia" w:hAnsiTheme="minorEastAsia"/>
          <w:sz w:val="18"/>
        </w:rPr>
      </w:pPr>
      <w:r>
        <w:rPr>
          <w:rFonts w:asciiTheme="minorEastAsia" w:hAnsiTheme="minorEastAsia" w:eastAsiaTheme="minorEastAsia"/>
          <w:color w:val="auto"/>
          <w:sz w:val="18"/>
          <w:szCs w:val="18"/>
        </w:rPr>
        <w:t>(</w:t>
      </w:r>
      <w:r>
        <w:rPr>
          <w:rFonts w:hint="eastAsia" w:asciiTheme="minorEastAsia" w:hAnsiTheme="minorEastAsia"/>
          <w:color w:val="auto"/>
          <w:sz w:val="18"/>
        </w:rPr>
        <w:t>5</w:t>
      </w:r>
      <w:r>
        <w:rPr>
          <w:rFonts w:asciiTheme="minorEastAsia" w:hAnsiTheme="minorEastAsia" w:eastAsiaTheme="minorEastAsia"/>
          <w:color w:val="auto"/>
          <w:sz w:val="18"/>
          <w:szCs w:val="18"/>
        </w:rPr>
        <w:t>)</w:t>
      </w:r>
      <w:r>
        <w:rPr>
          <w:rFonts w:hint="eastAsia" w:asciiTheme="minorEastAsia" w:hAnsiTheme="minorEastAsia"/>
          <w:color w:val="auto"/>
          <w:sz w:val="18"/>
        </w:rPr>
        <w:t>对在银行间市场或交易所市场已发行未上市的债券，</w:t>
      </w:r>
      <w:r>
        <w:rPr>
          <w:rFonts w:hint="eastAsia" w:hAnsi="宋体"/>
          <w:color w:val="auto"/>
          <w:sz w:val="18"/>
          <w:szCs w:val="18"/>
        </w:rPr>
        <w:t>且第三方估值机构未提供估值数据，采用估值技术确定其公允价值。</w:t>
      </w:r>
    </w:p>
    <w:p>
      <w:pPr>
        <w:pStyle w:val="14"/>
        <w:spacing w:line="360" w:lineRule="auto"/>
        <w:ind w:firstLine="424" w:firstLineChars="236"/>
        <w:rPr>
          <w:rFonts w:asciiTheme="minorEastAsia" w:hAnsiTheme="minorEastAsia"/>
          <w:sz w:val="18"/>
        </w:rPr>
      </w:pP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6）</w:t>
      </w:r>
      <w:r>
        <w:rPr>
          <w:rFonts w:hint="eastAsia" w:hAnsi="宋体"/>
          <w:color w:val="auto"/>
          <w:sz w:val="18"/>
          <w:szCs w:val="18"/>
        </w:rPr>
        <w:t>同一债券同时在两个或两个以上市场交易的，按债券所处的市场及相应的估值标准，分别进行估值。</w:t>
      </w:r>
    </w:p>
    <w:p>
      <w:pPr>
        <w:pStyle w:val="14"/>
        <w:spacing w:line="360" w:lineRule="auto"/>
        <w:ind w:firstLine="426" w:firstLineChars="236"/>
        <w:rPr>
          <w:rFonts w:asciiTheme="minorEastAsia" w:hAnsiTheme="minorEastAsia" w:eastAsiaTheme="minorEastAsia"/>
          <w:color w:val="auto"/>
          <w:sz w:val="18"/>
          <w:szCs w:val="18"/>
        </w:rPr>
      </w:pPr>
      <w:r>
        <w:rPr>
          <w:rFonts w:asciiTheme="minorEastAsia" w:hAnsiTheme="minorEastAsia" w:eastAsiaTheme="minorEastAsia"/>
          <w:b/>
          <w:color w:val="auto"/>
          <w:sz w:val="18"/>
          <w:szCs w:val="18"/>
        </w:rPr>
        <w:t>2.非标准化债权类资产</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非标准化债权类资产，是指不满足中国人民银行制定的标准化债权类资产认定标准的债权类资产。</w:t>
      </w:r>
      <w:r>
        <w:rPr>
          <w:rFonts w:hint="eastAsia" w:asciiTheme="minorEastAsia" w:hAnsiTheme="minorEastAsia" w:eastAsiaTheme="minorEastAsia"/>
          <w:sz w:val="18"/>
          <w:szCs w:val="18"/>
        </w:rPr>
        <w:t>可选取第三方估值机构的价格数据或采用估值技术进行估值；若无法采用估值技术可靠计量公允价值，可按摊余成本计量。</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3.上</w:t>
      </w:r>
      <w:r>
        <w:rPr>
          <w:rFonts w:hint="eastAsia" w:asciiTheme="minorEastAsia" w:hAnsiTheme="minorEastAsia" w:eastAsiaTheme="minorEastAsia"/>
          <w:b/>
          <w:color w:val="auto"/>
          <w:sz w:val="18"/>
          <w:szCs w:val="18"/>
        </w:rPr>
        <w:t>市</w:t>
      </w:r>
      <w:r>
        <w:rPr>
          <w:rFonts w:asciiTheme="minorEastAsia" w:hAnsiTheme="minorEastAsia" w:eastAsiaTheme="minorEastAsia"/>
          <w:b/>
          <w:color w:val="auto"/>
          <w:sz w:val="18"/>
          <w:szCs w:val="18"/>
        </w:rPr>
        <w:t>公司股票</w:t>
      </w:r>
      <w:r>
        <w:rPr>
          <w:rFonts w:hint="eastAsia" w:asciiTheme="minorEastAsia" w:hAnsiTheme="minorEastAsia" w:eastAsiaTheme="minorEastAsia"/>
          <w:b/>
          <w:color w:val="auto"/>
          <w:sz w:val="18"/>
          <w:szCs w:val="18"/>
        </w:rPr>
        <w:t>估值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上市公司股票包括正常流通普通股、流通受限股票、长期停牌股票和新发行未上市股票。具体估值方法如下：</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4.未上市公司股权</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xml:space="preserve">5. </w:t>
      </w:r>
      <w:r>
        <w:rPr>
          <w:rFonts w:hint="eastAsia" w:asciiTheme="minorEastAsia" w:hAnsiTheme="minorEastAsia" w:eastAsiaTheme="minorEastAsia"/>
          <w:b/>
          <w:color w:val="auto"/>
          <w:sz w:val="18"/>
          <w:szCs w:val="18"/>
        </w:rPr>
        <w:t>优先股</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证券投资基金估值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14"/>
        <w:spacing w:line="360" w:lineRule="auto"/>
        <w:ind w:firstLine="424" w:firstLineChars="236"/>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424" w:firstLineChars="236"/>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14"/>
        <w:spacing w:line="360" w:lineRule="auto"/>
        <w:ind w:firstLine="424" w:firstLineChars="236"/>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14"/>
        <w:spacing w:line="360" w:lineRule="auto"/>
        <w:ind w:firstLine="424" w:firstLineChars="236"/>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424" w:firstLineChars="236"/>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xml:space="preserve">7. </w:t>
      </w:r>
      <w:r>
        <w:rPr>
          <w:rFonts w:hint="eastAsia" w:asciiTheme="minorEastAsia" w:hAnsiTheme="minorEastAsia" w:eastAsiaTheme="minorEastAsia"/>
          <w:b/>
          <w:color w:val="auto"/>
          <w:sz w:val="18"/>
          <w:szCs w:val="18"/>
        </w:rPr>
        <w:t>其他资产管理产品的估值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8.衍生金融工具估值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14"/>
        <w:spacing w:line="360" w:lineRule="auto"/>
        <w:ind w:firstLine="426" w:firstLineChars="236"/>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w:t>
      </w:r>
      <w:r>
        <w:rPr>
          <w:rFonts w:hint="eastAsia" w:asciiTheme="minorEastAsia" w:hAnsiTheme="minorEastAsia" w:eastAsiaTheme="minorEastAsia"/>
          <w:b/>
          <w:color w:val="auto"/>
          <w:sz w:val="18"/>
          <w:szCs w:val="18"/>
        </w:rPr>
        <w:t>存款、拆借、回购等货币市场工具的估值</w:t>
      </w:r>
    </w:p>
    <w:p>
      <w:pPr>
        <w:pStyle w:val="14"/>
        <w:spacing w:line="360" w:lineRule="auto"/>
        <w:ind w:firstLine="424" w:firstLineChars="236"/>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14"/>
        <w:spacing w:line="360" w:lineRule="auto"/>
        <w:ind w:firstLine="424" w:firstLineChars="236"/>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10. </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424" w:firstLineChars="236"/>
        <w:rPr>
          <w:rFonts w:ascii="黑体" w:hAnsi="黑体" w:eastAsia="黑体"/>
          <w:color w:val="auto"/>
          <w:sz w:val="18"/>
          <w:szCs w:val="18"/>
        </w:rPr>
      </w:pPr>
      <w:r>
        <w:rPr>
          <w:rFonts w:ascii="黑体" w:hAnsi="黑体" w:eastAsia="黑体"/>
          <w:color w:val="auto"/>
          <w:sz w:val="18"/>
          <w:szCs w:val="18"/>
        </w:rPr>
        <w:t>11.</w:t>
      </w:r>
      <w:r>
        <w:rPr>
          <w:rFonts w:hint="eastAsia" w:ascii="黑体" w:hAnsi="黑体" w:eastAsia="黑体"/>
          <w:color w:val="auto"/>
          <w:sz w:val="18"/>
          <w:szCs w:val="18"/>
        </w:rPr>
        <w:t xml:space="preserve"> ★估值方法的调整</w:t>
      </w:r>
    </w:p>
    <w:p>
      <w:pPr>
        <w:pStyle w:val="14"/>
        <w:spacing w:line="360" w:lineRule="auto"/>
        <w:ind w:firstLine="424" w:firstLineChars="236"/>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color w:val="auto"/>
          <w:sz w:val="18"/>
          <w:szCs w:val="18"/>
        </w:rPr>
      </w:pPr>
      <w:r>
        <w:rPr>
          <w:rFonts w:hint="eastAsia" w:hAnsi="宋体"/>
          <w:b/>
          <w:color w:val="auto"/>
          <w:sz w:val="18"/>
          <w:szCs w:val="18"/>
        </w:rPr>
        <w:t>（五）估值程序</w:t>
      </w:r>
    </w:p>
    <w:p>
      <w:pPr>
        <w:pStyle w:val="14"/>
        <w:spacing w:line="360" w:lineRule="auto"/>
        <w:ind w:firstLine="360" w:firstLineChars="200"/>
        <w:rPr>
          <w:rFonts w:asciiTheme="majorEastAsia" w:hAnsiTheme="majorEastAsia" w:eastAsiaTheme="majorEastAsia"/>
          <w:bCs/>
          <w:color w:val="auto"/>
          <w:sz w:val="18"/>
          <w:szCs w:val="18"/>
        </w:rPr>
      </w:pPr>
      <w:r>
        <w:rPr>
          <w:rFonts w:hAnsi="宋体"/>
          <w:color w:val="auto"/>
          <w:sz w:val="18"/>
          <w:szCs w:val="18"/>
        </w:rPr>
        <w:t>1.</w:t>
      </w:r>
      <w:r>
        <w:rPr>
          <w:rFonts w:hint="eastAsia" w:hAnsi="宋体"/>
          <w:color w:val="auto"/>
          <w:sz w:val="18"/>
          <w:szCs w:val="18"/>
        </w:rPr>
        <w:t>产品份额净值是按照估值日产品资产净值除以当日产品总份额计算，</w:t>
      </w:r>
      <w:r>
        <w:rPr>
          <w:rFonts w:hAnsi="宋体"/>
          <w:bCs/>
          <w:color w:val="auto"/>
          <w:sz w:val="18"/>
          <w:szCs w:val="18"/>
        </w:rPr>
        <w:t>四舍五入保留5位小数</w:t>
      </w:r>
      <w:r>
        <w:rPr>
          <w:rFonts w:hint="eastAsia" w:hAnsi="宋体"/>
          <w:color w:val="auto"/>
          <w:sz w:val="18"/>
          <w:szCs w:val="18"/>
        </w:rPr>
        <w:t>。国家另有规定的，从其规定。</w:t>
      </w:r>
    </w:p>
    <w:p>
      <w:pPr>
        <w:pStyle w:val="14"/>
        <w:spacing w:line="360" w:lineRule="auto"/>
        <w:ind w:firstLine="360" w:firstLineChars="200"/>
        <w:rPr>
          <w:rFonts w:hAnsi="宋体"/>
          <w:color w:val="auto"/>
          <w:sz w:val="18"/>
          <w:szCs w:val="18"/>
        </w:rPr>
      </w:pPr>
      <w:r>
        <w:rPr>
          <w:rFonts w:hint="eastAsia" w:hAnsi="宋体"/>
          <w:color w:val="auto"/>
          <w:sz w:val="18"/>
          <w:szCs w:val="18"/>
        </w:rPr>
        <w:t>2.产品管理人每个工作日计算产品资产净值及产品份额净值，并按“第十二条 信息披露”的约定公告产品份额净值。</w:t>
      </w:r>
    </w:p>
    <w:p>
      <w:pPr>
        <w:pStyle w:val="14"/>
        <w:spacing w:line="360" w:lineRule="auto"/>
        <w:ind w:firstLine="360" w:firstLineChars="200"/>
      </w:pPr>
      <w:r>
        <w:rPr>
          <w:rFonts w:hint="eastAsia" w:hAnsi="宋体"/>
          <w:color w:val="auto"/>
          <w:sz w:val="18"/>
          <w:szCs w:val="18"/>
        </w:rPr>
        <w:t>3.产品管理人对理财资产估值后，将产品份额净值发送产品托管人，经产品托管人复核无误后，由产品管理人按规定对外公布。</w:t>
      </w:r>
      <w:bookmarkEnd w:id="122"/>
      <w:bookmarkEnd w:id="123"/>
      <w:bookmarkEnd w:id="124"/>
      <w:r>
        <w:rPr>
          <w:rFonts w:hint="eastAsia" w:hAnsi="宋体"/>
          <w:color w:val="auto"/>
          <w:sz w:val="18"/>
          <w:szCs w:val="18"/>
        </w:rPr>
        <w:t xml:space="preserve"> </w:t>
      </w:r>
    </w:p>
    <w:p>
      <w:pPr>
        <w:pStyle w:val="2"/>
        <w:spacing w:before="0" w:after="0"/>
        <w:ind w:left="60" w:firstLine="10"/>
        <w:jc w:val="center"/>
        <w:rPr>
          <w:rFonts w:ascii="Times New Roman"/>
          <w:color w:val="auto"/>
          <w:sz w:val="30"/>
        </w:rPr>
      </w:pPr>
      <w:bookmarkStart w:id="125" w:name="_Hlt70481650"/>
      <w:bookmarkEnd w:id="125"/>
      <w:bookmarkStart w:id="126" w:name="_Toc26207"/>
      <w:bookmarkStart w:id="127" w:name="_Toc76720593"/>
      <w:bookmarkStart w:id="128" w:name="_Toc29251"/>
      <w:bookmarkStart w:id="129" w:name="_Toc31653"/>
      <w:bookmarkStart w:id="130" w:name="_Toc123112235"/>
      <w:bookmarkStart w:id="131" w:name="_Toc139991737"/>
      <w:bookmarkStart w:id="132" w:name="_Toc74065744"/>
      <w:bookmarkStart w:id="133" w:name="_Toc15143"/>
      <w:bookmarkStart w:id="134" w:name="_Toc98560353"/>
      <w:bookmarkStart w:id="135" w:name="_Toc6405"/>
      <w:bookmarkStart w:id="136" w:name="_Toc31644"/>
      <w:bookmarkStart w:id="137" w:name="_Toc31235"/>
      <w:bookmarkStart w:id="138" w:name="_Toc3601"/>
      <w:bookmarkStart w:id="139" w:name="_Toc141703887"/>
      <w:bookmarkStart w:id="140" w:name="_Toc75770038"/>
      <w:bookmarkStart w:id="141" w:name="_Toc12245"/>
      <w:bookmarkStart w:id="142" w:name="_Toc123102454"/>
      <w:bookmarkStart w:id="143" w:name="_Toc123051453"/>
      <w:bookmarkStart w:id="144" w:name="_Toc14835"/>
      <w:r>
        <w:rPr>
          <w:rFonts w:ascii="Times New Roman"/>
          <w:color w:val="auto"/>
          <w:sz w:val="30"/>
        </w:rPr>
        <w:t>第</w:t>
      </w:r>
      <w:r>
        <w:rPr>
          <w:rFonts w:hint="eastAsia" w:ascii="Times New Roman"/>
          <w:color w:val="auto"/>
          <w:sz w:val="30"/>
        </w:rPr>
        <w:t>九条</w:t>
      </w:r>
      <w:r>
        <w:rPr>
          <w:rFonts w:ascii="Times New Roman"/>
          <w:color w:val="auto"/>
          <w:sz w:val="30"/>
        </w:rPr>
        <w:t xml:space="preserve">  </w:t>
      </w:r>
      <w:r>
        <w:rPr>
          <w:rFonts w:hint="eastAsia" w:ascii="Times New Roman"/>
          <w:color w:val="auto"/>
          <w:sz w:val="30"/>
        </w:rPr>
        <w:t>理财产品的利益分配</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Start w:id="145" w:name="_Hlt55355235"/>
      <w:bookmarkEnd w:id="145"/>
      <w:bookmarkStart w:id="146" w:name="_Toc15118234"/>
      <w:bookmarkStart w:id="147" w:name="_Toc523711668"/>
      <w:bookmarkStart w:id="148" w:name="_Toc57530239"/>
      <w:bookmarkStart w:id="149" w:name="_Toc79392580"/>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0" w:firstLineChars="200"/>
        <w:rPr>
          <w:rFonts w:hAnsi="宋体"/>
          <w:color w:val="auto"/>
          <w:sz w:val="18"/>
          <w:szCs w:val="18"/>
        </w:rPr>
      </w:pPr>
      <w:r>
        <w:rPr>
          <w:rFonts w:hint="eastAsia" w:hAnsi="宋体"/>
          <w:color w:val="auto"/>
          <w:sz w:val="18"/>
          <w:szCs w:val="18"/>
        </w:rPr>
        <w:t>3. 依据分配的资产性质，理财利益的分配可分为“收益分配”与“本金分配”。</w:t>
      </w:r>
    </w:p>
    <w:p>
      <w:pPr>
        <w:pStyle w:val="14"/>
        <w:spacing w:line="360" w:lineRule="auto"/>
        <w:ind w:firstLine="360" w:firstLineChars="200"/>
        <w:rPr>
          <w:rFonts w:hAnsi="宋体"/>
          <w:color w:val="auto"/>
          <w:sz w:val="18"/>
          <w:szCs w:val="18"/>
        </w:rPr>
      </w:pPr>
      <w:r>
        <w:rPr>
          <w:rFonts w:hint="eastAsia" w:hAnsi="宋体"/>
          <w:color w:val="auto"/>
          <w:sz w:val="18"/>
          <w:szCs w:val="18"/>
        </w:rPr>
        <w:t>4. 依据分配的动因，即是因为投资者赎回而产生还是管理人主动分配而产生，理财利益的分配可分为“投资者赎回分配”与“管理人主动分配”。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0" w:firstLineChars="199"/>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58" w:firstLineChars="199"/>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58" w:firstLineChars="199"/>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58" w:firstLineChars="199"/>
        <w:rPr>
          <w:rFonts w:asciiTheme="majorEastAsia" w:hAnsiTheme="majorEastAsia" w:eastAsiaTheme="majorEastAsia"/>
          <w:color w:val="auto"/>
          <w:sz w:val="18"/>
          <w:szCs w:val="18"/>
        </w:rPr>
      </w:pPr>
      <w:r>
        <w:rPr>
          <w:rFonts w:hint="eastAsia" w:hAnsi="宋体"/>
          <w:color w:val="auto"/>
          <w:sz w:val="18"/>
          <w:szCs w:val="18"/>
        </w:rPr>
        <w:t>（3）本产品的分配资产性质包括“收益分配”和“本金分配”</w:t>
      </w:r>
      <w:r>
        <w:rPr>
          <w:rFonts w:hint="eastAsia" w:asciiTheme="majorEastAsia" w:hAnsiTheme="majorEastAsia" w:eastAsiaTheme="majorEastAsia"/>
          <w:color w:val="auto"/>
          <w:sz w:val="18"/>
          <w:szCs w:val="18"/>
        </w:rPr>
        <w:t>。</w:t>
      </w:r>
    </w:p>
    <w:p>
      <w:pPr>
        <w:pStyle w:val="14"/>
        <w:spacing w:line="360" w:lineRule="auto"/>
        <w:ind w:firstLine="358" w:firstLineChars="199"/>
        <w:rPr>
          <w:rFonts w:hAnsi="宋体"/>
          <w:color w:val="auto"/>
          <w:sz w:val="18"/>
          <w:szCs w:val="18"/>
        </w:rPr>
      </w:pP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4</w:t>
      </w:r>
      <w:r>
        <w:rPr>
          <w:rFonts w:hint="eastAsia" w:hAnsi="宋体"/>
          <w:color w:val="auto"/>
          <w:sz w:val="18"/>
          <w:szCs w:val="18"/>
        </w:rPr>
        <w:t>）本产品的分配的动因采取“管理人主动分配”。</w:t>
      </w:r>
    </w:p>
    <w:p>
      <w:pPr>
        <w:pStyle w:val="14"/>
        <w:spacing w:line="360" w:lineRule="auto"/>
        <w:ind w:firstLine="358" w:firstLineChars="199"/>
        <w:rPr>
          <w:rFonts w:hint="eastAsia"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58" w:firstLineChars="199"/>
        <w:rPr>
          <w:rFonts w:hint="eastAsia" w:hAnsi="宋体"/>
          <w:color w:val="auto"/>
          <w:sz w:val="18"/>
          <w:szCs w:val="18"/>
        </w:rPr>
      </w:pPr>
      <w:r>
        <w:rPr>
          <w:rFonts w:hint="eastAsia" w:hAnsi="宋体"/>
          <w:color w:val="auto"/>
          <w:sz w:val="18"/>
          <w:szCs w:val="18"/>
        </w:rPr>
        <w:t>3.自产品成立日后第六个月末，产品管理人有权进行首次理财利益的分配，其后每隔三个月产品管理人有权进行理财利益的分配。若分配基准日投资收益实际表现所折算的年化收益率超过【3.60】%（不含），则产品管理人有权视理财产品收益情况，在分配日主动先行向投资者分配相关收益，分配收益所折算的年化收益率不超过【3.60】%，且分配后产品份额净值不低于【1.02】，分配后有剩余收益的，仍留存在理财产品中。相应分配基准日、分配方案由管理人及时披露。</w:t>
      </w:r>
    </w:p>
    <w:p>
      <w:pPr>
        <w:spacing w:line="360" w:lineRule="auto"/>
        <w:ind w:firstLine="360" w:firstLineChars="199"/>
        <w:rPr>
          <w:rFonts w:ascii="宋体" w:hAnsi="宋体"/>
          <w:b/>
          <w:sz w:val="18"/>
          <w:szCs w:val="18"/>
        </w:rPr>
      </w:pPr>
      <w:r>
        <w:rPr>
          <w:rFonts w:hint="eastAsia" w:ascii="宋体" w:hAnsi="宋体"/>
          <w:b/>
          <w:kern w:val="0"/>
          <w:sz w:val="18"/>
          <w:szCs w:val="18"/>
        </w:rPr>
        <w:t>（四）理财利益的兑付</w:t>
      </w:r>
    </w:p>
    <w:p>
      <w:pPr>
        <w:pStyle w:val="14"/>
        <w:spacing w:line="360" w:lineRule="auto"/>
        <w:ind w:firstLine="358" w:firstLineChars="199"/>
        <w:rPr>
          <w:rFonts w:hAnsi="宋体"/>
          <w:color w:val="auto"/>
          <w:sz w:val="18"/>
          <w:szCs w:val="18"/>
        </w:rPr>
      </w:pPr>
      <w:r>
        <w:rPr>
          <w:rFonts w:hint="eastAsia" w:hAnsi="宋体"/>
          <w:color w:val="auto"/>
          <w:sz w:val="18"/>
          <w:szCs w:val="18"/>
        </w:rPr>
        <w:t>1.</w:t>
      </w:r>
      <w:r>
        <w:rPr>
          <w:rFonts w:asciiTheme="majorEastAsia" w:hAnsiTheme="majorEastAsia" w:eastAsiaTheme="majorEastAsia"/>
          <w:color w:val="auto"/>
          <w:sz w:val="18"/>
          <w:szCs w:val="18"/>
        </w:rPr>
        <w:t>理财</w:t>
      </w:r>
      <w:r>
        <w:rPr>
          <w:rFonts w:hint="eastAsia" w:hAnsi="宋体"/>
          <w:sz w:val="18"/>
          <w:szCs w:val="18"/>
        </w:rPr>
        <w:t>利益</w:t>
      </w:r>
      <w:r>
        <w:rPr>
          <w:rFonts w:hint="eastAsia" w:asciiTheme="majorEastAsia" w:hAnsiTheme="majorEastAsia" w:eastAsiaTheme="majorEastAsia"/>
          <w:color w:val="auto"/>
          <w:sz w:val="18"/>
          <w:szCs w:val="18"/>
        </w:rPr>
        <w:t>的</w:t>
      </w:r>
      <w:r>
        <w:rPr>
          <w:rFonts w:asciiTheme="majorEastAsia" w:hAnsiTheme="majorEastAsia" w:eastAsiaTheme="majorEastAsia"/>
          <w:color w:val="auto"/>
          <w:sz w:val="18"/>
          <w:szCs w:val="18"/>
        </w:rPr>
        <w:t>兑付</w:t>
      </w:r>
      <w:r>
        <w:rPr>
          <w:rFonts w:hint="eastAsia" w:asciiTheme="majorEastAsia" w:hAnsiTheme="majorEastAsia" w:eastAsiaTheme="majorEastAsia"/>
          <w:color w:val="auto"/>
          <w:sz w:val="18"/>
          <w:szCs w:val="18"/>
        </w:rPr>
        <w:t>，</w:t>
      </w:r>
      <w:r>
        <w:rPr>
          <w:rFonts w:hAnsi="宋体"/>
          <w:color w:val="auto"/>
          <w:sz w:val="18"/>
          <w:szCs w:val="18"/>
        </w:rPr>
        <w:t>原则上产品管理人应于</w:t>
      </w:r>
      <w:r>
        <w:rPr>
          <w:rFonts w:hint="eastAsia" w:hAnsi="宋体"/>
          <w:color w:val="auto"/>
          <w:sz w:val="18"/>
          <w:szCs w:val="18"/>
        </w:rPr>
        <w:t>产品终止日后</w:t>
      </w:r>
      <w:r>
        <w:rPr>
          <w:rFonts w:hAnsi="宋体"/>
          <w:color w:val="auto"/>
          <w:sz w:val="18"/>
          <w:szCs w:val="18"/>
        </w:rPr>
        <w:t>【5】</w:t>
      </w:r>
      <w:r>
        <w:rPr>
          <w:rFonts w:hint="eastAsia" w:hAnsi="宋体"/>
          <w:color w:val="auto"/>
          <w:sz w:val="18"/>
          <w:szCs w:val="18"/>
        </w:rPr>
        <w:t>个工作日内兑付理财</w:t>
      </w:r>
      <w:r>
        <w:rPr>
          <w:rFonts w:hAnsi="宋体"/>
          <w:color w:val="auto"/>
          <w:sz w:val="18"/>
          <w:szCs w:val="18"/>
        </w:rPr>
        <w:t>收益</w:t>
      </w:r>
      <w:r>
        <w:rPr>
          <w:rFonts w:hint="eastAsia" w:hAnsi="宋体"/>
          <w:color w:val="auto"/>
          <w:sz w:val="18"/>
          <w:szCs w:val="18"/>
        </w:rPr>
        <w:t>（如有）。</w:t>
      </w:r>
    </w:p>
    <w:p>
      <w:pPr>
        <w:pStyle w:val="14"/>
        <w:spacing w:line="360" w:lineRule="auto"/>
        <w:ind w:firstLine="358" w:firstLineChars="199"/>
        <w:rPr>
          <w:rFonts w:hAnsi="宋体"/>
          <w:color w:val="auto"/>
          <w:sz w:val="18"/>
          <w:szCs w:val="18"/>
        </w:rPr>
      </w:pPr>
      <w:r>
        <w:rPr>
          <w:rFonts w:hint="eastAsia" w:hAnsi="宋体"/>
          <w:color w:val="auto"/>
          <w:sz w:val="18"/>
          <w:szCs w:val="18"/>
        </w:rPr>
        <w:t>2.</w:t>
      </w:r>
      <w:r>
        <w:rPr>
          <w:rFonts w:hAnsi="宋体"/>
          <w:color w:val="auto"/>
          <w:sz w:val="18"/>
          <w:szCs w:val="18"/>
        </w:rPr>
        <w:t xml:space="preserve">如发生需要延后兑付的特殊情况，产品管理人将对延后兑付的情况进行公告。 </w:t>
      </w:r>
    </w:p>
    <w:p>
      <w:pPr>
        <w:autoSpaceDE w:val="0"/>
        <w:autoSpaceDN w:val="0"/>
        <w:adjustRightInd w:val="0"/>
        <w:ind w:firstLine="358" w:firstLineChars="199"/>
        <w:jc w:val="left"/>
        <w:rPr>
          <w:rFonts w:ascii="宋体" w:hAnsi="宋体"/>
          <w:bCs/>
          <w:sz w:val="18"/>
          <w:szCs w:val="18"/>
        </w:rPr>
      </w:pPr>
      <w:r>
        <w:rPr>
          <w:rFonts w:hint="eastAsia" w:ascii="宋体" w:hAnsi="宋体"/>
          <w:bCs/>
          <w:sz w:val="18"/>
          <w:szCs w:val="18"/>
        </w:rPr>
        <w:t>3.因资金清算时间存在差异，通过不同渠道购买本理财产品的投资者的理财利益实际到账时间可能长于上述时限，具体以各销售服务机构政策为准。</w:t>
      </w:r>
    </w:p>
    <w:p>
      <w:pPr>
        <w:pStyle w:val="14"/>
        <w:spacing w:line="360" w:lineRule="auto"/>
        <w:ind w:firstLine="360" w:firstLineChars="200"/>
        <w:rPr>
          <w:rFonts w:hAnsi="宋体"/>
          <w:color w:val="auto"/>
          <w:sz w:val="18"/>
          <w:szCs w:val="18"/>
        </w:rPr>
      </w:pPr>
    </w:p>
    <w:p>
      <w:pPr>
        <w:widowControl/>
        <w:spacing w:line="360" w:lineRule="auto"/>
        <w:jc w:val="center"/>
        <w:rPr>
          <w:rFonts w:ascii="宋体" w:hAnsi="宋体"/>
          <w:kern w:val="0"/>
          <w:sz w:val="18"/>
          <w:szCs w:val="18"/>
        </w:rPr>
      </w:pPr>
      <w:r>
        <w:rPr>
          <w:rFonts w:hAnsi="宋体"/>
          <w:sz w:val="18"/>
          <w:szCs w:val="18"/>
        </w:rPr>
        <w:br w:type="page"/>
      </w:r>
      <w:bookmarkEnd w:id="146"/>
      <w:bookmarkEnd w:id="147"/>
      <w:bookmarkEnd w:id="148"/>
      <w:bookmarkEnd w:id="149"/>
      <w:bookmarkStart w:id="150" w:name="_Hlt88825574"/>
      <w:bookmarkEnd w:id="150"/>
      <w:bookmarkStart w:id="151" w:name="_Hlt88897298"/>
      <w:bookmarkEnd w:id="151"/>
      <w:bookmarkStart w:id="152" w:name="_Toc11030"/>
      <w:bookmarkStart w:id="153" w:name="_Toc4559"/>
      <w:bookmarkStart w:id="154" w:name="_Toc123051454"/>
      <w:bookmarkStart w:id="155" w:name="_Toc7058"/>
      <w:bookmarkStart w:id="156" w:name="_Toc98560354"/>
      <w:bookmarkStart w:id="157" w:name="_Toc139991738"/>
      <w:bookmarkStart w:id="158" w:name="_Toc10650"/>
      <w:bookmarkStart w:id="159" w:name="_Toc74065745"/>
      <w:bookmarkStart w:id="160" w:name="_Toc75770039"/>
      <w:bookmarkStart w:id="161" w:name="_Toc3771"/>
      <w:bookmarkStart w:id="162" w:name="_Toc76720594"/>
      <w:bookmarkStart w:id="163" w:name="_Toc141703888"/>
      <w:bookmarkStart w:id="164" w:name="_Toc9706"/>
      <w:bookmarkStart w:id="165" w:name="_Toc18567"/>
      <w:bookmarkStart w:id="166" w:name="_Toc6447"/>
      <w:bookmarkStart w:id="167" w:name="_Toc3321"/>
      <w:bookmarkStart w:id="168" w:name="_Toc25783"/>
      <w:bookmarkStart w:id="169" w:name="_Toc79392583"/>
      <w:bookmarkStart w:id="170" w:name="_Toc123112236"/>
      <w:bookmarkStart w:id="171" w:name="_Toc123102455"/>
      <w:r>
        <w:rPr>
          <w:sz w:val="30"/>
        </w:rPr>
        <w:t>第</w:t>
      </w:r>
      <w:r>
        <w:rPr>
          <w:rFonts w:hint="eastAsia"/>
          <w:sz w:val="30"/>
        </w:rPr>
        <w:t>十条</w:t>
      </w:r>
      <w:r>
        <w:rPr>
          <w:sz w:val="30"/>
        </w:rPr>
        <w:t xml:space="preserve">  </w:t>
      </w:r>
      <w:r>
        <w:rPr>
          <w:rFonts w:hint="eastAsia"/>
          <w:sz w:val="30"/>
        </w:rPr>
        <w:t>理财产品的费用与税收</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宋体" w:hAnsi="宋体"/>
          <w:kern w:val="0"/>
          <w:sz w:val="18"/>
          <w:szCs w:val="18"/>
        </w:rPr>
        <w:t>认购费在投资者认购产品时收取</w:t>
      </w:r>
      <w:r>
        <w:rPr>
          <w:rFonts w:hint="eastAsia" w:ascii="宋体" w:hAnsi="宋体"/>
          <w:kern w:val="0"/>
          <w:sz w:val="18"/>
          <w:szCs w:val="18"/>
        </w:rPr>
        <w:t>，</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具体数值以《产品说明书》为准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本产品的销售服务费按前一日理财资产净值的销售服务费年费率计提。销售服务费的计算方法如下：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color w:val="auto"/>
          <w:kern w:val="2"/>
          <w:sz w:val="18"/>
          <w:szCs w:val="18"/>
        </w:rPr>
        <w:t>书》为准。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本产品的投资管理费每日</w:t>
      </w:r>
      <w:r>
        <w:rPr>
          <w:rFonts w:ascii="宋体" w:hAnsi="宋体"/>
          <w:kern w:val="0"/>
          <w:sz w:val="18"/>
          <w:szCs w:val="18"/>
        </w:rPr>
        <w:t>计提，</w:t>
      </w:r>
      <w:r>
        <w:rPr>
          <w:rFonts w:hint="eastAsia" w:ascii="宋体" w:hAnsi="宋体"/>
          <w:kern w:val="0"/>
          <w:sz w:val="18"/>
          <w:szCs w:val="18"/>
        </w:rPr>
        <w:t>按前一日理财资产净值的投资管理费</w:t>
      </w:r>
      <w:r>
        <w:rPr>
          <w:rFonts w:ascii="宋体" w:hAnsi="宋体"/>
          <w:kern w:val="0"/>
          <w:sz w:val="18"/>
          <w:szCs w:val="18"/>
        </w:rPr>
        <w:t>年费率计提。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每份产品份额在产品终止时，若理财资产扣除销售服务费、产品托管费和投资管理费等相关费用后，产品终止日产品份额净值折算的年化收益率超过当期业绩</w:t>
      </w:r>
      <w:r>
        <w:rPr>
          <w:rFonts w:asciiTheme="majorEastAsia" w:hAnsiTheme="majorEastAsia" w:eastAsiaTheme="majorEastAsia"/>
          <w:sz w:val="18"/>
          <w:szCs w:val="18"/>
        </w:rPr>
        <w:t>比较基准</w:t>
      </w:r>
      <w:r>
        <w:rPr>
          <w:rFonts w:hint="eastAsia" w:asciiTheme="majorEastAsia" w:hAnsiTheme="majorEastAsia" w:eastAsiaTheme="majorEastAsia"/>
          <w:sz w:val="18"/>
          <w:szCs w:val="18"/>
        </w:rPr>
        <w:t>，则产品管理人收取超出部分的一定比例作为超额业绩报酬。由此造成产品终止日产品份额净值调整的，以调整后的产品份额净值为准进行利益分配和兑付。</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超额业绩报酬依照上述约定，从理财财产中支付。超额业绩报酬的具体比例数值以《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书》为准。</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本产品的产品托管费按前一日理财资产净值的产品托管费</w:t>
      </w:r>
      <w:r>
        <w:rPr>
          <w:rFonts w:ascii="宋体" w:hAnsi="宋体"/>
          <w:kern w:val="0"/>
          <w:sz w:val="18"/>
          <w:szCs w:val="18"/>
        </w:rPr>
        <w:t>年费率计提。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bookmarkStart w:id="172" w:name="_Toc3963"/>
      <w:bookmarkStart w:id="173" w:name="_Toc1745"/>
    </w:p>
    <w:p>
      <w:pPr>
        <w:widowControl/>
        <w:spacing w:line="360" w:lineRule="auto"/>
        <w:ind w:firstLine="420" w:firstLineChars="200"/>
        <w:jc w:val="center"/>
      </w:pPr>
      <w:r>
        <w:br w:type="page"/>
      </w:r>
      <w:bookmarkStart w:id="174" w:name="_Toc123112237"/>
      <w:bookmarkStart w:id="175" w:name="_Toc18206"/>
      <w:bookmarkStart w:id="176" w:name="_Toc3572"/>
      <w:bookmarkStart w:id="177" w:name="_Toc725"/>
      <w:bookmarkStart w:id="178" w:name="_Toc139991739"/>
      <w:bookmarkStart w:id="179" w:name="_Toc141703889"/>
      <w:bookmarkStart w:id="180" w:name="_Toc123102456"/>
      <w:bookmarkStart w:id="181" w:name="_Toc98560355"/>
      <w:bookmarkStart w:id="182" w:name="_Toc21735"/>
      <w:bookmarkStart w:id="183" w:name="_Toc76720595"/>
      <w:bookmarkStart w:id="184" w:name="_Toc74065746"/>
      <w:bookmarkStart w:id="185" w:name="_Toc123051455"/>
      <w:bookmarkStart w:id="186" w:name="_Toc31821"/>
      <w:bookmarkStart w:id="187" w:name="_Toc3080"/>
      <w:bookmarkStart w:id="188" w:name="_Toc10398"/>
      <w:bookmarkStart w:id="189" w:name="_Toc75770040"/>
      <w:bookmarkStart w:id="190" w:name="_Toc16164"/>
      <w:r>
        <w:rPr>
          <w:rFonts w:hint="eastAsia"/>
          <w:sz w:val="30"/>
        </w:rPr>
        <w:t>第十一条</w:t>
      </w:r>
      <w:r>
        <w:rPr>
          <w:sz w:val="30"/>
        </w:rPr>
        <w:t xml:space="preserve">  </w:t>
      </w:r>
      <w:r>
        <w:rPr>
          <w:rFonts w:hint="eastAsia"/>
          <w:sz w:val="30"/>
        </w:rPr>
        <w:t>理财产品的终止与清算</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360" w:lineRule="auto"/>
        <w:ind w:firstLine="361" w:firstLineChars="200"/>
        <w:rPr>
          <w:rFonts w:asciiTheme="majorEastAsia" w:hAnsiTheme="majorEastAsia" w:eastAsiaTheme="majorEastAsia"/>
          <w:b/>
          <w:bCs/>
          <w:sz w:val="18"/>
          <w:szCs w:val="18"/>
        </w:rPr>
      </w:pPr>
      <w:bookmarkStart w:id="191" w:name="_Toc15118245"/>
      <w:bookmarkStart w:id="192" w:name="_Toc57530252"/>
      <w:bookmarkStart w:id="193"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在理财产品终止日，投资者无权要求延长该理财产品期限。在理财产品终止时，当出现以下情况，产品管理人有权延长本理财产品的期限：</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因不可抗力等原因，导致产品管理人无法兑付；</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产品管理人决定延期终止的，应依据约定进行公告。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自本理财产品终止日至投资者理财本金及收益到账日之间为本理财产品的清算期。清算期不计算利息或投资收益。清算期原则上不得超过【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w:t>
      </w:r>
      <w:r>
        <w:rPr>
          <w:rFonts w:asciiTheme="minorEastAsia" w:hAnsiTheme="minorEastAsia"/>
          <w:sz w:val="18"/>
        </w:rPr>
        <w:t xml:space="preserve"> 将依约</w:t>
      </w:r>
      <w:r>
        <w:rPr>
          <w:rFonts w:hint="eastAsia" w:asciiTheme="minorEastAsia" w:hAnsiTheme="minorEastAsia"/>
          <w:sz w:val="18"/>
        </w:rPr>
        <w:t>定进行公告</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ascii="宋体" w:hAnsi="宋体"/>
          <w:bCs/>
          <w:sz w:val="18"/>
          <w:szCs w:val="18"/>
        </w:rPr>
        <w:t>.</w:t>
      </w:r>
      <w:r>
        <w:rPr>
          <w:rFonts w:hint="eastAsia" w:asciiTheme="majorEastAsia" w:hAnsiTheme="majorEastAsia" w:eastAsiaTheme="majorEastAsia"/>
          <w:bCs/>
          <w:sz w:val="18"/>
          <w:szCs w:val="18"/>
        </w:rPr>
        <w:t>理财产品部分或全部提前终止的，</w:t>
      </w:r>
      <w:r>
        <w:rPr>
          <w:rFonts w:hint="eastAsia" w:ascii="宋体" w:hAnsi="宋体"/>
          <w:bCs/>
          <w:sz w:val="18"/>
          <w:szCs w:val="18"/>
        </w:rPr>
        <w:t>则理财产品将按比例（已变现本金</w:t>
      </w:r>
      <w:r>
        <w:rPr>
          <w:rFonts w:ascii="宋体" w:hAnsi="宋体"/>
          <w:bCs/>
          <w:sz w:val="18"/>
          <w:szCs w:val="18"/>
        </w:rPr>
        <w:t>/理财初始本金）兑付</w:t>
      </w:r>
      <w:r>
        <w:rPr>
          <w:rFonts w:hint="eastAsia" w:ascii="宋体" w:hAnsi="宋体"/>
          <w:bCs/>
          <w:sz w:val="18"/>
          <w:szCs w:val="18"/>
        </w:rPr>
        <w:t>投资者，同时根据产品</w:t>
      </w:r>
      <w:r>
        <w:rPr>
          <w:rFonts w:ascii="宋体" w:hAnsi="宋体"/>
          <w:bCs/>
          <w:sz w:val="18"/>
          <w:szCs w:val="18"/>
        </w:rPr>
        <w:t>最新</w:t>
      </w:r>
      <w:r>
        <w:rPr>
          <w:rFonts w:hint="eastAsia" w:ascii="宋体" w:hAnsi="宋体"/>
          <w:bCs/>
          <w:sz w:val="18"/>
          <w:szCs w:val="18"/>
        </w:rPr>
        <w:t>的</w:t>
      </w:r>
      <w:r>
        <w:rPr>
          <w:rFonts w:ascii="宋体" w:hAnsi="宋体"/>
          <w:bCs/>
          <w:sz w:val="18"/>
          <w:szCs w:val="18"/>
        </w:rPr>
        <w:t>理财产品</w:t>
      </w:r>
      <w:r>
        <w:rPr>
          <w:rFonts w:hint="eastAsia" w:ascii="宋体" w:hAnsi="宋体"/>
          <w:bCs/>
          <w:sz w:val="18"/>
          <w:szCs w:val="18"/>
        </w:rPr>
        <w:t>份额</w:t>
      </w:r>
      <w:r>
        <w:rPr>
          <w:rFonts w:ascii="宋体" w:hAnsi="宋体"/>
          <w:bCs/>
          <w:sz w:val="18"/>
          <w:szCs w:val="18"/>
        </w:rPr>
        <w:t>净值和份额</w:t>
      </w:r>
      <w:r>
        <w:rPr>
          <w:rFonts w:hint="eastAsia" w:ascii="宋体" w:hAnsi="宋体"/>
          <w:bCs/>
          <w:sz w:val="18"/>
          <w:szCs w:val="18"/>
        </w:rPr>
        <w:t>计算并支付投资者相应的理财</w:t>
      </w:r>
      <w:r>
        <w:rPr>
          <w:rFonts w:ascii="宋体" w:hAnsi="宋体"/>
          <w:bCs/>
          <w:sz w:val="18"/>
          <w:szCs w:val="18"/>
        </w:rPr>
        <w:t>资金</w:t>
      </w:r>
      <w:r>
        <w:rPr>
          <w:rFonts w:hint="eastAsia" w:ascii="宋体" w:hAnsi="宋体"/>
          <w:bCs/>
          <w:sz w:val="18"/>
          <w:szCs w:val="18"/>
        </w:rPr>
        <w:t>，投资者所持有的理财份额则按比例注销。</w:t>
      </w:r>
      <w:r>
        <w:rPr>
          <w:rFonts w:hint="eastAsia" w:asciiTheme="majorEastAsia" w:hAnsiTheme="majorEastAsia" w:eastAsiaTheme="majorEastAsia"/>
          <w:bCs/>
          <w:sz w:val="18"/>
          <w:szCs w:val="18"/>
        </w:rPr>
        <w:t>理财产品延期终止的，理财产品将按比例（已变现本金/理财初始本金）兑付投资者。</w:t>
      </w:r>
    </w:p>
    <w:p>
      <w:pPr>
        <w:spacing w:line="360" w:lineRule="auto"/>
        <w:ind w:firstLine="360" w:firstLineChars="200"/>
        <w:rPr>
          <w:bCs/>
          <w:sz w:val="24"/>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产品管理人将依照协议约定公布提前终止日并指定兑付日（一般为提前终止日之后的三个工作日以内）。产品管理人应将投资者理财资金于指定的</w:t>
      </w:r>
      <w:r>
        <w:rPr>
          <w:rFonts w:asciiTheme="majorEastAsia" w:hAnsiTheme="majorEastAsia" w:eastAsiaTheme="majorEastAsia"/>
          <w:bCs/>
          <w:sz w:val="18"/>
          <w:szCs w:val="18"/>
        </w:rPr>
        <w:t>兑付日</w:t>
      </w:r>
      <w:r>
        <w:rPr>
          <w:rFonts w:hint="eastAsia" w:asciiTheme="majorEastAsia" w:hAnsiTheme="majorEastAsia" w:eastAsiaTheme="majorEastAsia"/>
          <w:bCs/>
          <w:sz w:val="18"/>
          <w:szCs w:val="18"/>
        </w:rPr>
        <w:t>（遇节假日顺延）内划转至投资者指定账户。理财产品提前终止日（含当日）至实际</w:t>
      </w:r>
      <w:r>
        <w:rPr>
          <w:rFonts w:asciiTheme="majorEastAsia" w:hAnsiTheme="majorEastAsia" w:eastAsiaTheme="majorEastAsia"/>
          <w:bCs/>
          <w:sz w:val="18"/>
          <w:szCs w:val="18"/>
        </w:rPr>
        <w:t>兑付</w:t>
      </w:r>
      <w:r>
        <w:rPr>
          <w:rFonts w:hint="eastAsia" w:asciiTheme="majorEastAsia" w:hAnsiTheme="majorEastAsia" w:eastAsiaTheme="majorEastAsia"/>
          <w:bCs/>
          <w:sz w:val="18"/>
          <w:szCs w:val="18"/>
        </w:rPr>
        <w:t>日之间，投资者资金不计息。</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在理财产品到期日（包括提前到期）存在未变现的理财资产，产品管理人应在其全部清算变现后以现金的形式兑付至投资者账户，理财产品期限相应顺延至理财产品全部变现之日。延长期内，理财产品各项费率保持不变。</w:t>
      </w:r>
    </w:p>
    <w:p>
      <w:pPr>
        <w:spacing w:line="280" w:lineRule="atLeast"/>
        <w:ind w:firstLine="360" w:firstLineChars="200"/>
        <w:rPr>
          <w:rFonts w:eastAsiaTheme="majorEastAsia"/>
          <w:bCs/>
          <w:kern w:val="22"/>
          <w:sz w:val="18"/>
          <w:szCs w:val="18"/>
        </w:rPr>
      </w:pPr>
      <w:r>
        <w:rPr>
          <w:rFonts w:hint="eastAsia" w:asciiTheme="majorEastAsia" w:hAnsiTheme="majorEastAsia" w:eastAsiaTheme="majorEastAsia"/>
          <w:bCs/>
          <w:sz w:val="18"/>
          <w:szCs w:val="18"/>
        </w:rPr>
        <w:t>5.因资金清算时间</w:t>
      </w:r>
      <w:r>
        <w:rPr>
          <w:rFonts w:hint="eastAsia" w:eastAsiaTheme="majorEastAsia"/>
          <w:bCs/>
          <w:kern w:val="22"/>
          <w:sz w:val="18"/>
          <w:szCs w:val="18"/>
        </w:rPr>
        <w:t>存在差异，通过不同渠道购买本理财产品的投资者的理财利益实际到账时间可能长于上述时限，具体以各销售服务机构政策为准。</w:t>
      </w:r>
      <w:bookmarkEnd w:id="191"/>
      <w:bookmarkEnd w:id="192"/>
      <w:bookmarkEnd w:id="193"/>
      <w:bookmarkStart w:id="194" w:name="_Toc123102457"/>
      <w:bookmarkStart w:id="195" w:name="_Toc74065747"/>
      <w:bookmarkStart w:id="196" w:name="_Toc8791"/>
      <w:bookmarkStart w:id="197" w:name="_Toc139991740"/>
      <w:bookmarkStart w:id="198" w:name="_Toc48649708"/>
      <w:bookmarkStart w:id="199" w:name="_Toc98560356"/>
      <w:bookmarkStart w:id="200" w:name="_Toc141703890"/>
      <w:bookmarkStart w:id="201" w:name="_Toc17920"/>
      <w:bookmarkStart w:id="202" w:name="_Toc75770041"/>
      <w:bookmarkStart w:id="203" w:name="_Toc123051456"/>
      <w:bookmarkStart w:id="204" w:name="_Toc32092"/>
      <w:bookmarkStart w:id="205" w:name="_Toc739"/>
      <w:bookmarkStart w:id="206" w:name="_Toc29408"/>
      <w:bookmarkStart w:id="207" w:name="_Toc79392622"/>
      <w:bookmarkStart w:id="208" w:name="_Toc76720596"/>
      <w:bookmarkStart w:id="209" w:name="_Toc21237"/>
      <w:bookmarkStart w:id="210" w:name="_Toc3329"/>
      <w:bookmarkStart w:id="211" w:name="_Toc5170"/>
      <w:bookmarkStart w:id="212" w:name="_Toc123112238"/>
      <w:bookmarkStart w:id="213" w:name="_Toc17198"/>
      <w:bookmarkStart w:id="214" w:name="_Toc32584"/>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360" w:firstLineChars="200"/>
        <w:rPr>
          <w:rFonts w:eastAsiaTheme="majorEastAsia"/>
          <w:bCs/>
          <w:kern w:val="22"/>
          <w:sz w:val="18"/>
          <w:szCs w:val="18"/>
        </w:rPr>
      </w:pPr>
    </w:p>
    <w:p>
      <w:pPr>
        <w:spacing w:line="280" w:lineRule="atLeast"/>
        <w:ind w:firstLine="600" w:firstLineChars="200"/>
        <w:jc w:val="center"/>
        <w:rPr>
          <w:rFonts w:eastAsiaTheme="majorEastAsia"/>
          <w:bCs/>
          <w:kern w:val="22"/>
          <w:sz w:val="18"/>
          <w:szCs w:val="18"/>
        </w:rPr>
      </w:pPr>
      <w:r>
        <w:rPr>
          <w:sz w:val="30"/>
        </w:rPr>
        <w:t>第十</w:t>
      </w:r>
      <w:r>
        <w:rPr>
          <w:rFonts w:hint="eastAsia"/>
          <w:sz w:val="30"/>
        </w:rPr>
        <w:t>二条</w:t>
      </w:r>
      <w:r>
        <w:rPr>
          <w:sz w:val="30"/>
        </w:rPr>
        <w:t xml:space="preserve">  </w:t>
      </w:r>
      <w:r>
        <w:rPr>
          <w:rFonts w:hint="eastAsia"/>
          <w:sz w:val="30"/>
        </w:rPr>
        <w:t>理财产品的信息披露</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pacing w:line="360" w:lineRule="auto"/>
        <w:ind w:firstLine="361" w:firstLineChars="200"/>
        <w:rPr>
          <w:rFonts w:ascii="宋体" w:hAnsi="宋体"/>
          <w:b/>
          <w:bCs/>
          <w:sz w:val="18"/>
          <w:szCs w:val="18"/>
        </w:rPr>
      </w:pPr>
      <w:r>
        <w:rPr>
          <w:rFonts w:hint="eastAsia" w:ascii="宋体" w:hAnsi="宋体"/>
          <w:b/>
          <w:bCs/>
          <w:sz w:val="18"/>
          <w:szCs w:val="18"/>
        </w:rPr>
        <w:t>（一）信息披露的渠道</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.★产品</w:t>
      </w:r>
      <w:r>
        <w:rPr>
          <w:rFonts w:ascii="黑体" w:hAnsi="黑体" w:eastAsia="黑体"/>
          <w:sz w:val="18"/>
          <w:szCs w:val="18"/>
        </w:rPr>
        <w:t>管理人</w:t>
      </w:r>
      <w:r>
        <w:rPr>
          <w:rFonts w:hint="eastAsia" w:ascii="黑体" w:hAnsi="黑体" w:eastAsia="黑体"/>
          <w:sz w:val="18"/>
          <w:szCs w:val="18"/>
        </w:rPr>
        <w:t>通过</w:t>
      </w:r>
      <w:r>
        <w:rPr>
          <w:rFonts w:hint="eastAsia" w:ascii="黑体" w:hAnsi="黑体" w:eastAsia="黑体"/>
          <w:bCs/>
          <w:sz w:val="18"/>
          <w:szCs w:val="18"/>
        </w:rPr>
        <w:t>兴业银行或销售机构的信息披露渠道</w:t>
      </w:r>
      <w:r>
        <w:rPr>
          <w:rFonts w:ascii="黑体" w:hAnsi="黑体" w:eastAsia="黑体"/>
          <w:sz w:val="18"/>
          <w:szCs w:val="18"/>
        </w:rPr>
        <w:t>发布</w:t>
      </w:r>
      <w:r>
        <w:rPr>
          <w:rFonts w:hint="eastAsia" w:ascii="黑体" w:hAnsi="黑体" w:eastAsia="黑体"/>
          <w:sz w:val="18"/>
          <w:szCs w:val="18"/>
        </w:rPr>
        <w:t>理财产品有关</w:t>
      </w:r>
      <w:r>
        <w:rPr>
          <w:rFonts w:ascii="黑体" w:hAnsi="黑体" w:eastAsia="黑体"/>
          <w:sz w:val="18"/>
          <w:szCs w:val="18"/>
        </w:rPr>
        <w:t>信息，即视为已适当履行其信息披露义务。如</w:t>
      </w:r>
      <w:r>
        <w:rPr>
          <w:rFonts w:hint="eastAsia" w:ascii="黑体" w:hAnsi="黑体" w:eastAsia="黑体"/>
          <w:sz w:val="18"/>
          <w:szCs w:val="18"/>
        </w:rPr>
        <w:t>产品管理人</w:t>
      </w:r>
      <w:r>
        <w:rPr>
          <w:rFonts w:ascii="黑体" w:hAnsi="黑体" w:eastAsia="黑体"/>
          <w:sz w:val="18"/>
          <w:szCs w:val="18"/>
        </w:rPr>
        <w:t>认为需要直接联系</w:t>
      </w:r>
      <w:r>
        <w:rPr>
          <w:rFonts w:hint="eastAsia" w:ascii="黑体" w:hAnsi="黑体" w:eastAsia="黑体"/>
          <w:sz w:val="18"/>
          <w:szCs w:val="18"/>
        </w:rPr>
        <w:t>投资者</w:t>
      </w:r>
      <w:r>
        <w:rPr>
          <w:rFonts w:ascii="黑体" w:hAnsi="黑体" w:eastAsia="黑体"/>
          <w:sz w:val="18"/>
          <w:szCs w:val="18"/>
        </w:rPr>
        <w:t>的，将依据本协议书投资者信息中</w:t>
      </w:r>
      <w:r>
        <w:rPr>
          <w:rFonts w:hint="eastAsia" w:ascii="黑体" w:hAnsi="黑体" w:eastAsia="黑体"/>
          <w:sz w:val="18"/>
          <w:szCs w:val="18"/>
        </w:rPr>
        <w:t>投资者</w:t>
      </w:r>
      <w:r>
        <w:rPr>
          <w:rFonts w:ascii="黑体" w:hAnsi="黑体" w:eastAsia="黑体"/>
          <w:sz w:val="18"/>
          <w:szCs w:val="18"/>
        </w:rPr>
        <w:t>预留的</w:t>
      </w:r>
      <w:r>
        <w:rPr>
          <w:rFonts w:hint="eastAsia" w:ascii="黑体" w:hAnsi="黑体" w:eastAsia="黑体"/>
          <w:sz w:val="18"/>
          <w:szCs w:val="18"/>
        </w:rPr>
        <w:t>信息</w:t>
      </w:r>
      <w:r>
        <w:rPr>
          <w:rFonts w:ascii="黑体" w:hAnsi="黑体" w:eastAsia="黑体"/>
          <w:sz w:val="18"/>
          <w:szCs w:val="18"/>
        </w:rPr>
        <w:t>进行通知。因</w:t>
      </w:r>
      <w:r>
        <w:rPr>
          <w:rFonts w:hint="eastAsia" w:ascii="黑体" w:hAnsi="黑体" w:eastAsia="黑体"/>
          <w:sz w:val="18"/>
          <w:szCs w:val="18"/>
        </w:rPr>
        <w:t>投资者</w:t>
      </w:r>
      <w:r>
        <w:rPr>
          <w:rFonts w:ascii="黑体" w:hAnsi="黑体" w:eastAsia="黑体"/>
          <w:sz w:val="18"/>
          <w:szCs w:val="18"/>
        </w:rPr>
        <w:t>原因而导致该等通知失败的，</w:t>
      </w:r>
      <w:r>
        <w:rPr>
          <w:rFonts w:hint="eastAsia" w:ascii="黑体" w:hAnsi="黑体" w:eastAsia="黑体"/>
          <w:sz w:val="18"/>
          <w:szCs w:val="18"/>
        </w:rPr>
        <w:t>产品管理人</w:t>
      </w:r>
      <w:r>
        <w:rPr>
          <w:rFonts w:ascii="黑体" w:hAnsi="黑体" w:eastAsia="黑体"/>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（三）信息披露的频率和时间</w:t>
      </w:r>
    </w:p>
    <w:p>
      <w:pPr>
        <w:spacing w:line="360" w:lineRule="auto"/>
        <w:ind w:firstLine="360" w:firstLineChars="200"/>
        <w:rPr>
          <w:rFonts w:ascii="宋体" w:hAnsi="宋体"/>
          <w:bCs/>
          <w:sz w:val="18"/>
          <w:szCs w:val="18"/>
        </w:rPr>
      </w:pPr>
      <w:r>
        <w:rPr>
          <w:rFonts w:ascii="宋体" w:hAnsi="宋体"/>
          <w:bCs/>
          <w:sz w:val="18"/>
          <w:szCs w:val="18"/>
        </w:rPr>
        <w:t>1</w:t>
      </w:r>
      <w:r>
        <w:rPr>
          <w:rFonts w:hint="eastAsia" w:ascii="宋体" w:hAnsi="宋体"/>
          <w:bCs/>
          <w:sz w:val="18"/>
          <w:szCs w:val="18"/>
        </w:rPr>
        <w:t>.</w:t>
      </w:r>
      <w:r>
        <w:rPr>
          <w:rFonts w:ascii="宋体" w:hAnsi="宋体"/>
          <w:bCs/>
          <w:sz w:val="18"/>
          <w:szCs w:val="18"/>
        </w:rPr>
        <w:t>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w:t>
      </w:r>
      <w:r>
        <w:rPr>
          <w:rFonts w:ascii="宋体" w:hAnsi="宋体"/>
          <w:bCs/>
          <w:sz w:val="18"/>
          <w:szCs w:val="18"/>
        </w:rPr>
        <w:t>重大事项公告</w:t>
      </w:r>
    </w:p>
    <w:p>
      <w:pPr>
        <w:spacing w:line="360" w:lineRule="auto"/>
        <w:ind w:firstLine="360" w:firstLineChars="200"/>
        <w:rPr>
          <w:rFonts w:ascii="宋体" w:hAnsi="宋体"/>
          <w:bCs/>
          <w:sz w:val="18"/>
          <w:szCs w:val="18"/>
        </w:rPr>
      </w:pPr>
      <w:r>
        <w:rPr>
          <w:rFonts w:hint="eastAsia" w:ascii="宋体" w:hAnsi="宋体"/>
          <w:bCs/>
          <w:sz w:val="18"/>
          <w:szCs w:val="18"/>
        </w:rPr>
        <w:t>（1）在发生可能对理财产品投资者或者理财产品收益产生重大影响的事件后2个工作日内发布重大事项公告</w:t>
      </w:r>
      <w:r>
        <w:rPr>
          <w:rFonts w:ascii="宋体" w:hAnsi="宋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（2）除前述事项外，如出现其他可能对投资者或者理财产品净值产生影响的突发事件，需在事件发生后的10个工作日内进行披露，充分披露突发事件的原因、解决措施以及对投资者收益产生的影响。</w:t>
      </w:r>
    </w:p>
    <w:p>
      <w:pPr>
        <w:spacing w:line="360" w:lineRule="auto"/>
        <w:ind w:firstLine="360" w:firstLineChars="200"/>
        <w:rPr>
          <w:rFonts w:ascii="宋体" w:hAnsi="宋体"/>
          <w:bCs/>
          <w:sz w:val="18"/>
          <w:szCs w:val="18"/>
        </w:rPr>
      </w:pPr>
      <w:r>
        <w:rPr>
          <w:rFonts w:ascii="宋体" w:hAnsi="宋体"/>
          <w:bCs/>
          <w:sz w:val="18"/>
          <w:szCs w:val="18"/>
        </w:rPr>
        <w:t>3</w:t>
      </w:r>
      <w:r>
        <w:rPr>
          <w:rFonts w:hint="eastAsia" w:ascii="宋体" w:hAnsi="宋体"/>
          <w:bCs/>
          <w:sz w:val="18"/>
          <w:szCs w:val="18"/>
        </w:rPr>
        <w:t>.</w:t>
      </w:r>
      <w:r>
        <w:rPr>
          <w:rFonts w:ascii="宋体" w:hAnsi="宋体"/>
          <w:bCs/>
          <w:sz w:val="18"/>
          <w:szCs w:val="18"/>
        </w:rPr>
        <w:t>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九十日后且剩余存续期超过九十日以上，产品管理人应在每季度结束之日起十五个工作日内、上半年结束之日起六十个工作日内、每年结束之日起九十个工作日内，披露产品季度、半年度和年度报告等定期报告。产品成立不足九十日或者剩余存续期不超过九十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w:t>
      </w:r>
      <w:r>
        <w:rPr>
          <w:rFonts w:hint="eastAsia" w:ascii="宋体" w:hAnsi="宋体"/>
          <w:bCs/>
          <w:sz w:val="18"/>
          <w:szCs w:val="18"/>
        </w:rPr>
        <w:t>.</w:t>
      </w:r>
      <w:r>
        <w:rPr>
          <w:rFonts w:ascii="宋体" w:hAnsi="宋体"/>
          <w:bCs/>
          <w:sz w:val="18"/>
          <w:szCs w:val="18"/>
        </w:rPr>
        <w:t>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如果产品管理人提前终止本产品，产品管理人将提前一个工作日进行公告。本产品终止后五个工作日内，产品管理人发布产品到期公告。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w:t>
      </w:r>
      <w:r>
        <w:rPr>
          <w:rFonts w:hint="eastAsia" w:ascii="宋体" w:hAnsi="宋体"/>
          <w:bCs/>
          <w:sz w:val="18"/>
          <w:szCs w:val="18"/>
        </w:rPr>
        <w:t>.</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业绩报酬计提起点（</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等。如遇法定节假日，则顺延至法定节假日后的第二个工作日公布最近</w:t>
      </w:r>
      <w:r>
        <w:rPr>
          <w:rFonts w:ascii="宋体" w:hAnsi="宋体"/>
          <w:bCs/>
          <w:sz w:val="18"/>
          <w:szCs w:val="18"/>
        </w:rPr>
        <w:t>一日产品份额净值</w:t>
      </w:r>
      <w:r>
        <w:rPr>
          <w:rFonts w:hint="eastAsia" w:ascii="宋体" w:hAnsi="宋体"/>
          <w:bCs/>
          <w:sz w:val="18"/>
          <w:szCs w:val="18"/>
        </w:rPr>
        <w:t>。</w:t>
      </w:r>
    </w:p>
    <w:p>
      <w:pPr>
        <w:spacing w:line="360" w:lineRule="auto"/>
        <w:ind w:firstLine="360" w:firstLineChars="200"/>
        <w:rPr>
          <w:rFonts w:ascii="宋体" w:hAnsi="宋体"/>
          <w:bCs/>
          <w:sz w:val="18"/>
          <w:szCs w:val="18"/>
        </w:rPr>
      </w:pPr>
      <w:r>
        <w:rPr>
          <w:rFonts w:ascii="宋体" w:hAnsi="宋体"/>
          <w:bCs/>
          <w:sz w:val="18"/>
          <w:szCs w:val="18"/>
        </w:rPr>
        <w:t>6</w:t>
      </w:r>
      <w:r>
        <w:rPr>
          <w:rFonts w:hint="eastAsia" w:ascii="宋体" w:hAnsi="宋体"/>
          <w:bCs/>
          <w:sz w:val="18"/>
          <w:szCs w:val="18"/>
        </w:rPr>
        <w:t>.临时公告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ascii="宋体" w:hAnsi="宋体"/>
          <w:bCs/>
          <w:sz w:val="18"/>
          <w:szCs w:val="18"/>
        </w:rPr>
        <w:t>对</w:t>
      </w:r>
      <w:r>
        <w:rPr>
          <w:rFonts w:hint="eastAsia" w:ascii="宋体" w:hAnsi="宋体"/>
          <w:bCs/>
          <w:sz w:val="18"/>
          <w:szCs w:val="18"/>
        </w:rPr>
        <w:t>业绩比较基准、业绩报酬计提起点、投资范围和比例、估值方法以及收费项目、条件、标准和方式等保留变更的权利，如发生变更，调整后的要素以</w:t>
      </w:r>
      <w:r>
        <w:rPr>
          <w:rFonts w:hint="eastAsia" w:ascii="宋体" w:hAnsi="宋体"/>
          <w:sz w:val="18"/>
          <w:szCs w:val="18"/>
        </w:rPr>
        <w:t>产品管理人</w:t>
      </w:r>
      <w:r>
        <w:rPr>
          <w:rFonts w:hint="eastAsia" w:ascii="宋体" w:hAnsi="宋体"/>
          <w:bCs/>
          <w:sz w:val="18"/>
          <w:szCs w:val="18"/>
        </w:rPr>
        <w:t>发布的变更公告中所载明的内容为准。</w:t>
      </w:r>
      <w:r>
        <w:rPr>
          <w:rFonts w:hint="eastAsia" w:ascii="宋体" w:hAnsi="宋体"/>
          <w:sz w:val="18"/>
          <w:szCs w:val="18"/>
        </w:rPr>
        <w:t>产品管理人</w:t>
      </w:r>
      <w:r>
        <w:rPr>
          <w:rFonts w:hint="eastAsia" w:ascii="宋体" w:hAnsi="宋体"/>
          <w:bCs/>
          <w:sz w:val="18"/>
          <w:szCs w:val="18"/>
        </w:rPr>
        <w:t>将至少提前一个工作日发布变更公告。</w:t>
      </w:r>
    </w:p>
    <w:p>
      <w:pPr>
        <w:spacing w:line="360" w:lineRule="auto"/>
        <w:ind w:firstLine="360" w:firstLineChars="200"/>
        <w:rPr>
          <w:rFonts w:ascii="宋体" w:hAnsi="宋体"/>
          <w:bCs/>
          <w:sz w:val="18"/>
          <w:szCs w:val="18"/>
        </w:rPr>
      </w:pPr>
      <w:r>
        <w:rPr>
          <w:rFonts w:ascii="宋体" w:hAnsi="宋体"/>
          <w:bCs/>
          <w:sz w:val="18"/>
          <w:szCs w:val="18"/>
        </w:rPr>
        <w:t>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w:t>
      </w:r>
      <w:r>
        <w:rPr>
          <w:rFonts w:hint="eastAsia" w:ascii="宋体" w:hAnsi="宋体"/>
          <w:bCs/>
          <w:sz w:val="18"/>
          <w:szCs w:val="18"/>
        </w:rPr>
        <w:t>三个</w:t>
      </w:r>
      <w:r>
        <w:rPr>
          <w:rFonts w:ascii="宋体" w:hAnsi="宋体"/>
          <w:bCs/>
          <w:sz w:val="18"/>
          <w:szCs w:val="18"/>
        </w:rPr>
        <w:t>工作日</w:t>
      </w:r>
      <w:r>
        <w:rPr>
          <w:rFonts w:hint="eastAsia" w:ascii="宋体" w:hAnsi="宋体"/>
          <w:bCs/>
          <w:sz w:val="18"/>
          <w:szCs w:val="18"/>
        </w:rPr>
        <w:t>内</w:t>
      </w:r>
      <w:r>
        <w:rPr>
          <w:rFonts w:ascii="宋体" w:hAnsi="宋体"/>
          <w:bCs/>
          <w:sz w:val="18"/>
          <w:szCs w:val="18"/>
        </w:rPr>
        <w:t>发布相关信息</w:t>
      </w:r>
      <w:r>
        <w:rPr>
          <w:rFonts w:hint="eastAsia" w:ascii="宋体" w:hAnsi="宋体"/>
          <w:bCs/>
          <w:sz w:val="18"/>
          <w:szCs w:val="18"/>
        </w:rPr>
        <w:t>及</w:t>
      </w:r>
      <w:r>
        <w:rPr>
          <w:rFonts w:ascii="宋体" w:hAnsi="宋体"/>
          <w:bCs/>
          <w:sz w:val="18"/>
          <w:szCs w:val="18"/>
        </w:rPr>
        <w:t>处理措施。</w:t>
      </w:r>
    </w:p>
    <w:p>
      <w:pPr>
        <w:spacing w:line="360" w:lineRule="auto"/>
        <w:ind w:firstLine="361" w:firstLineChars="200"/>
        <w:rPr>
          <w:rFonts w:ascii="宋体" w:hAnsi="宋体"/>
          <w:b/>
          <w:bCs/>
          <w:sz w:val="18"/>
          <w:szCs w:val="18"/>
        </w:rPr>
      </w:pPr>
      <w:r>
        <w:rPr>
          <w:rFonts w:hint="eastAsia" w:ascii="宋体" w:hAnsi="宋体"/>
          <w:b/>
          <w:bCs/>
          <w:sz w:val="18"/>
          <w:szCs w:val="18"/>
        </w:rPr>
        <w:t>★</w:t>
      </w:r>
      <w:r>
        <w:rPr>
          <w:rFonts w:ascii="宋体" w:hAnsi="宋体"/>
          <w:b/>
          <w:bCs/>
          <w:sz w:val="18"/>
          <w:szCs w:val="18"/>
        </w:rPr>
        <w:t>在本产品存续期内，如因国家法律法规、监管规定发生变化，或是出于维护本产品正常运营的需要，在不损害投资者</w:t>
      </w:r>
      <w:r>
        <w:rPr>
          <w:rFonts w:hint="eastAsia" w:ascii="宋体" w:hAnsi="宋体"/>
          <w:b/>
          <w:bCs/>
          <w:sz w:val="18"/>
          <w:szCs w:val="18"/>
        </w:rPr>
        <w:t>权益</w:t>
      </w:r>
      <w:r>
        <w:rPr>
          <w:rFonts w:ascii="宋体" w:hAnsi="宋体"/>
          <w:b/>
          <w:bCs/>
          <w:sz w:val="18"/>
          <w:szCs w:val="18"/>
        </w:rPr>
        <w:t>的前提下，</w:t>
      </w:r>
      <w:r>
        <w:rPr>
          <w:rFonts w:hint="eastAsia" w:ascii="宋体" w:hAnsi="宋体"/>
          <w:b/>
          <w:bCs/>
          <w:sz w:val="18"/>
          <w:szCs w:val="18"/>
        </w:rPr>
        <w:t>产品管理人</w:t>
      </w:r>
      <w:r>
        <w:rPr>
          <w:rFonts w:ascii="宋体" w:hAnsi="宋体"/>
          <w:b/>
          <w:bCs/>
          <w:sz w:val="18"/>
          <w:szCs w:val="18"/>
        </w:rPr>
        <w:t>有权对</w:t>
      </w:r>
      <w:r>
        <w:rPr>
          <w:rFonts w:hint="eastAsia" w:ascii="宋体" w:hAnsi="宋体"/>
          <w:b/>
          <w:bCs/>
          <w:sz w:val="18"/>
          <w:szCs w:val="18"/>
        </w:rPr>
        <w:t>理财产品销售文件</w:t>
      </w:r>
      <w:r>
        <w:rPr>
          <w:rFonts w:ascii="宋体" w:hAnsi="宋体"/>
          <w:b/>
          <w:bCs/>
          <w:sz w:val="18"/>
          <w:szCs w:val="18"/>
        </w:rPr>
        <w:t>进行修订，并提前</w:t>
      </w:r>
      <w:r>
        <w:rPr>
          <w:rFonts w:hint="eastAsia" w:ascii="宋体" w:hAnsi="宋体"/>
          <w:b/>
          <w:bCs/>
          <w:sz w:val="18"/>
          <w:szCs w:val="18"/>
        </w:rPr>
        <w:t>一</w:t>
      </w:r>
      <w:r>
        <w:rPr>
          <w:rFonts w:ascii="宋体" w:hAnsi="宋体"/>
          <w:b/>
          <w:bCs/>
          <w:sz w:val="18"/>
          <w:szCs w:val="18"/>
        </w:rPr>
        <w:t>个工作日进行</w:t>
      </w:r>
      <w:r>
        <w:rPr>
          <w:rFonts w:hint="eastAsia" w:ascii="宋体" w:hAnsi="宋体"/>
          <w:b/>
          <w:bCs/>
          <w:sz w:val="18"/>
          <w:szCs w:val="18"/>
        </w:rPr>
        <w:t>公告</w:t>
      </w:r>
      <w:r>
        <w:rPr>
          <w:rFonts w:ascii="宋体" w:hAnsi="宋体"/>
          <w:b/>
          <w:bCs/>
          <w:sz w:val="18"/>
          <w:szCs w:val="18"/>
        </w:rPr>
        <w:t>。</w:t>
      </w:r>
    </w:p>
    <w:p>
      <w:pPr>
        <w:widowControl/>
        <w:spacing w:line="360" w:lineRule="auto"/>
        <w:jc w:val="left"/>
        <w:rPr>
          <w:bCs/>
          <w:sz w:val="24"/>
        </w:rPr>
      </w:pPr>
      <w:r>
        <w:rPr>
          <w:bCs/>
          <w:sz w:val="24"/>
        </w:rPr>
        <w:br w:type="page"/>
      </w:r>
    </w:p>
    <w:p>
      <w:pPr>
        <w:pStyle w:val="2"/>
        <w:spacing w:before="0" w:after="0"/>
        <w:jc w:val="center"/>
        <w:rPr>
          <w:rFonts w:ascii="Times New Roman"/>
          <w:b w:val="0"/>
          <w:sz w:val="30"/>
        </w:rPr>
      </w:pPr>
      <w:bookmarkStart w:id="215" w:name="_Toc76720597"/>
      <w:bookmarkStart w:id="216" w:name="_Toc75853746"/>
      <w:r>
        <w:rPr>
          <w:rFonts w:hint="eastAsia" w:ascii="Times New Roman"/>
          <w:color w:val="auto"/>
          <w:sz w:val="30"/>
        </w:rPr>
        <w:t>第十三条</w:t>
      </w:r>
      <w:r>
        <w:rPr>
          <w:rFonts w:ascii="Times New Roman"/>
          <w:color w:val="auto"/>
          <w:sz w:val="30"/>
        </w:rPr>
        <w:t xml:space="preserve">  </w:t>
      </w:r>
      <w:r>
        <w:rPr>
          <w:rFonts w:hint="eastAsia" w:ascii="Times New Roman"/>
          <w:color w:val="auto"/>
          <w:sz w:val="30"/>
        </w:rPr>
        <w:t>理财产品</w:t>
      </w:r>
      <w:r>
        <w:rPr>
          <w:rFonts w:ascii="Times New Roman"/>
          <w:color w:val="auto"/>
          <w:sz w:val="30"/>
        </w:rPr>
        <w:t>的风险揭示</w:t>
      </w:r>
      <w:bookmarkEnd w:id="215"/>
      <w:bookmarkEnd w:id="216"/>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（一）投资者投资本产品可能面临的风险主要包括（但不限于）：</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投资标的风险：本计划投资标的的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的价值。主要包括：股票投资风险、债券投资风险、期货投资风险、期权投资风险等。</w:t>
      </w:r>
    </w:p>
    <w:p>
      <w:pPr>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延期支付风险：</w:t>
      </w:r>
      <w:r>
        <w:rPr>
          <w:rFonts w:hint="eastAsia" w:ascii="宋体" w:hAnsi="宋体"/>
          <w:sz w:val="18"/>
          <w:szCs w:val="18"/>
        </w:rPr>
        <w:t>指因市场内部和外部的原因导致理财基础资产不能及时变现而造成理财产品不能按时兑付，理财期限将相应延长，从而导致本产品部分资金的延期支付。</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宋体" w:hAnsi="宋体"/>
          <w:sz w:val="18"/>
          <w:szCs w:val="18"/>
        </w:rPr>
      </w:pPr>
      <w:r>
        <w:rPr>
          <w:rFonts w:ascii="宋体" w:hAnsi="宋体"/>
          <w:sz w:val="18"/>
          <w:szCs w:val="18"/>
        </w:rPr>
        <w:t>8</w:t>
      </w:r>
      <w:r>
        <w:rPr>
          <w:rFonts w:hint="eastAsia" w:ascii="宋体" w:hAnsi="宋体"/>
          <w:sz w:val="18"/>
          <w:szCs w:val="18"/>
        </w:rPr>
        <w:t>.</w:t>
      </w:r>
      <w:r>
        <w:rPr>
          <w:rFonts w:ascii="宋体" w:hAnsi="宋体"/>
          <w:sz w:val="18"/>
          <w:szCs w:val="18"/>
        </w:rPr>
        <w:t>信息传递风险：</w:t>
      </w:r>
      <w:r>
        <w:rPr>
          <w:rFonts w:hint="eastAsia" w:ascii="宋体" w:hAnsi="宋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宋体" w:hAnsi="宋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宋体" w:hAnsi="宋体"/>
          <w:sz w:val="18"/>
          <w:szCs w:val="18"/>
        </w:rPr>
        <w:t>产品管理人</w:t>
      </w:r>
      <w:r>
        <w:rPr>
          <w:rFonts w:ascii="宋体" w:hAnsi="宋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.理财产品不成立风险：如自本产品开始募集至认购期结束认购总金额未达到产品最小成立规模（如有约定），或融资人取消融资</w:t>
      </w:r>
      <w:r>
        <w:rPr>
          <w:rFonts w:ascii="宋体" w:hAnsi="宋体"/>
          <w:sz w:val="18"/>
          <w:szCs w:val="18"/>
        </w:rPr>
        <w:t>计划</w:t>
      </w:r>
      <w:r>
        <w:rPr>
          <w:rFonts w:hint="eastAsia" w:ascii="宋体" w:hAnsi="宋体"/>
          <w:sz w:val="18"/>
          <w:szCs w:val="18"/>
        </w:rPr>
        <w:t>，</w:t>
      </w:r>
      <w:r>
        <w:rPr>
          <w:rFonts w:ascii="宋体" w:hAnsi="宋体"/>
          <w:sz w:val="18"/>
          <w:szCs w:val="18"/>
        </w:rPr>
        <w:t>或</w:t>
      </w:r>
      <w:r>
        <w:rPr>
          <w:rFonts w:hint="eastAsia" w:ascii="宋体" w:hAnsi="宋体"/>
          <w:sz w:val="18"/>
          <w:szCs w:val="18"/>
        </w:rPr>
        <w:t>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.★代销风险：本理财产品若通过非产品管理人自有渠道进行销售的属于代理销售，认购</w:t>
      </w:r>
      <w:r>
        <w:rPr>
          <w:rFonts w:ascii="宋体" w:hAnsi="宋体"/>
          <w:sz w:val="18"/>
          <w:szCs w:val="18"/>
        </w:rPr>
        <w:t>/</w:t>
      </w:r>
      <w:r>
        <w:rPr>
          <w:rFonts w:hint="eastAsia" w:ascii="宋体" w:hAnsi="宋体"/>
          <w:sz w:val="18"/>
          <w:szCs w:val="18"/>
        </w:rPr>
        <w:t>申购时投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Pr>
          <w:rFonts w:ascii="宋体" w:hAnsi="宋体"/>
          <w:sz w:val="18"/>
          <w:szCs w:val="18"/>
        </w:rPr>
        <w:t>申购</w:t>
      </w:r>
      <w:r>
        <w:rPr>
          <w:rFonts w:hint="eastAsia" w:ascii="宋体" w:hAnsi="宋体"/>
          <w:sz w:val="18"/>
          <w:szCs w:val="18"/>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宋体" w:hAnsi="宋体"/>
          <w:sz w:val="18"/>
          <w:szCs w:val="18"/>
        </w:rPr>
      </w:pPr>
      <w:r>
        <w:rPr>
          <w:rFonts w:ascii="宋体" w:hAnsi="宋体"/>
          <w:sz w:val="18"/>
          <w:szCs w:val="18"/>
        </w:rPr>
        <w:t>16.</w:t>
      </w:r>
      <w:r>
        <w:rPr>
          <w:rFonts w:hint="eastAsia" w:ascii="宋体" w:hAnsi="宋体"/>
          <w:sz w:val="18"/>
          <w:szCs w:val="18"/>
        </w:rPr>
        <w:t>★不同理财产品份额类别存在差异的风险：理财产品管理人可根据投资者购买理财产品的金额、销售</w:t>
      </w:r>
      <w:r>
        <w:rPr>
          <w:rFonts w:ascii="宋体" w:hAnsi="宋体"/>
          <w:sz w:val="18"/>
          <w:szCs w:val="18"/>
        </w:rPr>
        <w:t>渠道</w:t>
      </w:r>
      <w:r>
        <w:rPr>
          <w:rFonts w:hint="eastAsia" w:ascii="宋体" w:hAnsi="宋体"/>
          <w:sz w:val="18"/>
          <w:szCs w:val="18"/>
        </w:rPr>
        <w:t>等因素，对理财投资者所持有的理财产品设置不同理财产品份额类别。不同类别的理财产品份额在销售名称、销售服务费、销售代码、销售对象、销售起点金额（认购、申购的</w:t>
      </w:r>
      <w:r>
        <w:rPr>
          <w:rFonts w:ascii="宋体" w:hAnsi="宋体"/>
          <w:sz w:val="18"/>
          <w:szCs w:val="18"/>
        </w:rPr>
        <w:t>起点金额</w:t>
      </w:r>
      <w:r>
        <w:rPr>
          <w:rFonts w:hint="eastAsia" w:ascii="宋体" w:hAnsi="宋体"/>
          <w:sz w:val="18"/>
          <w:szCs w:val="18"/>
        </w:rPr>
        <w:t>）、赎回的数量限制、计算和公告产品份额净值方面存在差异。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宋体" w:hAnsi="宋体"/>
          <w:sz w:val="18"/>
          <w:szCs w:val="18"/>
        </w:rPr>
        <w:t>关联交易风险：若本产品为私募理财产品的，且本产品的销售机构为兴业银行股份有限公司（以下简称“兴业银行”）的，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宋体" w:hAnsi="宋体"/>
          <w:b/>
          <w:sz w:val="18"/>
          <w:szCs w:val="18"/>
        </w:rPr>
      </w:pPr>
      <w:r>
        <w:rPr>
          <w:rFonts w:hint="eastAsia" w:ascii="宋体" w:hAnsi="宋体"/>
          <w:b/>
          <w:sz w:val="18"/>
          <w:szCs w:val="18"/>
        </w:rPr>
        <w:t>（二）★最不利投资情形下的投资结果示例：产品管理人对本产品的理财本金和收益不提供保证承诺，若理财产品运作期间，该理财产品投资标的出现风险，则投资者可能无法获得理财收益</w:t>
      </w:r>
      <w:r>
        <w:rPr>
          <w:rFonts w:ascii="宋体" w:hAnsi="宋体"/>
          <w:b/>
          <w:sz w:val="18"/>
          <w:szCs w:val="18"/>
        </w:rPr>
        <w:t>，甚至投资者的投资本金将遭受损失，在最不利的极端情况下，投资者可能损失全部本金。</w:t>
      </w:r>
    </w:p>
    <w:p>
      <w:pPr>
        <w:widowControl/>
        <w:jc w:val="left"/>
        <w:rPr>
          <w:bCs/>
          <w:sz w:val="24"/>
        </w:rPr>
      </w:pPr>
      <w:r>
        <w:rPr>
          <w:bCs/>
          <w:sz w:val="24"/>
        </w:rPr>
        <w:br w:type="page"/>
      </w:r>
    </w:p>
    <w:p>
      <w:pPr>
        <w:pStyle w:val="2"/>
        <w:spacing w:before="0" w:after="0"/>
        <w:jc w:val="center"/>
        <w:rPr>
          <w:rFonts w:ascii="Times New Roman"/>
          <w:b w:val="0"/>
          <w:sz w:val="30"/>
        </w:rPr>
      </w:pPr>
      <w:bookmarkStart w:id="217" w:name="_Toc76720598"/>
      <w:bookmarkStart w:id="218" w:name="_Toc75770042"/>
      <w:r>
        <w:rPr>
          <w:rFonts w:hint="eastAsia" w:ascii="Times New Roman"/>
          <w:color w:val="auto"/>
          <w:sz w:val="30"/>
        </w:rPr>
        <w:t>第十四条</w:t>
      </w:r>
      <w:r>
        <w:rPr>
          <w:rFonts w:ascii="Times New Roman"/>
          <w:color w:val="auto"/>
          <w:sz w:val="30"/>
        </w:rPr>
        <w:t xml:space="preserve">  不可抗力</w:t>
      </w:r>
      <w:bookmarkEnd w:id="217"/>
      <w:bookmarkEnd w:id="218"/>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sz w:val="18"/>
          <w:szCs w:val="18"/>
        </w:rPr>
        <w:t>（二）</w:t>
      </w:r>
      <w:r>
        <w:rPr>
          <w:rFonts w:hint="eastAsia" w:ascii="宋体" w:hAnsi="宋体" w:cs="仿宋_GB2312"/>
          <w:kern w:val="0"/>
          <w:sz w:val="18"/>
          <w:szCs w:val="18"/>
        </w:rPr>
        <w:t>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219" w:name="_Toc75770043"/>
      <w:bookmarkStart w:id="220" w:name="_Toc76720599"/>
      <w:r>
        <w:rPr>
          <w:rFonts w:hint="eastAsia" w:ascii="Times New Roman"/>
          <w:color w:val="auto"/>
          <w:sz w:val="30"/>
        </w:rPr>
        <w:t>第十五条</w:t>
      </w:r>
      <w:r>
        <w:rPr>
          <w:rFonts w:ascii="Times New Roman"/>
          <w:color w:val="auto"/>
          <w:sz w:val="30"/>
        </w:rPr>
        <w:t xml:space="preserve">  </w:t>
      </w:r>
      <w:r>
        <w:rPr>
          <w:rFonts w:hint="eastAsia" w:ascii="Times New Roman"/>
          <w:color w:val="auto"/>
          <w:sz w:val="30"/>
        </w:rPr>
        <w:t>违约责任</w:t>
      </w:r>
      <w:bookmarkEnd w:id="219"/>
      <w:bookmarkEnd w:id="22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sz w:val="18"/>
          <w:szCs w:val="18"/>
        </w:rPr>
        <w:t>（一）</w:t>
      </w:r>
      <w:r>
        <w:rPr>
          <w:rFonts w:hint="eastAsia" w:ascii="宋体" w:hAnsi="宋体" w:cs="仿宋_GB2312"/>
          <w:kern w:val="0"/>
          <w:sz w:val="18"/>
          <w:szCs w:val="18"/>
        </w:rPr>
        <w:t>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sz w:val="18"/>
          <w:szCs w:val="18"/>
        </w:rPr>
        <w:t>（二）</w:t>
      </w:r>
      <w:r>
        <w:rPr>
          <w:rFonts w:hint="eastAsia" w:ascii="宋体" w:hAnsi="宋体" w:cs="仿宋_GB2312"/>
          <w:kern w:val="0"/>
          <w:sz w:val="18"/>
          <w:szCs w:val="18"/>
        </w:rPr>
        <w:t>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1.对由于国家有关法律、法规、规章、政策的变化，监管机构管理规则的修改、紧急措施的出台等原因而导致的相关风险及损失，双方当事人互不承担责任；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2</w:t>
      </w:r>
      <w:r>
        <w:rPr>
          <w:rFonts w:ascii="宋体" w:hAnsi="宋体" w:cs="仿宋_GB2312"/>
          <w:kern w:val="0"/>
          <w:sz w:val="18"/>
          <w:szCs w:val="18"/>
        </w:rPr>
        <w:t>.</w:t>
      </w:r>
      <w:r>
        <w:rPr>
          <w:rFonts w:hint="eastAsia" w:ascii="宋体" w:hAnsi="宋体" w:cs="仿宋_GB2312"/>
          <w:kern w:val="0"/>
          <w:sz w:val="18"/>
          <w:szCs w:val="18"/>
        </w:rPr>
        <w:t>本协议书中涉及的相关到期日或兑付日如遇节假日，将顺延至下一个工作日，由此产生的风险及损失双方当事人互不承担责任；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hint="eastAsia"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221" w:name="_Toc76720600"/>
      <w:bookmarkStart w:id="222" w:name="_Toc75770044"/>
      <w:r>
        <w:rPr>
          <w:rFonts w:hint="eastAsia" w:ascii="Times New Roman"/>
          <w:color w:val="auto"/>
          <w:sz w:val="30"/>
        </w:rPr>
        <w:t>第十六条</w:t>
      </w:r>
      <w:r>
        <w:rPr>
          <w:rFonts w:ascii="Times New Roman"/>
          <w:color w:val="auto"/>
          <w:sz w:val="30"/>
        </w:rPr>
        <w:t xml:space="preserve">  法律适用和争议解决</w:t>
      </w:r>
      <w:bookmarkEnd w:id="221"/>
      <w:bookmarkEnd w:id="222"/>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甲乙双方在本协议书的执行过程中发生的任何争议，应通过友好协商解决。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223" w:name="_Toc75770045"/>
      <w:bookmarkStart w:id="224" w:name="_Toc76720601"/>
      <w:r>
        <w:rPr>
          <w:rFonts w:hint="eastAsia" w:ascii="Times New Roman"/>
          <w:color w:val="auto"/>
          <w:sz w:val="30"/>
        </w:rPr>
        <w:t xml:space="preserve">第十七条 </w:t>
      </w:r>
      <w:r>
        <w:rPr>
          <w:rFonts w:ascii="Times New Roman"/>
          <w:color w:val="auto"/>
          <w:sz w:val="30"/>
        </w:rPr>
        <w:t xml:space="preserve"> 协议的签署和</w:t>
      </w:r>
      <w:r>
        <w:rPr>
          <w:rFonts w:hint="eastAsia" w:ascii="Times New Roman"/>
          <w:color w:val="auto"/>
          <w:sz w:val="30"/>
        </w:rPr>
        <w:t>效力</w:t>
      </w:r>
      <w:bookmarkEnd w:id="223"/>
      <w:bookmarkEnd w:id="224"/>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2.投资者若通过销售机构线上渠道购买本产品的，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hint="eastAsia" w:ascii="黑体" w:hAnsi="黑体" w:eastAsia="黑体" w:cs="仿宋_GB2312"/>
          <w:kern w:val="0"/>
          <w:sz w:val="18"/>
          <w:szCs w:val="18"/>
        </w:rPr>
        <w:t>1.</w:t>
      </w:r>
      <w:r>
        <w:rPr>
          <w:rFonts w:ascii="黑体" w:hAnsi="黑体" w:eastAsia="黑体" w:cs="仿宋_GB2312"/>
          <w:kern w:val="0"/>
          <w:sz w:val="18"/>
          <w:szCs w:val="18"/>
        </w:rPr>
        <w:t>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hint="eastAsia" w:ascii="黑体" w:hAnsi="黑体" w:eastAsia="黑体" w:cs="仿宋_GB2312"/>
          <w:kern w:val="0"/>
          <w:sz w:val="18"/>
          <w:szCs w:val="18"/>
        </w:rPr>
        <w:t>2.</w:t>
      </w:r>
      <w:r>
        <w:rPr>
          <w:rFonts w:ascii="黑体" w:hAnsi="黑体" w:eastAsia="黑体" w:cs="仿宋_GB2312"/>
          <w:kern w:val="0"/>
          <w:sz w:val="18"/>
          <w:szCs w:val="18"/>
        </w:rPr>
        <w:t>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hint="eastAsia" w:ascii="黑体" w:hAnsi="黑体" w:eastAsia="黑体" w:cs="仿宋_GB2312"/>
          <w:kern w:val="0"/>
          <w:sz w:val="18"/>
          <w:szCs w:val="18"/>
        </w:rPr>
        <w:t>4.本协议经投资者签署并缴纳认购或申购资金后，经确认成交之日起生效。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2"/>
    <w:bookmarkEnd w:id="63"/>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 w:hRule="atLeast"/>
        </w:trPr>
        <w:tc>
          <w:tcPr>
            <w:tcW w:w="1403"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276" w:lineRule="auto"/>
              <w:jc w:val="left"/>
              <w:rPr>
                <w:rFonts w:ascii="宋体" w:hAnsi="宋体"/>
                <w:b/>
                <w:bCs/>
                <w:sz w:val="18"/>
                <w:szCs w:val="18"/>
              </w:rPr>
            </w:pPr>
            <w:r>
              <w:rPr>
                <w:rFonts w:hint="eastAsia" w:ascii="宋体" w:hAnsi="宋体"/>
                <w:b/>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 w:hRule="atLeast"/>
        </w:trPr>
        <w:tc>
          <w:tcPr>
            <w:tcW w:w="1403"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276"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276"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276"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0"/>
                <w:tab w:val="left" w:pos="3600"/>
              </w:tabs>
              <w:spacing w:line="360" w:lineRule="auto"/>
              <w:jc w:val="left"/>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footerReference r:id="rId6" w:type="default"/>
          <w:pgSz w:w="11906" w:h="16838"/>
          <w:pgMar w:top="1440" w:right="1800" w:bottom="1440" w:left="1800" w:header="567" w:footer="992" w:gutter="0"/>
          <w:cols w:space="720" w:num="1"/>
          <w:docGrid w:type="lines" w:linePitch="312" w:charSpace="0"/>
        </w:sectPr>
      </w:pPr>
    </w:p>
    <w:p>
      <w:pPr>
        <w:widowControl/>
        <w:jc w:val="center"/>
        <w:rPr>
          <w:rStyle w:val="11"/>
          <w:rFonts w:ascii="宋体" w:hAnsi="宋体"/>
          <w:sz w:val="30"/>
          <w:szCs w:val="30"/>
        </w:rPr>
      </w:pPr>
      <w:r>
        <w:rPr>
          <w:rFonts w:hint="eastAsia" w:ascii="宋体" w:hAnsi="宋体"/>
          <w:b/>
          <w:sz w:val="30"/>
          <w:szCs w:val="30"/>
        </w:rPr>
        <w:t>理财非存款、产品有风险、投资须谨慎！</w:t>
      </w:r>
    </w:p>
    <w:p>
      <w:pPr>
        <w:adjustRightInd w:val="0"/>
        <w:spacing w:line="276" w:lineRule="auto"/>
        <w:jc w:val="center"/>
        <w:rPr>
          <w:rStyle w:val="11"/>
          <w:rFonts w:ascii="宋体" w:hAnsi="宋体"/>
          <w:sz w:val="32"/>
          <w:szCs w:val="32"/>
        </w:rPr>
      </w:pPr>
    </w:p>
    <w:p>
      <w:pPr>
        <w:adjustRightInd w:val="0"/>
        <w:spacing w:line="276" w:lineRule="auto"/>
        <w:jc w:val="center"/>
        <w:rPr>
          <w:rStyle w:val="11"/>
          <w:rFonts w:ascii="宋体" w:hAnsi="宋体"/>
          <w:sz w:val="32"/>
          <w:szCs w:val="32"/>
        </w:rPr>
      </w:pPr>
    </w:p>
    <w:p>
      <w:pPr>
        <w:adjustRightInd w:val="0"/>
        <w:spacing w:line="276" w:lineRule="auto"/>
        <w:jc w:val="center"/>
        <w:rPr>
          <w:rStyle w:val="11"/>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276" w:lineRule="auto"/>
        <w:jc w:val="center"/>
        <w:rPr>
          <w:rStyle w:val="11"/>
          <w:rFonts w:ascii="宋体" w:hAnsi="宋体"/>
          <w:sz w:val="32"/>
          <w:szCs w:val="32"/>
        </w:rPr>
      </w:pPr>
    </w:p>
    <w:p>
      <w:pPr>
        <w:adjustRightInd w:val="0"/>
        <w:spacing w:line="276" w:lineRule="auto"/>
        <w:jc w:val="center"/>
        <w:rPr>
          <w:rStyle w:val="11"/>
          <w:rFonts w:ascii="黑体" w:hAnsi="黑体" w:eastAsia="黑体"/>
          <w:sz w:val="44"/>
          <w:szCs w:val="44"/>
        </w:rPr>
      </w:pPr>
      <w:r>
        <w:rPr>
          <w:rStyle w:val="11"/>
          <w:rFonts w:hint="eastAsia" w:ascii="黑体" w:hAnsi="黑体" w:eastAsia="黑体"/>
          <w:sz w:val="44"/>
          <w:szCs w:val="44"/>
        </w:rPr>
        <w:t>兴银理财天天万利宝稳利恒盈净值型理财产品说明书</w:t>
      </w:r>
    </w:p>
    <w:p>
      <w:pPr>
        <w:adjustRightInd w:val="0"/>
        <w:spacing w:line="276" w:lineRule="auto"/>
        <w:jc w:val="center"/>
        <w:rPr>
          <w:rStyle w:val="11"/>
          <w:rFonts w:ascii="宋体" w:hAnsi="宋体"/>
          <w:sz w:val="32"/>
          <w:szCs w:val="32"/>
        </w:rPr>
      </w:pPr>
    </w:p>
    <w:p>
      <w:pPr>
        <w:adjustRightInd w:val="0"/>
        <w:spacing w:line="276" w:lineRule="auto"/>
        <w:rPr>
          <w:rStyle w:val="11"/>
          <w:rFonts w:ascii="黑体" w:hAnsi="黑体" w:eastAsia="黑体"/>
          <w:bCs w:val="0"/>
          <w:sz w:val="28"/>
          <w:szCs w:val="28"/>
        </w:rPr>
      </w:pPr>
    </w:p>
    <w:p>
      <w:pPr>
        <w:adjustRightInd w:val="0"/>
        <w:spacing w:line="276" w:lineRule="auto"/>
        <w:jc w:val="center"/>
        <w:rPr>
          <w:rStyle w:val="11"/>
          <w:rFonts w:ascii="黑体" w:hAnsi="黑体" w:eastAsia="黑体"/>
          <w:bCs w:val="0"/>
          <w:sz w:val="28"/>
          <w:szCs w:val="28"/>
        </w:rPr>
      </w:pPr>
    </w:p>
    <w:p>
      <w:pPr>
        <w:adjustRightInd w:val="0"/>
        <w:spacing w:line="276" w:lineRule="auto"/>
        <w:jc w:val="center"/>
        <w:rPr>
          <w:rStyle w:val="11"/>
          <w:rFonts w:ascii="黑体" w:hAnsi="黑体" w:eastAsia="黑体"/>
          <w:bCs w:val="0"/>
          <w:sz w:val="28"/>
          <w:szCs w:val="28"/>
        </w:rPr>
      </w:pPr>
    </w:p>
    <w:p>
      <w:pPr>
        <w:adjustRightInd w:val="0"/>
        <w:spacing w:line="276" w:lineRule="auto"/>
        <w:jc w:val="center"/>
        <w:rPr>
          <w:rStyle w:val="11"/>
          <w:rFonts w:ascii="宋体" w:hAnsi="宋体" w:cs="Times New Roman"/>
          <w:sz w:val="32"/>
          <w:szCs w:val="32"/>
        </w:rPr>
      </w:pPr>
      <w:r>
        <w:rPr>
          <w:rStyle w:val="11"/>
          <w:rFonts w:hint="eastAsia" w:ascii="宋体" w:hAnsi="宋体" w:cs="Times New Roman"/>
          <w:sz w:val="32"/>
          <w:szCs w:val="32"/>
        </w:rPr>
        <w:t>理财产品管理人：兴银理财有限责任公司</w:t>
      </w:r>
    </w:p>
    <w:p>
      <w:pPr>
        <w:adjustRightInd w:val="0"/>
        <w:spacing w:line="276" w:lineRule="auto"/>
        <w:jc w:val="center"/>
        <w:rPr>
          <w:rStyle w:val="11"/>
          <w:rFonts w:ascii="宋体" w:hAnsi="宋体"/>
          <w:sz w:val="32"/>
          <w:szCs w:val="32"/>
        </w:rPr>
      </w:pPr>
    </w:p>
    <w:p>
      <w:pPr>
        <w:adjustRightInd w:val="0"/>
        <w:spacing w:line="276" w:lineRule="auto"/>
        <w:jc w:val="center"/>
        <w:rPr>
          <w:rStyle w:val="11"/>
          <w:rFonts w:ascii="宋体" w:hAnsi="宋体"/>
          <w:sz w:val="32"/>
          <w:szCs w:val="32"/>
        </w:rPr>
      </w:pPr>
    </w:p>
    <w:p>
      <w:pPr>
        <w:adjustRightInd w:val="0"/>
        <w:spacing w:line="276" w:lineRule="auto"/>
        <w:jc w:val="center"/>
        <w:rPr>
          <w:rStyle w:val="11"/>
          <w:rFonts w:ascii="宋体" w:hAnsi="宋体" w:cs="Times New Roman"/>
          <w:sz w:val="32"/>
          <w:szCs w:val="32"/>
        </w:rPr>
      </w:pPr>
      <w:r>
        <w:rPr>
          <w:rStyle w:val="11"/>
          <w:rFonts w:hint="eastAsia" w:ascii="宋体" w:hAnsi="宋体" w:cs="Times New Roman"/>
          <w:sz w:val="32"/>
          <w:szCs w:val="32"/>
        </w:rPr>
        <w:t>日期</w:t>
      </w:r>
      <w:r>
        <w:rPr>
          <w:rStyle w:val="11"/>
          <w:rFonts w:ascii="宋体" w:hAnsi="宋体" w:cs="Times New Roman"/>
          <w:sz w:val="32"/>
          <w:szCs w:val="32"/>
        </w:rPr>
        <w:t>：</w:t>
      </w:r>
      <w:r>
        <w:rPr>
          <w:rStyle w:val="11"/>
          <w:rFonts w:hint="eastAsia" w:ascii="宋体" w:hAnsi="宋体" w:cs="Times New Roman"/>
          <w:sz w:val="32"/>
          <w:szCs w:val="32"/>
        </w:rPr>
        <w:t>【2</w:t>
      </w:r>
      <w:r>
        <w:rPr>
          <w:rStyle w:val="11"/>
          <w:rFonts w:ascii="宋体" w:hAnsi="宋体" w:cs="Times New Roman"/>
          <w:sz w:val="32"/>
          <w:szCs w:val="32"/>
        </w:rPr>
        <w:t>022</w:t>
      </w:r>
      <w:r>
        <w:rPr>
          <w:rStyle w:val="11"/>
          <w:rFonts w:hint="eastAsia" w:ascii="宋体" w:hAnsi="宋体" w:cs="Times New Roman"/>
          <w:sz w:val="32"/>
          <w:szCs w:val="32"/>
        </w:rPr>
        <w:t>】年【2】月</w:t>
      </w:r>
    </w:p>
    <w:p>
      <w:pPr>
        <w:adjustRightInd w:val="0"/>
        <w:spacing w:line="276" w:lineRule="auto"/>
        <w:jc w:val="center"/>
        <w:rPr>
          <w:rStyle w:val="11"/>
          <w:rFonts w:ascii="宋体" w:hAnsi="宋体"/>
          <w:sz w:val="32"/>
          <w:szCs w:val="32"/>
        </w:rPr>
      </w:pPr>
    </w:p>
    <w:p>
      <w:pPr>
        <w:pStyle w:val="14"/>
        <w:rPr>
          <w:rFonts w:hAnsi="宋体"/>
          <w:sz w:val="28"/>
          <w:szCs w:val="28"/>
        </w:rPr>
      </w:pPr>
      <w:r>
        <w:rPr>
          <w:rFonts w:hAnsi="宋体"/>
          <w:sz w:val="28"/>
          <w:szCs w:val="28"/>
        </w:rPr>
        <w:br w:type="page"/>
      </w:r>
    </w:p>
    <w:tbl>
      <w:tblPr>
        <w:tblStyle w:val="8"/>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6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99" w:type="dxa"/>
            <w:shd w:val="solid" w:color="FFFFFF" w:fill="FFFFFF"/>
          </w:tcPr>
          <w:p>
            <w:pPr>
              <w:spacing w:line="320" w:lineRule="exact"/>
              <w:jc w:val="left"/>
              <w:rPr>
                <w:rFonts w:ascii="宋体" w:hAnsi="宋体"/>
                <w:bCs/>
                <w:sz w:val="18"/>
                <w:szCs w:val="18"/>
              </w:rPr>
            </w:pPr>
            <w:r>
              <w:rPr>
                <w:rFonts w:hint="eastAsia" w:asciiTheme="majorEastAsia" w:hAnsiTheme="majorEastAsia" w:eastAsiaTheme="majorEastAsia"/>
                <w:bCs/>
                <w:kern w:val="0"/>
                <w:sz w:val="18"/>
                <w:szCs w:val="18"/>
              </w:rPr>
              <w:t>兴银理财天天万利宝稳利恒盈7号封闭式净值型理财产品第1</w:t>
            </w:r>
            <w:r>
              <w:rPr>
                <w:rFonts w:asciiTheme="majorEastAsia" w:hAnsiTheme="majorEastAsia" w:eastAsiaTheme="majorEastAsia"/>
                <w:bCs/>
                <w:kern w:val="0"/>
                <w:sz w:val="18"/>
                <w:szCs w:val="18"/>
              </w:rPr>
              <w:t>6</w:t>
            </w:r>
            <w:r>
              <w:rPr>
                <w:rFonts w:hint="eastAsia" w:asciiTheme="majorEastAsia" w:hAnsiTheme="majorEastAsia" w:eastAsiaTheme="majorEastAsia"/>
                <w:bCs/>
                <w:kern w:val="0"/>
                <w:sz w:val="18"/>
                <w:szCs w:val="18"/>
              </w:rPr>
              <w:t>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99" w:type="dxa"/>
            <w:shd w:val="solid" w:color="FFFFFF" w:fill="FFFFFF"/>
          </w:tcPr>
          <w:p>
            <w:pPr>
              <w:widowControl/>
              <w:jc w:val="left"/>
              <w:rPr>
                <w:rFonts w:ascii="宋体" w:hAnsi="宋体"/>
                <w:bCs/>
                <w:sz w:val="18"/>
                <w:szCs w:val="18"/>
              </w:rPr>
            </w:pPr>
            <w:r>
              <w:rPr>
                <w:rFonts w:hint="eastAsia" w:ascii="宋体" w:hAnsi="宋体"/>
                <w:bCs/>
                <w:sz w:val="18"/>
                <w:szCs w:val="18"/>
              </w:rPr>
              <w:t>【A】类</w:t>
            </w:r>
            <w:r>
              <w:rPr>
                <w:rFonts w:ascii="宋体" w:hAnsi="宋体"/>
                <w:bCs/>
                <w:sz w:val="18"/>
                <w:szCs w:val="18"/>
              </w:rPr>
              <w:t>份额：</w:t>
            </w:r>
            <w:r>
              <w:rPr>
                <w:rFonts w:hint="eastAsia" w:ascii="宋体" w:hAnsi="宋体"/>
                <w:bCs/>
                <w:sz w:val="18"/>
                <w:szCs w:val="18"/>
              </w:rPr>
              <w:t>【稳利恒盈7号16期 3年季分红A】</w:t>
            </w:r>
          </w:p>
          <w:p>
            <w:pPr>
              <w:widowControl/>
              <w:jc w:val="left"/>
              <w:rPr>
                <w:rFonts w:ascii="宋体" w:hAnsi="宋体"/>
                <w:bCs/>
                <w:sz w:val="18"/>
                <w:szCs w:val="18"/>
              </w:rPr>
            </w:pPr>
            <w:r>
              <w:rPr>
                <w:rFonts w:hint="eastAsia" w:ascii="宋体" w:hAnsi="宋体"/>
                <w:bCs/>
                <w:sz w:val="18"/>
                <w:szCs w:val="18"/>
              </w:rPr>
              <w:t>【</w:t>
            </w:r>
            <w:r>
              <w:rPr>
                <w:rFonts w:ascii="宋体" w:hAnsi="宋体"/>
                <w:bCs/>
                <w:sz w:val="18"/>
                <w:szCs w:val="18"/>
              </w:rPr>
              <w:t>B</w:t>
            </w:r>
            <w:r>
              <w:rPr>
                <w:rFonts w:hint="eastAsia" w:ascii="宋体" w:hAnsi="宋体"/>
                <w:bCs/>
                <w:sz w:val="18"/>
                <w:szCs w:val="18"/>
              </w:rPr>
              <w:t>】类</w:t>
            </w:r>
            <w:r>
              <w:rPr>
                <w:rFonts w:ascii="宋体" w:hAnsi="宋体"/>
                <w:bCs/>
                <w:sz w:val="18"/>
                <w:szCs w:val="18"/>
              </w:rPr>
              <w:t>份额：【</w:t>
            </w:r>
            <w:r>
              <w:rPr>
                <w:rFonts w:hint="eastAsia" w:ascii="宋体" w:hAnsi="宋体"/>
                <w:bCs/>
                <w:sz w:val="18"/>
                <w:szCs w:val="18"/>
              </w:rPr>
              <w:t>稳利恒盈7号16期 3年季分红</w:t>
            </w:r>
            <w:r>
              <w:rPr>
                <w:rFonts w:ascii="宋体" w:hAnsi="宋体"/>
                <w:bCs/>
                <w:sz w:val="18"/>
                <w:szCs w:val="18"/>
              </w:rPr>
              <w:t>B】</w:t>
            </w:r>
          </w:p>
          <w:p>
            <w:pPr>
              <w:widowControl/>
              <w:spacing w:line="276" w:lineRule="auto"/>
              <w:jc w:val="left"/>
              <w:rPr>
                <w:rFonts w:ascii="宋体" w:hAnsi="宋体"/>
                <w:bCs/>
                <w:sz w:val="18"/>
                <w:szCs w:val="18"/>
              </w:rPr>
            </w:pPr>
            <w:r>
              <w:rPr>
                <w:rFonts w:hint="eastAsia" w:ascii="宋体" w:hAnsi="宋体"/>
                <w:bCs/>
                <w:sz w:val="18"/>
                <w:szCs w:val="18"/>
              </w:rPr>
              <w:t>【C】类</w:t>
            </w:r>
            <w:r>
              <w:rPr>
                <w:rFonts w:ascii="宋体" w:hAnsi="宋体"/>
                <w:bCs/>
                <w:sz w:val="18"/>
                <w:szCs w:val="18"/>
              </w:rPr>
              <w:t>份额：【</w:t>
            </w:r>
            <w:r>
              <w:rPr>
                <w:rFonts w:hint="eastAsia" w:ascii="宋体" w:hAnsi="宋体"/>
                <w:bCs/>
                <w:sz w:val="18"/>
                <w:szCs w:val="18"/>
              </w:rPr>
              <w:t>稳利恒盈7号16期 3年季分红</w:t>
            </w:r>
            <w:r>
              <w:rPr>
                <w:rFonts w:ascii="宋体" w:hAnsi="宋体"/>
                <w:bCs/>
                <w:sz w:val="18"/>
                <w:szCs w:val="18"/>
              </w:rPr>
              <w:t>C】</w:t>
            </w:r>
          </w:p>
          <w:p>
            <w:pPr>
              <w:widowControl/>
              <w:jc w:val="left"/>
              <w:rPr>
                <w:rFonts w:ascii="宋体" w:hAnsi="宋体"/>
                <w:bCs/>
                <w:sz w:val="18"/>
                <w:szCs w:val="18"/>
              </w:rPr>
            </w:pPr>
            <w:r>
              <w:rPr>
                <w:rFonts w:hint="eastAsia" w:ascii="宋体" w:hAnsi="宋体"/>
                <w:bCs/>
                <w:sz w:val="18"/>
                <w:szCs w:val="18"/>
              </w:rPr>
              <w:t>【</w:t>
            </w:r>
            <w:r>
              <w:rPr>
                <w:rFonts w:ascii="宋体" w:hAnsi="宋体"/>
                <w:bCs/>
                <w:sz w:val="18"/>
                <w:szCs w:val="18"/>
              </w:rPr>
              <w:t>D</w:t>
            </w:r>
            <w:r>
              <w:rPr>
                <w:rFonts w:hint="eastAsia" w:ascii="宋体" w:hAnsi="宋体"/>
                <w:bCs/>
                <w:sz w:val="18"/>
                <w:szCs w:val="18"/>
              </w:rPr>
              <w:t>】类</w:t>
            </w:r>
            <w:r>
              <w:rPr>
                <w:rFonts w:ascii="宋体" w:hAnsi="宋体"/>
                <w:bCs/>
                <w:sz w:val="18"/>
                <w:szCs w:val="18"/>
              </w:rPr>
              <w:t>份额：【</w:t>
            </w:r>
            <w:r>
              <w:rPr>
                <w:rFonts w:hint="eastAsia" w:ascii="宋体" w:hAnsi="宋体"/>
                <w:bCs/>
                <w:sz w:val="18"/>
                <w:szCs w:val="18"/>
              </w:rPr>
              <w:t>稳利恒盈7号16期 3年乡村振兴</w:t>
            </w:r>
            <w:r>
              <w:rPr>
                <w:rFonts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99" w:type="dxa"/>
            <w:shd w:val="solid" w:color="FFFFFF" w:fill="FFFFFF"/>
          </w:tcPr>
          <w:p>
            <w:pPr>
              <w:spacing w:line="320" w:lineRule="exact"/>
              <w:jc w:val="left"/>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Z7002021000243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99" w:type="dxa"/>
            <w:shd w:val="solid" w:color="FFFFFF" w:fill="FFFFFF"/>
            <w:vAlign w:val="center"/>
          </w:tcPr>
          <w:p>
            <w:pPr>
              <w:spacing w:line="320" w:lineRule="exact"/>
              <w:jc w:val="left"/>
              <w:rPr>
                <w:rFonts w:ascii="宋体" w:hAnsi="宋体"/>
                <w:bCs/>
                <w:sz w:val="18"/>
                <w:szCs w:val="18"/>
              </w:rPr>
            </w:pPr>
            <w:r>
              <w:rPr>
                <w:rFonts w:ascii="宋体" w:hAnsi="宋体"/>
                <w:bCs/>
                <w:sz w:val="18"/>
                <w:szCs w:val="18"/>
              </w:rPr>
              <w:t>【9N213160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销售代码</w:t>
            </w:r>
          </w:p>
        </w:tc>
        <w:tc>
          <w:tcPr>
            <w:tcW w:w="7699" w:type="dxa"/>
            <w:shd w:val="solid" w:color="FFFFFF" w:fill="FFFFFF"/>
            <w:vAlign w:val="center"/>
          </w:tcPr>
          <w:p>
            <w:pPr>
              <w:rPr>
                <w:rFonts w:ascii="宋体" w:hAnsi="宋体"/>
                <w:bCs/>
                <w:sz w:val="18"/>
                <w:szCs w:val="18"/>
              </w:rPr>
            </w:pPr>
            <w:r>
              <w:rPr>
                <w:rFonts w:hint="eastAsia" w:ascii="宋体" w:hAnsi="宋体"/>
                <w:bCs/>
                <w:sz w:val="18"/>
                <w:szCs w:val="18"/>
              </w:rPr>
              <w:t>【A】类</w:t>
            </w:r>
            <w:r>
              <w:rPr>
                <w:rFonts w:ascii="宋体" w:hAnsi="宋体"/>
                <w:bCs/>
                <w:sz w:val="18"/>
                <w:szCs w:val="18"/>
              </w:rPr>
              <w:t>份额：【9N21316</w:t>
            </w:r>
            <w:r>
              <w:rPr>
                <w:rFonts w:hint="eastAsia" w:ascii="宋体" w:hAnsi="宋体"/>
                <w:bCs/>
                <w:sz w:val="18"/>
                <w:szCs w:val="18"/>
              </w:rPr>
              <w:t>A</w:t>
            </w:r>
            <w:r>
              <w:rPr>
                <w:rFonts w:ascii="宋体" w:hAnsi="宋体"/>
                <w:bCs/>
                <w:sz w:val="18"/>
                <w:szCs w:val="18"/>
              </w:rPr>
              <w:t>】</w:t>
            </w:r>
          </w:p>
          <w:p>
            <w:pPr>
              <w:rPr>
                <w:rFonts w:ascii="宋体" w:hAnsi="宋体"/>
                <w:bCs/>
                <w:sz w:val="18"/>
                <w:szCs w:val="18"/>
              </w:rPr>
            </w:pPr>
            <w:r>
              <w:rPr>
                <w:rFonts w:hint="eastAsia" w:ascii="宋体" w:hAnsi="宋体"/>
                <w:bCs/>
                <w:sz w:val="18"/>
                <w:szCs w:val="18"/>
              </w:rPr>
              <w:t>【</w:t>
            </w:r>
            <w:r>
              <w:rPr>
                <w:rFonts w:ascii="宋体" w:hAnsi="宋体"/>
                <w:bCs/>
                <w:sz w:val="18"/>
                <w:szCs w:val="18"/>
              </w:rPr>
              <w:t>B</w:t>
            </w:r>
            <w:r>
              <w:rPr>
                <w:rFonts w:hint="eastAsia" w:ascii="宋体" w:hAnsi="宋体"/>
                <w:bCs/>
                <w:sz w:val="18"/>
                <w:szCs w:val="18"/>
              </w:rPr>
              <w:t>】类</w:t>
            </w:r>
            <w:r>
              <w:rPr>
                <w:rFonts w:ascii="宋体" w:hAnsi="宋体"/>
                <w:bCs/>
                <w:sz w:val="18"/>
                <w:szCs w:val="18"/>
              </w:rPr>
              <w:t>份额：【9N21316</w:t>
            </w:r>
            <w:r>
              <w:rPr>
                <w:rFonts w:hint="eastAsia" w:ascii="宋体" w:hAnsi="宋体"/>
                <w:bCs/>
                <w:sz w:val="18"/>
                <w:szCs w:val="18"/>
              </w:rPr>
              <w:t>B</w:t>
            </w:r>
            <w:r>
              <w:rPr>
                <w:rFonts w:ascii="宋体" w:hAnsi="宋体"/>
                <w:bCs/>
                <w:sz w:val="18"/>
                <w:szCs w:val="18"/>
              </w:rPr>
              <w:t>】</w:t>
            </w:r>
          </w:p>
          <w:p>
            <w:pPr>
              <w:spacing w:line="276" w:lineRule="auto"/>
              <w:jc w:val="left"/>
              <w:rPr>
                <w:rFonts w:ascii="宋体" w:hAnsi="宋体"/>
                <w:bCs/>
                <w:sz w:val="18"/>
                <w:szCs w:val="18"/>
              </w:rPr>
            </w:pPr>
            <w:r>
              <w:rPr>
                <w:rFonts w:hint="eastAsia" w:ascii="宋体" w:hAnsi="宋体"/>
                <w:bCs/>
                <w:sz w:val="18"/>
                <w:szCs w:val="18"/>
              </w:rPr>
              <w:t>【C】类</w:t>
            </w:r>
            <w:r>
              <w:rPr>
                <w:rFonts w:ascii="宋体" w:hAnsi="宋体"/>
                <w:bCs/>
                <w:sz w:val="18"/>
                <w:szCs w:val="18"/>
              </w:rPr>
              <w:t>份额：【9N21316</w:t>
            </w:r>
            <w:r>
              <w:rPr>
                <w:rFonts w:hint="eastAsia" w:ascii="宋体" w:hAnsi="宋体"/>
                <w:bCs/>
                <w:sz w:val="18"/>
                <w:szCs w:val="18"/>
              </w:rPr>
              <w:t>C</w:t>
            </w:r>
            <w:r>
              <w:rPr>
                <w:rFonts w:ascii="宋体" w:hAnsi="宋体"/>
                <w:bCs/>
                <w:sz w:val="18"/>
                <w:szCs w:val="18"/>
              </w:rPr>
              <w:t>】</w:t>
            </w:r>
          </w:p>
          <w:p>
            <w:pPr>
              <w:rPr>
                <w:rFonts w:ascii="宋体" w:hAnsi="宋体"/>
                <w:bCs/>
                <w:sz w:val="18"/>
                <w:szCs w:val="18"/>
              </w:rPr>
            </w:pPr>
            <w:r>
              <w:rPr>
                <w:rFonts w:hint="eastAsia" w:ascii="宋体" w:hAnsi="宋体"/>
                <w:bCs/>
                <w:sz w:val="18"/>
                <w:szCs w:val="18"/>
              </w:rPr>
              <w:t>【</w:t>
            </w:r>
            <w:r>
              <w:rPr>
                <w:rFonts w:ascii="宋体" w:hAnsi="宋体"/>
                <w:bCs/>
                <w:sz w:val="18"/>
                <w:szCs w:val="18"/>
              </w:rPr>
              <w:t>D</w:t>
            </w:r>
            <w:r>
              <w:rPr>
                <w:rFonts w:hint="eastAsia" w:ascii="宋体" w:hAnsi="宋体"/>
                <w:bCs/>
                <w:sz w:val="18"/>
                <w:szCs w:val="18"/>
              </w:rPr>
              <w:t>】类</w:t>
            </w:r>
            <w:r>
              <w:rPr>
                <w:rFonts w:ascii="宋体" w:hAnsi="宋体"/>
                <w:bCs/>
                <w:sz w:val="18"/>
                <w:szCs w:val="18"/>
              </w:rPr>
              <w:t>份额：【9N21316D】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99" w:type="dxa"/>
            <w:shd w:val="solid" w:color="FFFFFF" w:fill="FFFFFF"/>
            <w:vAlign w:val="center"/>
          </w:tcPr>
          <w:p>
            <w:pPr>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rPr>
                <w:rFonts w:ascii="宋体" w:hAnsi="宋体"/>
                <w:bCs/>
                <w:sz w:val="18"/>
                <w:szCs w:val="18"/>
              </w:rPr>
            </w:pPr>
            <w:r>
              <w:rPr>
                <w:rFonts w:hint="eastAsia" w:ascii="宋体" w:hAnsi="宋体"/>
                <w:bCs/>
                <w:sz w:val="18"/>
                <w:szCs w:val="18"/>
              </w:rPr>
              <w:t>（1）销售名称</w:t>
            </w:r>
          </w:p>
          <w:p>
            <w:pPr>
              <w:rPr>
                <w:rFonts w:ascii="宋体" w:hAnsi="宋体"/>
                <w:bCs/>
                <w:sz w:val="18"/>
                <w:szCs w:val="18"/>
              </w:rPr>
            </w:pPr>
            <w:r>
              <w:rPr>
                <w:rFonts w:hint="eastAsia" w:ascii="宋体" w:hAnsi="宋体"/>
                <w:bCs/>
                <w:sz w:val="18"/>
                <w:szCs w:val="18"/>
              </w:rPr>
              <w:t>（2）销售服务费</w:t>
            </w:r>
          </w:p>
          <w:p>
            <w:pPr>
              <w:rPr>
                <w:rFonts w:ascii="宋体" w:hAnsi="宋体"/>
                <w:bCs/>
                <w:sz w:val="18"/>
                <w:szCs w:val="18"/>
              </w:rPr>
            </w:pPr>
            <w:r>
              <w:rPr>
                <w:rFonts w:hint="eastAsia" w:ascii="宋体" w:hAnsi="宋体"/>
                <w:bCs/>
                <w:sz w:val="18"/>
                <w:szCs w:val="18"/>
              </w:rPr>
              <w:t>（3）销售代码</w:t>
            </w:r>
          </w:p>
          <w:p>
            <w:pPr>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）产品销售对象</w:t>
            </w:r>
          </w:p>
          <w:p>
            <w:pPr>
              <w:rPr>
                <w:rFonts w:ascii="宋体" w:hAnsi="宋体"/>
                <w:bCs/>
                <w:sz w:val="18"/>
                <w:szCs w:val="18"/>
              </w:rPr>
            </w:pPr>
            <w:r>
              <w:rPr>
                <w:rFonts w:hint="eastAsia" w:ascii="宋体" w:hAnsi="宋体"/>
                <w:bCs/>
                <w:sz w:val="18"/>
                <w:szCs w:val="18"/>
              </w:rPr>
              <w:t>（5）销售起点金额（认购、申购的起点金额）</w:t>
            </w:r>
          </w:p>
          <w:p>
            <w:pPr>
              <w:rPr>
                <w:rFonts w:ascii="宋体" w:hAnsi="宋体"/>
                <w:bCs/>
                <w:sz w:val="18"/>
                <w:szCs w:val="18"/>
              </w:rPr>
            </w:pPr>
            <w:r>
              <w:rPr>
                <w:rFonts w:hint="eastAsia" w:ascii="宋体" w:hAnsi="宋体"/>
                <w:bCs/>
                <w:sz w:val="18"/>
                <w:szCs w:val="18"/>
              </w:rPr>
              <w:t>（6）认购、申购和赎回的数量限制</w:t>
            </w:r>
          </w:p>
          <w:p>
            <w:pPr>
              <w:rPr>
                <w:rFonts w:ascii="宋体" w:hAnsi="宋体"/>
                <w:bCs/>
                <w:sz w:val="18"/>
                <w:szCs w:val="18"/>
              </w:rPr>
            </w:pPr>
            <w:r>
              <w:rPr>
                <w:rFonts w:hint="eastAsia" w:ascii="宋体" w:hAnsi="宋体"/>
                <w:bCs/>
                <w:sz w:val="18"/>
                <w:szCs w:val="18"/>
              </w:rPr>
              <w:t>（7）分别计算和公告产品份额净值</w:t>
            </w:r>
          </w:p>
          <w:p>
            <w:pPr>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99" w:type="dxa"/>
            <w:shd w:val="solid" w:color="FFFFFF" w:fill="FFFFFF"/>
            <w:vAlign w:val="center"/>
          </w:tcPr>
          <w:p>
            <w:pPr>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w:t>
            </w:r>
            <w:r>
              <w:rPr>
                <w:rFonts w:ascii="宋体" w:hAnsi="宋体"/>
                <w:bCs/>
                <w:sz w:val="18"/>
                <w:szCs w:val="18"/>
              </w:rPr>
              <w:t>固定收益类</w:t>
            </w:r>
            <w:r>
              <w:rPr>
                <w:rFonts w:hint="eastAsia" w:ascii="宋体" w:hAnsi="宋体"/>
                <w:bCs/>
                <w:sz w:val="18"/>
                <w:szCs w:val="18"/>
              </w:rPr>
              <w:t>、非保本浮动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99" w:type="dxa"/>
            <w:shd w:val="solid" w:color="FFFFFF" w:fill="FFFFFF"/>
            <w:vAlign w:val="center"/>
          </w:tcPr>
          <w:p>
            <w:pPr>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99" w:type="dxa"/>
            <w:shd w:val="solid" w:color="FFFFFF" w:fill="FFFFFF"/>
            <w:vAlign w:val="center"/>
          </w:tcPr>
          <w:p>
            <w:pPr>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99" w:type="dxa"/>
            <w:shd w:val="solid" w:color="FFFFFF" w:fill="FFFFFF"/>
            <w:vAlign w:val="center"/>
          </w:tcPr>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99" w:type="dxa"/>
            <w:shd w:val="solid" w:color="FFFFFF" w:fill="FFFFFF"/>
            <w:vAlign w:val="center"/>
          </w:tcPr>
          <w:p>
            <w:pPr>
              <w:adjustRightInd w:val="0"/>
              <w:snapToGrid w:val="0"/>
              <w:spacing w:line="276"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276"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276"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兴银理财对本产品的本金并不提供保证，也不承诺任何固定收益。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99" w:type="dxa"/>
            <w:shd w:val="solid" w:color="FFFFFF" w:fill="FFFFFF"/>
            <w:vAlign w:val="center"/>
          </w:tcPr>
          <w:p>
            <w:pPr>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内部风险评级</w:t>
            </w:r>
          </w:p>
        </w:tc>
        <w:tc>
          <w:tcPr>
            <w:tcW w:w="7699" w:type="dxa"/>
            <w:shd w:val="solid" w:color="FFFFFF" w:fill="FFFFFF"/>
          </w:tcPr>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rPr>
                <w:rFonts w:ascii="黑体" w:hAnsi="黑体" w:eastAsia="黑体"/>
                <w:sz w:val="18"/>
                <w:szCs w:val="18"/>
              </w:rPr>
            </w:pPr>
            <w:r>
              <w:rPr>
                <w:rFonts w:hint="eastAsia" w:ascii="黑体" w:hAnsi="黑体" w:eastAsia="黑体"/>
                <w:sz w:val="18"/>
                <w:szCs w:val="18"/>
              </w:rPr>
              <w:t>本评级为理财产品管理人内部评级，仅供参考。</w:t>
            </w:r>
          </w:p>
          <w:p>
            <w:pPr>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99" w:type="dxa"/>
            <w:shd w:val="solid" w:color="FFFFFF" w:fill="FFFFFF"/>
            <w:vAlign w:val="bottom"/>
          </w:tcPr>
          <w:p>
            <w:pPr>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rPr>
                <w:rFonts w:ascii="黑体" w:hAnsi="黑体" w:eastAsia="黑体"/>
                <w:bCs/>
                <w:sz w:val="18"/>
                <w:szCs w:val="18"/>
              </w:rPr>
            </w:pPr>
            <w:r>
              <w:rPr>
                <w:rFonts w:hint="eastAsia" w:ascii="黑体" w:hAnsi="黑体" w:eastAsia="黑体"/>
                <w:bCs/>
                <w:sz w:val="18"/>
                <w:szCs w:val="18"/>
              </w:rPr>
              <w:t>本“适合投资者类型”的划分与表述为产品管理人内部设置的标准，仅供参考。</w:t>
            </w:r>
          </w:p>
          <w:p>
            <w:pPr>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针对“适合投资者类型”的不同划分与表述的特别提示</w:t>
            </w:r>
          </w:p>
          <w:p>
            <w:pPr>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）销售服务机构在销售本产品时，其对“适合投资者类型”的划分与表述可能与产品管理人存在差异，即采用销售服务机构内部设置的标准。</w:t>
            </w:r>
          </w:p>
          <w:p>
            <w:pPr>
              <w:rPr>
                <w:rFonts w:ascii="黑体" w:hAnsi="黑体" w:eastAsia="黑体"/>
                <w:bCs/>
                <w:sz w:val="18"/>
                <w:szCs w:val="18"/>
              </w:rPr>
            </w:pPr>
            <w:r>
              <w:rPr>
                <w:rFonts w:hint="eastAsia" w:ascii="黑体" w:hAnsi="黑体" w:eastAsia="黑体"/>
                <w:bCs/>
                <w:sz w:val="18"/>
                <w:szCs w:val="18"/>
              </w:rPr>
              <w:t>（2）销售服务机构应以书面的方式向投资者明示其对“适合投资者类型”的划分与表述。</w:t>
            </w:r>
          </w:p>
          <w:p>
            <w:pPr>
              <w:rPr>
                <w:rFonts w:asciiTheme="majorEastAsia" w:hAnsiTheme="majorEastAsia" w:eastAsiaTheme="majorEastAsia"/>
                <w:bCs/>
                <w:sz w:val="18"/>
                <w:szCs w:val="18"/>
              </w:rPr>
            </w:pPr>
            <w:r>
              <w:rPr>
                <w:rFonts w:hint="eastAsia" w:ascii="黑体" w:hAnsi="黑体" w:eastAsia="黑体"/>
                <w:bCs/>
                <w:sz w:val="18"/>
                <w:szCs w:val="18"/>
              </w:rPr>
              <w:t>（3）投资者若采用销售服务机构内部设置的“适合投资者类型”标准的，销售服务机构应确保投资者采取销售服务机构标准后仍能与产品管理人所设置的标准存在明确的对应关系。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99" w:type="dxa"/>
            <w:shd w:val="solid" w:color="FFFFFF" w:fill="FFFFFF"/>
            <w:vAlign w:val="center"/>
          </w:tcPr>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99" w:type="dxa"/>
            <w:shd w:val="solid" w:color="FFFFFF" w:fill="FFFFFF"/>
            <w:vAlign w:val="center"/>
          </w:tcPr>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asciiTheme="majorEastAsia" w:hAnsiTheme="majorEastAsia" w:eastAsiaTheme="majorEastAsia"/>
                <w:b/>
                <w:bCs/>
                <w:sz w:val="18"/>
                <w:szCs w:val="18"/>
              </w:rPr>
              <w:t>理财产品托管人</w:t>
            </w:r>
          </w:p>
        </w:tc>
        <w:tc>
          <w:tcPr>
            <w:tcW w:w="7699" w:type="dxa"/>
            <w:shd w:val="solid" w:color="FFFFFF" w:fill="FFFFFF"/>
            <w:vAlign w:val="center"/>
          </w:tcPr>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99" w:type="dxa"/>
            <w:shd w:val="solid" w:color="FFFFFF" w:fill="FFFFFF"/>
            <w:vAlign w:val="center"/>
          </w:tcPr>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1.本产品计划初始募集规模为【3</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】亿元。</w:t>
            </w:r>
          </w:p>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99" w:type="dxa"/>
            <w:shd w:val="solid" w:color="FFFFFF" w:fill="FFFFFF"/>
            <w:vAlign w:val="center"/>
          </w:tcPr>
          <w:p>
            <w:pPr>
              <w:rPr>
                <w:rFonts w:cs="仿宋_GB2312" w:asciiTheme="majorEastAsia" w:hAnsiTheme="majorEastAsia" w:eastAsiaTheme="majorEastAsia"/>
                <w:kern w:val="0"/>
                <w:sz w:val="18"/>
                <w:szCs w:val="18"/>
              </w:rPr>
            </w:pPr>
            <w:r>
              <w:rPr>
                <w:rFonts w:hint="eastAsia" w:cs="仿宋_GB2312" w:asciiTheme="majorEastAsia" w:hAnsiTheme="majorEastAsia" w:eastAsiaTheme="majorEastAsia"/>
                <w:kern w:val="0"/>
                <w:sz w:val="18"/>
                <w:szCs w:val="18"/>
              </w:rPr>
              <w:t>1.本产品的产品期限为【11</w:t>
            </w:r>
            <w:r>
              <w:rPr>
                <w:rFonts w:cs="仿宋_GB2312" w:asciiTheme="majorEastAsia" w:hAnsiTheme="majorEastAsia" w:eastAsiaTheme="majorEastAsia"/>
                <w:kern w:val="0"/>
                <w:sz w:val="18"/>
                <w:szCs w:val="18"/>
              </w:rPr>
              <w:t>33</w:t>
            </w:r>
            <w:r>
              <w:rPr>
                <w:rFonts w:hint="eastAsia" w:cs="仿宋_GB2312" w:asciiTheme="majorEastAsia" w:hAnsiTheme="majorEastAsia" w:eastAsiaTheme="majorEastAsia"/>
                <w:kern w:val="0"/>
                <w:sz w:val="18"/>
                <w:szCs w:val="18"/>
              </w:rPr>
              <w:t>】天。</w:t>
            </w:r>
          </w:p>
          <w:p>
            <w:pPr>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2.本产品的实际产品期限受制于《投资协议书》“第十一条  理财产品的终止与清算”。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99" w:type="dxa"/>
            <w:shd w:val="solid" w:color="FFFFFF" w:fill="FFFFFF"/>
            <w:vAlign w:val="center"/>
          </w:tcPr>
          <w:p>
            <w:pPr>
              <w:rPr>
                <w:rFonts w:cs="Times New Roman" w:asciiTheme="minorEastAsia" w:hAnsiTheme="minorEastAsia"/>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2</w:t>
            </w:r>
            <w:r>
              <w:rPr>
                <w:rFonts w:hint="eastAsia" w:cs="Times New Roman" w:asciiTheme="minorEastAsia" w:hAnsiTheme="minorEastAsia"/>
                <w:sz w:val="18"/>
                <w:szCs w:val="18"/>
              </w:rPr>
              <w:t>】年【2】月【</w:t>
            </w:r>
            <w:r>
              <w:rPr>
                <w:rFonts w:cs="Times New Roman" w:asciiTheme="minorEastAsia" w:hAnsiTheme="minorEastAsia"/>
                <w:sz w:val="18"/>
                <w:szCs w:val="18"/>
              </w:rPr>
              <w:t>17</w:t>
            </w:r>
            <w:r>
              <w:rPr>
                <w:rFonts w:hint="eastAsia" w:cs="Times New Roman" w:asciiTheme="minorEastAsia" w:hAnsiTheme="minorEastAsia"/>
                <w:sz w:val="18"/>
                <w:szCs w:val="18"/>
              </w:rPr>
              <w:t>】日9:00至【202</w:t>
            </w:r>
            <w:r>
              <w:rPr>
                <w:rFonts w:cs="Times New Roman" w:asciiTheme="minorEastAsia" w:hAnsiTheme="minorEastAsia"/>
                <w:sz w:val="18"/>
                <w:szCs w:val="18"/>
              </w:rPr>
              <w:t>2</w:t>
            </w:r>
            <w:r>
              <w:rPr>
                <w:rFonts w:hint="eastAsia" w:cs="Times New Roman" w:asciiTheme="minorEastAsia" w:hAnsiTheme="minorEastAsia"/>
                <w:sz w:val="18"/>
                <w:szCs w:val="18"/>
              </w:rPr>
              <w:t>】年【</w:t>
            </w:r>
            <w:r>
              <w:rPr>
                <w:rFonts w:cs="Times New Roman" w:asciiTheme="minorEastAsia" w:hAnsiTheme="minorEastAsia"/>
                <w:sz w:val="18"/>
                <w:szCs w:val="18"/>
              </w:rPr>
              <w:t>3</w:t>
            </w:r>
            <w:r>
              <w:rPr>
                <w:rFonts w:hint="eastAsia" w:cs="Times New Roman" w:asciiTheme="minorEastAsia" w:hAnsiTheme="minorEastAsia"/>
                <w:sz w:val="18"/>
                <w:szCs w:val="18"/>
              </w:rPr>
              <w:t>】月【2】日17:00</w:t>
            </w:r>
          </w:p>
          <w:p>
            <w:pPr>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募集期内资金按照活期存款利息计息，认购期/募集期内的利息不计入认购本金</w:t>
            </w:r>
            <w:r>
              <w:rPr>
                <w:rFonts w:hint="eastAsia" w:ascii="宋体" w:hAnsi="宋体"/>
                <w:sz w:val="18"/>
              </w:rPr>
              <w:t>。</w:t>
            </w:r>
          </w:p>
          <w:p>
            <w:pPr>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99" w:type="dxa"/>
            <w:shd w:val="solid" w:color="FFFFFF" w:fill="FFFFFF"/>
            <w:vAlign w:val="center"/>
          </w:tcPr>
          <w:p>
            <w:pPr>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99" w:type="dxa"/>
            <w:shd w:val="solid" w:color="FFFFFF" w:fill="FFFFFF"/>
            <w:vAlign w:val="center"/>
          </w:tcPr>
          <w:p>
            <w:pPr>
              <w:spacing w:line="280" w:lineRule="atLeast"/>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022】年【3</w:t>
            </w:r>
            <w:r>
              <w:rPr>
                <w:rFonts w:hint="eastAsia" w:cs="Times New Roman" w:asciiTheme="minorEastAsia" w:hAnsiTheme="minorEastAsia"/>
                <w:sz w:val="18"/>
                <w:szCs w:val="18"/>
              </w:rPr>
              <w:t>】月【</w:t>
            </w:r>
            <w:r>
              <w:rPr>
                <w:rFonts w:cs="Times New Roman" w:asciiTheme="minorEastAsia" w:hAnsiTheme="minorEastAsia"/>
                <w:sz w:val="18"/>
                <w:szCs w:val="18"/>
              </w:rPr>
              <w:t>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rPr>
                <w:rFonts w:asciiTheme="minorEastAsia" w:hAnsiTheme="min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p>
            <w:pPr>
              <w:rPr>
                <w:rFonts w:asciiTheme="minorEastAsia" w:hAnsiTheme="minorEastAsia"/>
                <w:bCs/>
                <w:sz w:val="18"/>
                <w:szCs w:val="18"/>
              </w:rPr>
            </w:pPr>
            <w:r>
              <w:rPr>
                <w:rFonts w:hint="eastAsia" w:asciiTheme="minorEastAsia" w:hAnsiTheme="minorEastAsia"/>
                <w:bCs/>
                <w:sz w:val="18"/>
                <w:szCs w:val="18"/>
              </w:rPr>
              <w:t>3.因市场剧烈波动、理财产品未达募集下限以及不可抗力等原因，经产品管理人谨慎合理判断难以实现本理财产品原定投资计划的，产品管理人有权宣布本理财产品不成立，并及时返还投资者理财资金。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inorEastAsia" w:hAnsiTheme="minorEastAsia"/>
                <w:b/>
                <w:bCs/>
                <w:sz w:val="18"/>
                <w:szCs w:val="18"/>
              </w:rPr>
            </w:pPr>
            <w:r>
              <w:rPr>
                <w:rFonts w:hint="eastAsia" w:asciiTheme="minorEastAsia" w:hAnsiTheme="minorEastAsia"/>
                <w:b/>
                <w:bCs/>
                <w:sz w:val="18"/>
                <w:szCs w:val="18"/>
              </w:rPr>
              <w:t>终止日</w:t>
            </w:r>
          </w:p>
        </w:tc>
        <w:tc>
          <w:tcPr>
            <w:tcW w:w="7699" w:type="dxa"/>
            <w:shd w:val="solid" w:color="FFFFFF" w:fill="FFFFFF"/>
            <w:vAlign w:val="center"/>
          </w:tcPr>
          <w:p>
            <w:pPr>
              <w:spacing w:line="280" w:lineRule="atLeast"/>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rPr>
              <w:t>5</w:t>
            </w:r>
            <w:r>
              <w:rPr>
                <w:rFonts w:cs="Times New Roman" w:asciiTheme="minorEastAsia" w:hAnsiTheme="minorEastAsia"/>
                <w:sz w:val="18"/>
                <w:szCs w:val="18"/>
              </w:rPr>
              <w:t>】年【4</w:t>
            </w:r>
            <w:r>
              <w:rPr>
                <w:rFonts w:hint="eastAsia" w:cs="Times New Roman" w:asciiTheme="minorEastAsia" w:hAnsiTheme="minorEastAsia"/>
                <w:sz w:val="18"/>
                <w:szCs w:val="18"/>
              </w:rPr>
              <w:t>】月【</w:t>
            </w:r>
            <w:r>
              <w:rPr>
                <w:rFonts w:cs="Times New Roman" w:asciiTheme="minorEastAsia" w:hAnsiTheme="minorEastAsia"/>
                <w:sz w:val="18"/>
                <w:szCs w:val="18"/>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280" w:lineRule="atLeast"/>
              <w:rPr>
                <w:rFonts w:ascii="宋体" w:hAnsi="宋体"/>
                <w:bCs/>
                <w:sz w:val="18"/>
                <w:szCs w:val="18"/>
              </w:rPr>
            </w:pPr>
            <w:r>
              <w:rPr>
                <w:rFonts w:hint="eastAsia" w:ascii="宋体" w:hAnsi="宋体"/>
                <w:bCs/>
                <w:sz w:val="18"/>
                <w:szCs w:val="18"/>
              </w:rPr>
              <w:t>2.本产品的实际终止日受制于</w:t>
            </w:r>
            <w:r>
              <w:rPr>
                <w:rFonts w:hint="eastAsia" w:cs="仿宋_GB2312" w:asciiTheme="majorEastAsia" w:hAnsiTheme="majorEastAsia" w:eastAsiaTheme="majorEastAsia"/>
                <w:kern w:val="0"/>
                <w:sz w:val="18"/>
                <w:szCs w:val="18"/>
              </w:rPr>
              <w:t>《投资协议书》“第十一条  理财产品的终止与清算”。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99" w:type="dxa"/>
            <w:shd w:val="solid" w:color="FFFFFF" w:fill="FFFFFF"/>
            <w:vAlign w:val="center"/>
          </w:tcPr>
          <w:p>
            <w:pPr>
              <w:rPr>
                <w:rFonts w:asciiTheme="majorEastAsia" w:hAnsiTheme="majorEastAsia" w:eastAsiaTheme="majorEastAsia"/>
                <w:bCs/>
                <w:sz w:val="18"/>
                <w:szCs w:val="18"/>
              </w:rPr>
            </w:pPr>
            <w:r>
              <w:rPr>
                <w:rFonts w:hint="eastAsia" w:ascii="宋体" w:hAnsi="宋体"/>
                <w:bCs/>
                <w:sz w:val="18"/>
                <w:szCs w:val="18"/>
              </w:rPr>
              <w:t>【A】类</w:t>
            </w:r>
            <w:r>
              <w:rPr>
                <w:rFonts w:ascii="宋体" w:hAnsi="宋体"/>
                <w:bCs/>
                <w:sz w:val="18"/>
                <w:szCs w:val="18"/>
              </w:rPr>
              <w:t>份额：</w:t>
            </w: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w:t>
            </w:r>
            <w:r>
              <w:rPr>
                <w:rFonts w:asciiTheme="minorEastAsia" w:hAnsiTheme="minorEastAsia" w:eastAsiaTheme="minorEastAsia"/>
                <w:sz w:val="18"/>
                <w:szCs w:val="18"/>
              </w:rPr>
              <w:t>0.01</w:t>
            </w:r>
            <w:r>
              <w:rPr>
                <w:rFonts w:hint="eastAsia" w:asciiTheme="majorEastAsia" w:hAnsiTheme="majorEastAsia" w:eastAsiaTheme="majorEastAsia"/>
                <w:bCs/>
                <w:sz w:val="18"/>
                <w:szCs w:val="18"/>
              </w:rPr>
              <w:t>】元的整数倍递增。</w:t>
            </w:r>
          </w:p>
          <w:p>
            <w:pPr>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B</w:t>
            </w:r>
            <w:r>
              <w:rPr>
                <w:rFonts w:hint="eastAsia" w:ascii="宋体" w:hAnsi="宋体"/>
                <w:bCs/>
                <w:sz w:val="18"/>
                <w:szCs w:val="18"/>
              </w:rPr>
              <w:t>】类</w:t>
            </w:r>
            <w:r>
              <w:rPr>
                <w:rFonts w:ascii="宋体" w:hAnsi="宋体"/>
                <w:bCs/>
                <w:sz w:val="18"/>
                <w:szCs w:val="18"/>
              </w:rPr>
              <w:t>份额：</w:t>
            </w: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inorEastAsia" w:hAnsiTheme="minorEastAsia" w:eastAsiaTheme="minorEastAsia"/>
                <w:sz w:val="18"/>
                <w:szCs w:val="18"/>
              </w:rPr>
              <w:t>300,000</w:t>
            </w:r>
            <w:r>
              <w:rPr>
                <w:rFonts w:hint="eastAsia" w:asciiTheme="minorEastAsia" w:hAnsiTheme="minorEastAsia" w:eastAsiaTheme="minorEastAsia"/>
                <w:sz w:val="18"/>
                <w:szCs w:val="18"/>
              </w:rPr>
              <w:t>.00</w:t>
            </w:r>
            <w:r>
              <w:rPr>
                <w:rFonts w:hint="eastAsia" w:asciiTheme="majorEastAsia" w:hAnsiTheme="majorEastAsia" w:eastAsiaTheme="majorEastAsia"/>
                <w:bCs/>
                <w:sz w:val="18"/>
                <w:szCs w:val="18"/>
              </w:rPr>
              <w:t>】元；超出起点金额的部分以【</w:t>
            </w:r>
            <w:r>
              <w:rPr>
                <w:rFonts w:hint="eastAsia" w:asciiTheme="minorEastAsia" w:hAnsiTheme="minorEastAsia" w:eastAsiaTheme="minorEastAsia"/>
                <w:sz w:val="18"/>
                <w:szCs w:val="18"/>
              </w:rPr>
              <w:t>1</w:t>
            </w:r>
            <w:r>
              <w:rPr>
                <w:rFonts w:asciiTheme="minorEastAsia" w:hAnsiTheme="minorEastAsia" w:eastAsiaTheme="minorEastAsia"/>
                <w:sz w:val="18"/>
                <w:szCs w:val="18"/>
              </w:rPr>
              <w:t>0,000</w:t>
            </w:r>
            <w:r>
              <w:rPr>
                <w:rFonts w:hint="eastAsia" w:asciiTheme="minorEastAsia" w:hAnsiTheme="minorEastAsia" w:eastAsiaTheme="minorEastAsia"/>
                <w:sz w:val="18"/>
                <w:szCs w:val="18"/>
              </w:rPr>
              <w:t>.00</w:t>
            </w:r>
            <w:r>
              <w:rPr>
                <w:rFonts w:hint="eastAsia" w:asciiTheme="majorEastAsia" w:hAnsiTheme="majorEastAsia" w:eastAsiaTheme="majorEastAsia"/>
                <w:bCs/>
                <w:sz w:val="18"/>
                <w:szCs w:val="18"/>
              </w:rPr>
              <w:t>】元的整数倍递增。</w:t>
            </w:r>
          </w:p>
          <w:p>
            <w:pPr>
              <w:rPr>
                <w:rFonts w:asciiTheme="majorEastAsia" w:hAnsiTheme="majorEastAsia" w:eastAsiaTheme="majorEastAsia"/>
                <w:bCs/>
                <w:sz w:val="18"/>
                <w:szCs w:val="18"/>
              </w:rPr>
            </w:pPr>
            <w:r>
              <w:rPr>
                <w:rFonts w:hint="eastAsia" w:ascii="宋体" w:hAnsi="宋体"/>
                <w:bCs/>
                <w:sz w:val="18"/>
                <w:szCs w:val="18"/>
              </w:rPr>
              <w:t>【C】类</w:t>
            </w:r>
            <w:r>
              <w:rPr>
                <w:rFonts w:ascii="宋体" w:hAnsi="宋体"/>
                <w:bCs/>
                <w:sz w:val="18"/>
                <w:szCs w:val="18"/>
              </w:rPr>
              <w:t>份额：</w:t>
            </w: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w:t>
            </w:r>
            <w:r>
              <w:rPr>
                <w:rFonts w:hint="eastAsia" w:asciiTheme="minorEastAsia" w:hAnsiTheme="minorEastAsia" w:eastAsiaTheme="minorEastAsia"/>
                <w:sz w:val="18"/>
                <w:szCs w:val="18"/>
              </w:rPr>
              <w:t>0.</w:t>
            </w:r>
            <w:r>
              <w:rPr>
                <w:rFonts w:asciiTheme="minorEastAsia" w:hAnsiTheme="minorEastAsia" w:eastAsiaTheme="minorEastAsia"/>
                <w:sz w:val="18"/>
                <w:szCs w:val="18"/>
              </w:rPr>
              <w:t>01</w:t>
            </w:r>
            <w:r>
              <w:rPr>
                <w:rFonts w:hint="eastAsia" w:asciiTheme="majorEastAsia" w:hAnsiTheme="majorEastAsia" w:eastAsiaTheme="majorEastAsia"/>
                <w:bCs/>
                <w:sz w:val="18"/>
                <w:szCs w:val="18"/>
              </w:rPr>
              <w:t>】元的整数倍递增。</w:t>
            </w:r>
          </w:p>
          <w:p>
            <w:pPr>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D</w:t>
            </w:r>
            <w:r>
              <w:rPr>
                <w:rFonts w:hint="eastAsia" w:ascii="宋体" w:hAnsi="宋体"/>
                <w:bCs/>
                <w:sz w:val="18"/>
                <w:szCs w:val="18"/>
              </w:rPr>
              <w:t>】类</w:t>
            </w:r>
            <w:r>
              <w:rPr>
                <w:rFonts w:ascii="宋体" w:hAnsi="宋体"/>
                <w:bCs/>
                <w:sz w:val="18"/>
                <w:szCs w:val="18"/>
              </w:rPr>
              <w:t>份额：</w:t>
            </w: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inorEastAsia" w:hAnsiTheme="minorEastAsia" w:eastAsiaTheme="minorEastAsia"/>
                <w:sz w:val="18"/>
                <w:szCs w:val="18"/>
              </w:rPr>
              <w:t>1,000</w:t>
            </w:r>
            <w:r>
              <w:rPr>
                <w:rFonts w:hint="eastAsia" w:asciiTheme="minorEastAsia" w:hAnsiTheme="minorEastAsia" w:eastAsiaTheme="minorEastAsia"/>
                <w:sz w:val="18"/>
                <w:szCs w:val="18"/>
              </w:rPr>
              <w:t>.00</w:t>
            </w:r>
            <w:r>
              <w:rPr>
                <w:rFonts w:hint="eastAsia" w:asciiTheme="majorEastAsia" w:hAnsiTheme="majorEastAsia" w:eastAsiaTheme="majorEastAsia"/>
                <w:bCs/>
                <w:sz w:val="18"/>
                <w:szCs w:val="18"/>
              </w:rPr>
              <w:t>】元；超出起点金额的部分以【</w:t>
            </w:r>
            <w:r>
              <w:rPr>
                <w:rFonts w:hint="eastAsia" w:asciiTheme="minorEastAsia" w:hAnsiTheme="minorEastAsia" w:eastAsiaTheme="minorEastAsia"/>
                <w:sz w:val="18"/>
                <w:szCs w:val="18"/>
              </w:rPr>
              <w:t>0.</w:t>
            </w:r>
            <w:r>
              <w:rPr>
                <w:rFonts w:asciiTheme="minorEastAsia" w:hAnsiTheme="minorEastAsia" w:eastAsiaTheme="minorEastAsia"/>
                <w:sz w:val="18"/>
                <w:szCs w:val="18"/>
              </w:rPr>
              <w:t>01</w:t>
            </w:r>
            <w:r>
              <w:rPr>
                <w:rFonts w:hint="eastAsia" w:asciiTheme="majorEastAsia" w:hAnsiTheme="majorEastAsia" w:eastAsiaTheme="majorEastAsia"/>
                <w:bCs/>
                <w:sz w:val="18"/>
                <w:szCs w:val="18"/>
              </w:rPr>
              <w:t>】元的整数倍递增。</w:t>
            </w:r>
          </w:p>
          <w:p>
            <w:pPr>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20" w:lineRule="exact"/>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99" w:type="dxa"/>
            <w:shd w:val="solid" w:color="FFFFFF" w:fill="FFFFFF"/>
            <w:vAlign w:val="center"/>
          </w:tcPr>
          <w:p>
            <w:pPr>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99" w:type="dxa"/>
            <w:shd w:val="solid" w:color="FFFFFF" w:fill="FFFFFF"/>
            <w:vAlign w:val="center"/>
          </w:tcPr>
          <w:p>
            <w:pPr>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初始投资本金。投资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20" w:lineRule="exact"/>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r>
              <w:rPr>
                <w:rFonts w:hint="eastAsia" w:asciiTheme="majorEastAsia" w:hAnsiTheme="majorEastAsia" w:eastAsiaTheme="majorEastAsia"/>
                <w:bCs/>
                <w:sz w:val="18"/>
                <w:szCs w:val="18"/>
              </w:rPr>
              <w:t>和兑付</w:t>
            </w:r>
            <w:r>
              <w:rPr>
                <w:rFonts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99"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【根据本产品各类资产的拟投资比例、资产信用利差、久期敞口以及流动性溢价，结合当前宏观环境和各类资产价格所处的位置，参考历史经验和回测结果。</w:t>
            </w:r>
            <w:r>
              <w:rPr>
                <w:rFonts w:ascii="宋体" w:hAnsi="宋体"/>
                <w:b/>
                <w:bCs/>
                <w:sz w:val="18"/>
                <w:szCs w:val="18"/>
              </w:rPr>
              <w:t>】</w:t>
            </w:r>
            <w:r>
              <w:rPr>
                <w:rFonts w:hint="eastAsia" w:asciiTheme="majorEastAsia" w:hAnsiTheme="majorEastAsia" w:eastAsiaTheme="majorEastAsia"/>
                <w:bCs/>
                <w:sz w:val="18"/>
                <w:szCs w:val="18"/>
              </w:rPr>
              <w:t>，管理人对</w:t>
            </w:r>
            <w:r>
              <w:rPr>
                <w:rFonts w:asciiTheme="majorEastAsia" w:hAnsiTheme="majorEastAsia" w:eastAsiaTheme="majorEastAsia"/>
                <w:bCs/>
                <w:sz w:val="18"/>
                <w:szCs w:val="18"/>
              </w:rPr>
              <w:t>本产品设定</w:t>
            </w:r>
            <w:r>
              <w:rPr>
                <w:rFonts w:hint="eastAsia" w:asciiTheme="majorEastAsia" w:hAnsiTheme="majorEastAsia" w:eastAsiaTheme="majorEastAsia"/>
                <w:bCs/>
                <w:sz w:val="18"/>
                <w:szCs w:val="18"/>
              </w:rPr>
              <w:t>业绩比较基准：</w:t>
            </w:r>
          </w:p>
          <w:p>
            <w:pPr>
              <w:spacing w:line="320" w:lineRule="exact"/>
              <w:jc w:val="left"/>
              <w:rPr>
                <w:rFonts w:ascii="宋体" w:hAnsi="宋体"/>
                <w:bCs/>
                <w:sz w:val="18"/>
                <w:szCs w:val="18"/>
              </w:rPr>
            </w:pPr>
            <w:r>
              <w:rPr>
                <w:rFonts w:ascii="宋体" w:hAnsi="宋体"/>
                <w:bCs/>
                <w:sz w:val="18"/>
                <w:szCs w:val="18"/>
              </w:rPr>
              <w:t>A类份额：人民银行一年期定期存款利率（1.50%）+</w:t>
            </w:r>
            <w:r>
              <w:rPr>
                <w:rFonts w:hint="eastAsia" w:ascii="宋体" w:hAnsi="宋体"/>
                <w:bCs/>
                <w:sz w:val="18"/>
                <w:szCs w:val="18"/>
              </w:rPr>
              <w:t>【3.00-3.50%】，即【4.50-5.00%】</w:t>
            </w:r>
            <w:r>
              <w:rPr>
                <w:rFonts w:ascii="宋体" w:hAnsi="宋体"/>
                <w:bCs/>
                <w:sz w:val="18"/>
                <w:szCs w:val="18"/>
              </w:rPr>
              <w:t>。</w:t>
            </w:r>
          </w:p>
          <w:p>
            <w:pPr>
              <w:spacing w:line="320" w:lineRule="exact"/>
              <w:jc w:val="left"/>
              <w:rPr>
                <w:rFonts w:ascii="宋体" w:hAnsi="宋体"/>
                <w:bCs/>
                <w:sz w:val="18"/>
                <w:szCs w:val="18"/>
              </w:rPr>
            </w:pPr>
            <w:r>
              <w:rPr>
                <w:rFonts w:ascii="宋体" w:hAnsi="宋体"/>
                <w:bCs/>
                <w:sz w:val="18"/>
                <w:szCs w:val="18"/>
              </w:rPr>
              <w:t>B类份额：人民银行一年期定期存款利率（1.50%）+</w:t>
            </w:r>
            <w:r>
              <w:rPr>
                <w:rFonts w:hint="eastAsia" w:ascii="宋体" w:hAnsi="宋体"/>
                <w:bCs/>
                <w:sz w:val="18"/>
                <w:szCs w:val="18"/>
              </w:rPr>
              <w:t>【3.10-3.60%】，即【4.60-5.10%】。</w:t>
            </w:r>
          </w:p>
          <w:p>
            <w:pPr>
              <w:spacing w:line="320" w:lineRule="exact"/>
              <w:jc w:val="left"/>
              <w:rPr>
                <w:rFonts w:ascii="宋体" w:hAnsi="宋体"/>
                <w:bCs/>
                <w:sz w:val="18"/>
                <w:szCs w:val="18"/>
              </w:rPr>
            </w:pPr>
            <w:r>
              <w:rPr>
                <w:rFonts w:hint="eastAsia" w:ascii="宋体" w:hAnsi="宋体"/>
                <w:bCs/>
                <w:sz w:val="18"/>
                <w:szCs w:val="18"/>
              </w:rPr>
              <w:t>C</w:t>
            </w:r>
            <w:r>
              <w:rPr>
                <w:rFonts w:ascii="宋体" w:hAnsi="宋体"/>
                <w:bCs/>
                <w:sz w:val="18"/>
                <w:szCs w:val="18"/>
              </w:rPr>
              <w:t>类份额：人民银行一年期定期存款利率（1.50%）+</w:t>
            </w:r>
            <w:r>
              <w:rPr>
                <w:rFonts w:hint="eastAsia" w:ascii="宋体" w:hAnsi="宋体"/>
                <w:bCs/>
                <w:sz w:val="18"/>
                <w:szCs w:val="18"/>
              </w:rPr>
              <w:t>【2.90-3.40%】，即【4.40-4.90%】。</w:t>
            </w:r>
          </w:p>
          <w:p>
            <w:pPr>
              <w:spacing w:line="320" w:lineRule="exact"/>
              <w:jc w:val="left"/>
              <w:rPr>
                <w:rFonts w:ascii="宋体" w:hAnsi="宋体"/>
                <w:bCs/>
                <w:sz w:val="18"/>
                <w:szCs w:val="18"/>
              </w:rPr>
            </w:pPr>
            <w:r>
              <w:rPr>
                <w:rFonts w:ascii="宋体" w:hAnsi="宋体"/>
                <w:bCs/>
                <w:sz w:val="18"/>
                <w:szCs w:val="18"/>
              </w:rPr>
              <w:t>D类份额：人民银行一年期定期存款利率（1.50%）+</w:t>
            </w:r>
            <w:r>
              <w:rPr>
                <w:rFonts w:hint="eastAsia" w:ascii="宋体" w:hAnsi="宋体"/>
                <w:bCs/>
                <w:sz w:val="18"/>
                <w:szCs w:val="18"/>
              </w:rPr>
              <w:t>【3.10-3.60%】，即【4.60-5.10%】。</w:t>
            </w:r>
          </w:p>
          <w:p>
            <w:pPr>
              <w:spacing w:line="320" w:lineRule="exact"/>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业绩比较基准不代表理财产品未来表现，不等于理财产品实际收益，不作为产品收益的业绩保证，投资须谨慎。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1945" w:type="dxa"/>
            <w:shd w:val="solid" w:color="FFFFFF" w:fill="FFFFFF"/>
            <w:vAlign w:val="center"/>
          </w:tcPr>
          <w:p>
            <w:pPr>
              <w:spacing w:line="320" w:lineRule="exact"/>
              <w:jc w:val="left"/>
              <w:rPr>
                <w:sz w:val="18"/>
                <w:szCs w:val="18"/>
              </w:rPr>
            </w:pPr>
            <w:r>
              <w:rPr>
                <w:rFonts w:hint="eastAsia"/>
                <w:sz w:val="18"/>
                <w:szCs w:val="18"/>
              </w:rPr>
              <w:t>★</w:t>
            </w:r>
            <w:r>
              <w:rPr>
                <w:rFonts w:hint="eastAsia" w:asciiTheme="majorEastAsia" w:hAnsiTheme="majorEastAsia" w:eastAsiaTheme="majorEastAsia"/>
                <w:b/>
                <w:bCs/>
                <w:sz w:val="18"/>
                <w:szCs w:val="18"/>
              </w:rPr>
              <w:t>理财利益分配</w:t>
            </w:r>
          </w:p>
        </w:tc>
        <w:tc>
          <w:tcPr>
            <w:tcW w:w="7699"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详见《投资协议书》“第九条</w:t>
            </w:r>
            <w:r>
              <w:rPr>
                <w:rFonts w:ascii="宋体" w:hAnsi="宋体"/>
                <w:bCs/>
                <w:sz w:val="18"/>
                <w:szCs w:val="18"/>
              </w:rPr>
              <w:t xml:space="preserve">  </w:t>
            </w:r>
            <w:r>
              <w:rPr>
                <w:rFonts w:hint="eastAsia" w:ascii="宋体" w:hAnsi="宋体"/>
                <w:bCs/>
                <w:sz w:val="18"/>
                <w:szCs w:val="18"/>
              </w:rPr>
              <w:t>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99" w:type="dxa"/>
            <w:shd w:val="solid" w:color="FFFFFF" w:fill="FFFFFF"/>
            <w:vAlign w:val="center"/>
          </w:tcPr>
          <w:p>
            <w:pPr>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认购费：</w:t>
            </w:r>
            <w:r>
              <w:rPr>
                <w:rFonts w:hint="eastAsia" w:asciiTheme="majorEastAsia" w:hAnsiTheme="majorEastAsia" w:eastAsiaTheme="majorEastAsia"/>
                <w:sz w:val="18"/>
                <w:szCs w:val="18"/>
              </w:rPr>
              <w:t>【0.00】%</w:t>
            </w:r>
            <w:r>
              <w:rPr>
                <w:rFonts w:hint="eastAsia" w:ascii="宋体" w:hAnsi="宋体"/>
                <w:bCs/>
                <w:color w:val="000000" w:themeColor="text1"/>
                <w:sz w:val="18"/>
                <w:szCs w:val="18"/>
                <w14:textFill>
                  <w14:solidFill>
                    <w14:schemeClr w14:val="tx1"/>
                  </w14:solidFill>
                </w14:textFill>
              </w:rPr>
              <w:t>。</w:t>
            </w:r>
          </w:p>
          <w:p>
            <w:pPr>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2.销售服</w:t>
            </w:r>
            <w:r>
              <w:rPr>
                <w:rFonts w:hint="eastAsia" w:ascii="宋体" w:hAnsi="宋体"/>
                <w:bCs/>
                <w:color w:val="000000" w:themeColor="text1"/>
                <w:sz w:val="18"/>
                <w:szCs w:val="18"/>
                <w14:textFill>
                  <w14:solidFill>
                    <w14:schemeClr w14:val="tx1"/>
                  </w14:solidFill>
                </w14:textFill>
              </w:rPr>
              <w:t>务费：A/</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4</w:t>
            </w:r>
            <w:r>
              <w:rPr>
                <w:rFonts w:hint="eastAsia" w:asciiTheme="majorEastAsia" w:hAnsiTheme="majorEastAsia" w:eastAsiaTheme="majorEastAsia"/>
                <w:sz w:val="18"/>
                <w:szCs w:val="18"/>
              </w:rPr>
              <w:t>0】%，</w:t>
            </w:r>
            <w:r>
              <w:rPr>
                <w:rFonts w:ascii="宋体" w:hAnsi="宋体"/>
                <w:bCs/>
                <w:color w:val="000000" w:themeColor="text1"/>
                <w:sz w:val="18"/>
                <w:szCs w:val="18"/>
                <w14:textFill>
                  <w14:solidFill>
                    <w14:schemeClr w14:val="tx1"/>
                  </w14:solidFill>
                </w14:textFill>
              </w:rPr>
              <w:t>B/D</w:t>
            </w:r>
            <w:r>
              <w:rPr>
                <w:rFonts w:hint="eastAsia" w:ascii="宋体" w:hAnsi="宋体"/>
                <w:bCs/>
                <w:color w:val="000000" w:themeColor="text1"/>
                <w:sz w:val="18"/>
                <w:szCs w:val="18"/>
                <w14:textFill>
                  <w14:solidFill>
                    <w14:schemeClr w14:val="tx1"/>
                  </w14:solidFill>
                </w14:textFill>
              </w:rPr>
              <w:t>类：</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w:t>
            </w:r>
            <w:r>
              <w:rPr>
                <w:rFonts w:hint="eastAsia" w:asciiTheme="majorEastAsia" w:hAnsiTheme="majorEastAsia" w:eastAsiaTheme="majorEastAsia"/>
                <w:sz w:val="18"/>
                <w:szCs w:val="18"/>
              </w:rPr>
              <w:t>0】%</w:t>
            </w:r>
            <w:r>
              <w:rPr>
                <w:rFonts w:hint="eastAsia" w:ascii="宋体" w:hAnsi="宋体"/>
                <w:bCs/>
                <w:color w:val="000000" w:themeColor="text1"/>
                <w:sz w:val="18"/>
                <w:szCs w:val="18"/>
                <w14:textFill>
                  <w14:solidFill>
                    <w14:schemeClr w14:val="tx1"/>
                  </w14:solidFill>
                </w14:textFill>
              </w:rPr>
              <w:t>。</w:t>
            </w:r>
          </w:p>
          <w:p>
            <w:pP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.03】</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20" w:lineRule="exact"/>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超额业绩报酬：</w:t>
            </w:r>
          </w:p>
          <w:p>
            <w:pPr>
              <w:widowControl/>
              <w:spacing w:line="280" w:lineRule="atLeast"/>
              <w:jc w:val="left"/>
              <w:rPr>
                <w:rFonts w:ascii="宋体" w:hAnsi="宋体"/>
                <w:kern w:val="0"/>
                <w:sz w:val="18"/>
                <w:szCs w:val="18"/>
              </w:rPr>
            </w:pPr>
            <w:r>
              <w:rPr>
                <w:rFonts w:hint="eastAsia" w:ascii="宋体" w:hAnsi="宋体"/>
                <w:sz w:val="18"/>
                <w:szCs w:val="18"/>
              </w:rPr>
              <w:t>每份产品份额在产品终止时，若理财资产扣除销售服务费、产品托管费和投资管理费等相关费用后，产品终止日产品份额净值折算的年化收益率超过当期业绩比较基准上限，则产品管理人收取超出部分的【3</w:t>
            </w:r>
            <w:r>
              <w:rPr>
                <w:rFonts w:ascii="宋体" w:hAnsi="宋体"/>
                <w:sz w:val="18"/>
                <w:szCs w:val="18"/>
              </w:rPr>
              <w:t>0%</w:t>
            </w:r>
            <w:r>
              <w:rPr>
                <w:rFonts w:hint="eastAsia" w:ascii="宋体" w:hAnsi="宋体"/>
                <w:sz w:val="18"/>
                <w:szCs w:val="18"/>
              </w:rPr>
              <w:t>】作为超额业绩报酬，由此造成产品终止日产品份额净值调整的，以调整后的产品份额净值为准进行利益分配和兑付。若该份额持有期间，业绩比较</w:t>
            </w:r>
            <w:r>
              <w:rPr>
                <w:rFonts w:ascii="宋体" w:hAnsi="宋体"/>
                <w:sz w:val="18"/>
                <w:szCs w:val="18"/>
              </w:rPr>
              <w:t>基准上限</w:t>
            </w:r>
            <w:r>
              <w:rPr>
                <w:rFonts w:hint="eastAsia" w:ascii="宋体" w:hAnsi="宋体"/>
                <w:sz w:val="18"/>
                <w:szCs w:val="18"/>
              </w:rPr>
              <w:t>有所调整，以该产品份额持有期间的业绩比较</w:t>
            </w:r>
            <w:r>
              <w:rPr>
                <w:rFonts w:ascii="宋体" w:hAnsi="宋体"/>
                <w:sz w:val="18"/>
                <w:szCs w:val="18"/>
              </w:rPr>
              <w:t>基准上限</w:t>
            </w:r>
            <w:r>
              <w:rPr>
                <w:rFonts w:hint="eastAsia" w:ascii="宋体" w:hAnsi="宋体"/>
                <w:sz w:val="18"/>
                <w:szCs w:val="18"/>
              </w:rPr>
              <w:t>的最高值来计算超额业绩报酬。</w:t>
            </w:r>
          </w:p>
          <w:p>
            <w:pPr>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20" w:lineRule="exact"/>
              <w:jc w:val="left"/>
              <w:rPr>
                <w:rFonts w:hAnsi="宋体"/>
                <w:sz w:val="18"/>
                <w:szCs w:val="18"/>
              </w:rPr>
            </w:pPr>
            <w:r>
              <w:rPr>
                <w:rFonts w:hint="eastAsia" w:ascii="宋体" w:hAnsi="宋体"/>
                <w:b/>
                <w:bCs/>
                <w:kern w:val="0"/>
                <w:sz w:val="18"/>
                <w:szCs w:val="18"/>
              </w:rPr>
              <w:t>税收</w:t>
            </w:r>
          </w:p>
        </w:tc>
        <w:tc>
          <w:tcPr>
            <w:tcW w:w="7699" w:type="dxa"/>
            <w:shd w:val="solid" w:color="FFFFFF" w:fill="FFFFFF"/>
            <w:vAlign w:val="center"/>
          </w:tcPr>
          <w:p>
            <w:pPr>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99"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99"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280" w:lineRule="exact"/>
        <w:rPr>
          <w:rFonts w:hAnsi="宋体"/>
          <w:sz w:val="18"/>
          <w:szCs w:val="18"/>
        </w:rPr>
      </w:pPr>
    </w:p>
    <w:p>
      <w:pPr>
        <w:sectPr>
          <w:headerReference r:id="rId7" w:type="default"/>
          <w:footerReference r:id="rId8" w:type="default"/>
          <w:pgSz w:w="11906" w:h="16838"/>
          <w:pgMar w:top="1276" w:right="1800" w:bottom="1418" w:left="1800" w:header="567" w:footer="850" w:gutter="0"/>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兴银理财天天万利宝稳利恒盈净值型理财产品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4"/>
              <w:jc w:val="both"/>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产品兑付，账号：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kern w:val="0"/>
          <w:sz w:val="18"/>
        </w:rPr>
      </w:pPr>
      <w:r>
        <w:rPr>
          <w:rFonts w:ascii="宋体" w:hAnsi="宋体"/>
          <w:kern w:val="0"/>
          <w:sz w:val="18"/>
        </w:rPr>
        <w:t>1</w:t>
      </w:r>
      <w:r>
        <w:rPr>
          <w:rFonts w:hint="eastAsia" w:ascii="宋体" w:hAnsi="宋体"/>
          <w:kern w:val="0"/>
          <w:sz w:val="18"/>
        </w:rPr>
        <w:t>、</w:t>
      </w:r>
      <w:r>
        <w:rPr>
          <w:rFonts w:ascii="宋体" w:hAnsi="宋体"/>
          <w:kern w:val="0"/>
          <w:sz w:val="18"/>
        </w:rPr>
        <w:t>乙方销售性质</w:t>
      </w:r>
    </w:p>
    <w:p>
      <w:pPr>
        <w:widowControl/>
        <w:spacing w:line="360" w:lineRule="auto"/>
        <w:jc w:val="left"/>
        <w:rPr>
          <w:rFonts w:ascii="宋体" w:hAnsi="宋体"/>
          <w:kern w:val="0"/>
          <w:sz w:val="18"/>
        </w:rPr>
      </w:pPr>
      <w:r>
        <w:rPr>
          <w:rFonts w:hint="eastAsia" w:ascii="宋体" w:hAnsi="宋体"/>
          <w:kern w:val="0"/>
          <w:sz w:val="18"/>
        </w:rPr>
        <w:t>□</w:t>
      </w:r>
      <w:r>
        <w:rPr>
          <w:rFonts w:ascii="宋体" w:hAnsi="宋体"/>
          <w:kern w:val="0"/>
          <w:sz w:val="18"/>
        </w:rPr>
        <w:t xml:space="preserve"> </w:t>
      </w:r>
      <w:r>
        <w:rPr>
          <w:rFonts w:hint="eastAsia" w:ascii="宋体" w:hAnsi="宋体"/>
          <w:kern w:val="0"/>
          <w:sz w:val="18"/>
        </w:rPr>
        <w:t>直销适用</w:t>
      </w:r>
    </w:p>
    <w:p>
      <w:pPr>
        <w:widowControl/>
        <w:spacing w:line="360" w:lineRule="auto"/>
        <w:jc w:val="left"/>
        <w:rPr>
          <w:rFonts w:ascii="宋体" w:hAnsi="宋体"/>
          <w:kern w:val="0"/>
          <w:sz w:val="18"/>
        </w:rPr>
      </w:pPr>
      <w:r>
        <w:rPr>
          <w:rFonts w:hint="eastAsia" w:ascii="宋体" w:hAnsi="宋体"/>
          <w:kern w:val="0"/>
          <w:sz w:val="18"/>
        </w:rPr>
        <w:t>本理财产品为乙方所发行的理财产品，乙方既作为理财产品的销售机构，又是理财产品管理人，对理财产品的业绩不承担任何保证和其他经济责任，不承担理财产品的投资、兑付和风险管理责任。乙方受理的销售理财产品业务申请，以产品管理人的最终确认结果为准。</w:t>
      </w:r>
    </w:p>
    <w:p>
      <w:pPr>
        <w:widowControl/>
        <w:spacing w:line="360" w:lineRule="auto"/>
        <w:jc w:val="left"/>
        <w:rPr>
          <w:rFonts w:ascii="宋体" w:hAnsi="宋体"/>
          <w:kern w:val="0"/>
          <w:sz w:val="18"/>
        </w:rPr>
      </w:pPr>
      <w:r>
        <w:rPr>
          <w:rFonts w:hint="eastAsia" w:ascii="宋体" w:hAnsi="宋体"/>
          <w:kern w:val="0"/>
          <w:sz w:val="18"/>
        </w:rPr>
        <w:t>■</w:t>
      </w:r>
      <w:r>
        <w:rPr>
          <w:rFonts w:ascii="宋体" w:hAnsi="宋体"/>
          <w:kern w:val="0"/>
          <w:sz w:val="18"/>
        </w:rPr>
        <w:t xml:space="preserve"> </w:t>
      </w:r>
      <w:r>
        <w:rPr>
          <w:rFonts w:hint="eastAsia" w:ascii="宋体" w:hAnsi="宋体"/>
          <w:kern w:val="0"/>
          <w:sz w:val="18"/>
        </w:rPr>
        <w:t>代销适用</w:t>
      </w:r>
    </w:p>
    <w:p>
      <w:pPr>
        <w:widowControl/>
        <w:spacing w:line="360" w:lineRule="auto"/>
        <w:jc w:val="left"/>
        <w:rPr>
          <w:rFonts w:ascii="宋体" w:hAnsi="宋体"/>
          <w:kern w:val="0"/>
          <w:sz w:val="18"/>
        </w:rPr>
      </w:pPr>
      <w:r>
        <w:rPr>
          <w:rFonts w:hint="eastAsia" w:ascii="宋体" w:hAnsi="宋体"/>
          <w:kern w:val="0"/>
          <w:sz w:val="18"/>
        </w:rPr>
        <w:t>本理财产品非乙方所发行的理财产品，乙方仅作为理财产品的代理销售机构，非理财产品管理人，对理财产品的业绩不承担任何保证和其他经济责任，不承担理财产品的投资、兑付和风险管理责任。乙方受理的销售理财产品业务申请，以产品管理人的最终确认结果为准。</w:t>
      </w:r>
    </w:p>
    <w:p>
      <w:pPr>
        <w:widowControl/>
        <w:spacing w:line="360" w:lineRule="auto"/>
        <w:jc w:val="left"/>
        <w:rPr>
          <w:rFonts w:ascii="宋体" w:hAnsi="宋体"/>
          <w:kern w:val="0"/>
          <w:sz w:val="18"/>
        </w:rPr>
      </w:pPr>
      <w:r>
        <w:rPr>
          <w:rFonts w:ascii="宋体" w:hAnsi="宋体"/>
          <w:kern w:val="0"/>
          <w:sz w:val="18"/>
        </w:rPr>
        <w:t>2、本</w:t>
      </w:r>
      <w:r>
        <w:rPr>
          <w:rFonts w:hint="eastAsia" w:ascii="宋体" w:hAnsi="宋体"/>
          <w:kern w:val="0"/>
          <w:sz w:val="18"/>
        </w:rPr>
        <w:t>理财产品可能面临信用风险、市场风险、流动性风险等风险因素，具体详见《风险揭示书》。甲方在签署本协议前，应当详细阅读《投资</w:t>
      </w:r>
      <w:r>
        <w:rPr>
          <w:rFonts w:ascii="宋体" w:hAnsi="宋体"/>
          <w:kern w:val="0"/>
          <w:sz w:val="18"/>
        </w:rPr>
        <w:t>协议书</w:t>
      </w:r>
      <w:r>
        <w:rPr>
          <w:rFonts w:hint="eastAsia" w:ascii="宋体" w:hAnsi="宋体"/>
          <w:kern w:val="0"/>
          <w:sz w:val="18"/>
        </w:rPr>
        <w:t>》、《产品说明书》、《（代理）销售</w:t>
      </w:r>
      <w:r>
        <w:rPr>
          <w:rFonts w:ascii="宋体" w:hAnsi="宋体"/>
          <w:kern w:val="0"/>
          <w:sz w:val="18"/>
        </w:rPr>
        <w:t>协议书</w:t>
      </w:r>
      <w:r>
        <w:rPr>
          <w:rFonts w:hint="eastAsia" w:ascii="宋体" w:hAnsi="宋体"/>
          <w:kern w:val="0"/>
          <w:sz w:val="18"/>
        </w:rPr>
        <w:t>》、《风险揭示书》、《投资者权益须知》等完整</w:t>
      </w:r>
      <w:r>
        <w:rPr>
          <w:rFonts w:ascii="宋体" w:hAnsi="宋体"/>
          <w:kern w:val="0"/>
          <w:sz w:val="18"/>
        </w:rPr>
        <w:t>的</w:t>
      </w:r>
      <w:r>
        <w:rPr>
          <w:rFonts w:hint="eastAsia" w:ascii="宋体" w:hAnsi="宋体"/>
          <w:kern w:val="0"/>
          <w:sz w:val="18"/>
        </w:rPr>
        <w:t>理财产品销售文件，并充分了解投资者的全部权利与义务以及理财产品的全部风险。</w:t>
      </w:r>
    </w:p>
    <w:p>
      <w:pPr>
        <w:widowControl/>
        <w:spacing w:line="360" w:lineRule="auto"/>
        <w:jc w:val="left"/>
        <w:rPr>
          <w:rFonts w:ascii="宋体" w:hAnsi="宋体"/>
          <w:kern w:val="0"/>
          <w:sz w:val="18"/>
        </w:rPr>
      </w:pPr>
      <w:r>
        <w:rPr>
          <w:rFonts w:ascii="宋体" w:hAnsi="宋体"/>
          <w:kern w:val="0"/>
          <w:sz w:val="18"/>
        </w:rPr>
        <w:t>3、根据</w:t>
      </w:r>
      <w:r>
        <w:rPr>
          <w:rFonts w:hint="eastAsia" w:ascii="宋体" w:hAnsi="宋体"/>
          <w:kern w:val="0"/>
          <w:sz w:val="18"/>
        </w:rPr>
        <w:t>理财产品投资范围、风险收益特点、流动性等不同因素，乙方作为</w:t>
      </w:r>
      <w:r>
        <w:rPr>
          <w:rFonts w:ascii="宋体" w:hAnsi="宋体"/>
          <w:kern w:val="0"/>
          <w:sz w:val="18"/>
        </w:rPr>
        <w:t>销售机构</w:t>
      </w:r>
      <w:r>
        <w:rPr>
          <w:rFonts w:hint="eastAsia" w:ascii="宋体" w:hAnsi="宋体"/>
          <w:kern w:val="0"/>
          <w:sz w:val="18"/>
        </w:rPr>
        <w:t>将理财产品分为【5】个风险等级</w:t>
      </w:r>
      <w:r>
        <w:rPr>
          <w:rFonts w:ascii="宋体" w:hAnsi="宋体"/>
          <w:kern w:val="0"/>
          <w:sz w:val="18"/>
        </w:rPr>
        <w:t>：</w:t>
      </w:r>
      <w:r>
        <w:rPr>
          <w:rFonts w:hint="eastAsia" w:ascii="宋体" w:hAnsi="宋体"/>
          <w:kern w:val="0"/>
          <w:sz w:val="18"/>
        </w:rPr>
        <w:t>【□</w:t>
      </w:r>
      <w:r>
        <w:rPr>
          <w:rFonts w:ascii="宋体" w:hAnsi="宋体"/>
          <w:kern w:val="0"/>
          <w:sz w:val="18"/>
        </w:rPr>
        <w:t>R1、□R2、□ R3、</w:t>
      </w:r>
      <w:r>
        <w:rPr>
          <w:rFonts w:hint="eastAsia" w:ascii="宋体" w:hAnsi="宋体"/>
          <w:kern w:val="0"/>
          <w:sz w:val="18"/>
        </w:rPr>
        <w:t>□</w:t>
      </w:r>
      <w:r>
        <w:rPr>
          <w:rFonts w:ascii="宋体" w:hAnsi="宋体"/>
          <w:kern w:val="0"/>
          <w:sz w:val="18"/>
        </w:rPr>
        <w:t xml:space="preserve"> R4、</w:t>
      </w:r>
      <w:r>
        <w:rPr>
          <w:rFonts w:hint="eastAsia" w:ascii="宋体" w:hAnsi="宋体"/>
          <w:kern w:val="0"/>
          <w:sz w:val="18"/>
        </w:rPr>
        <w:t>□</w:t>
      </w:r>
      <w:r>
        <w:rPr>
          <w:rFonts w:ascii="宋体" w:hAnsi="宋体"/>
          <w:kern w:val="0"/>
          <w:sz w:val="18"/>
        </w:rPr>
        <w:t xml:space="preserve"> R5</w:t>
      </w:r>
      <w:r>
        <w:rPr>
          <w:rFonts w:hint="eastAsia" w:ascii="宋体" w:hAnsi="宋体"/>
          <w:kern w:val="0"/>
          <w:sz w:val="18"/>
        </w:rPr>
        <w:t>】；根据投资者在乙方评估的风险承受能力，</w:t>
      </w:r>
      <w:r>
        <w:rPr>
          <w:rFonts w:ascii="宋体" w:hAnsi="宋体"/>
          <w:kern w:val="0"/>
          <w:sz w:val="18"/>
        </w:rPr>
        <w:t>乙方将投资者风险承受能力分为</w:t>
      </w:r>
      <w:r>
        <w:rPr>
          <w:rFonts w:hint="eastAsia" w:ascii="宋体" w:hAnsi="宋体"/>
          <w:kern w:val="0"/>
          <w:sz w:val="18"/>
        </w:rPr>
        <w:t>【5】</w:t>
      </w:r>
      <w:r>
        <w:rPr>
          <w:rFonts w:ascii="宋体" w:hAnsi="宋体"/>
          <w:kern w:val="0"/>
          <w:sz w:val="18"/>
        </w:rPr>
        <w:t>个</w:t>
      </w:r>
      <w:r>
        <w:rPr>
          <w:rFonts w:hint="eastAsia" w:ascii="宋体" w:hAnsi="宋体"/>
          <w:kern w:val="0"/>
          <w:sz w:val="18"/>
        </w:rPr>
        <w:t>等级：【□</w:t>
      </w:r>
      <w:r>
        <w:rPr>
          <w:rFonts w:ascii="宋体" w:hAnsi="宋体"/>
          <w:kern w:val="0"/>
          <w:sz w:val="18"/>
        </w:rPr>
        <w:t xml:space="preserve"> C1、□C2、□ C3、□ C4、□ C5</w:t>
      </w:r>
      <w:r>
        <w:rPr>
          <w:rFonts w:hint="eastAsia" w:ascii="宋体" w:hAnsi="宋体"/>
          <w:kern w:val="0"/>
          <w:sz w:val="18"/>
        </w:rPr>
        <w:t>】。</w:t>
      </w:r>
    </w:p>
    <w:p>
      <w:pPr>
        <w:widowControl/>
        <w:spacing w:line="360" w:lineRule="auto"/>
        <w:jc w:val="left"/>
        <w:rPr>
          <w:rFonts w:asciiTheme="majorEastAsia" w:hAnsiTheme="majorEastAsia" w:eastAsiaTheme="majorEastAsia"/>
          <w:bCs/>
          <w:sz w:val="18"/>
          <w:szCs w:val="18"/>
        </w:rPr>
      </w:pPr>
      <w:r>
        <w:rPr>
          <w:rFonts w:hint="eastAsia" w:ascii="宋体" w:hAnsi="宋体"/>
          <w:kern w:val="0"/>
          <w:sz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w:t>
      </w:r>
      <w:r>
        <w:rPr>
          <w:rFonts w:hint="eastAsia" w:asciiTheme="majorEastAsia" w:hAnsiTheme="majorEastAsia" w:eastAsiaTheme="majorEastAsia"/>
          <w:bCs/>
          <w:sz w:val="18"/>
          <w:szCs w:val="18"/>
        </w:rPr>
        <w:t>不一致时，代理</w:t>
      </w:r>
      <w:r>
        <w:rPr>
          <w:rFonts w:asciiTheme="majorEastAsia" w:hAnsiTheme="majorEastAsia" w:eastAsiaTheme="majorEastAsia"/>
          <w:bCs/>
          <w:sz w:val="18"/>
          <w:szCs w:val="18"/>
        </w:rPr>
        <w:t>销售</w:t>
      </w:r>
      <w:r>
        <w:rPr>
          <w:rFonts w:ascii="宋体" w:hAnsi="宋体"/>
          <w:kern w:val="0"/>
          <w:sz w:val="18"/>
        </w:rPr>
        <w:t>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hAnsi="宋体" w:cs="仿宋_GB2312"/>
          <w:color w:val="auto"/>
          <w:sz w:val="18"/>
          <w:szCs w:val="18"/>
        </w:rPr>
      </w:pPr>
      <w:r>
        <w:rPr>
          <w:rFonts w:hint="eastAsia" w:hAnsi="宋体" w:cs="仿宋_GB2312"/>
          <w:color w:val="auto"/>
          <w:sz w:val="18"/>
          <w:szCs w:val="18"/>
        </w:rPr>
        <w:t>（</w:t>
      </w:r>
      <w:r>
        <w:rPr>
          <w:rFonts w:hAnsi="宋体" w:cs="仿宋_GB2312"/>
          <w:color w:val="auto"/>
          <w:sz w:val="18"/>
          <w:szCs w:val="18"/>
        </w:rPr>
        <w:t>3）</w:t>
      </w:r>
      <w:r>
        <w:rPr>
          <w:rFonts w:hint="eastAsia" w:hAnsi="宋体" w:cs="仿宋_GB2312"/>
          <w:color w:val="auto"/>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5、甲方保证投资资金来源合法且为本人自有资金，不存在使用贷款、发行债券等筹集的非自有资金投资的情况，投资行为符合法律法规及相关监管部门的规定。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9、</w:t>
      </w:r>
      <w:r>
        <w:rPr>
          <w:rFonts w:hint="eastAsia" w:ascii="宋体" w:hAnsi="宋体" w:cs="仿宋_GB2312"/>
          <w:kern w:val="0"/>
          <w:sz w:val="18"/>
          <w:szCs w:val="18"/>
        </w:rPr>
        <w:t>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10、对于</w:t>
      </w:r>
      <w:r>
        <w:rPr>
          <w:rFonts w:hint="eastAsia" w:ascii="宋体" w:hAnsi="宋体" w:cs="仿宋_GB2312"/>
          <w:kern w:val="0"/>
          <w:sz w:val="18"/>
          <w:szCs w:val="18"/>
        </w:rPr>
        <w:t>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11、甲方在此确认乙方业务申请和办理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p>
    <w:p>
      <w:pPr>
        <w:widowControl/>
        <w:spacing w:line="360" w:lineRule="auto"/>
        <w:jc w:val="left"/>
        <w:rPr>
          <w:rFonts w:ascii="宋体" w:hAnsi="宋体"/>
          <w:kern w:val="0"/>
          <w:sz w:val="18"/>
        </w:rPr>
      </w:pPr>
      <w:r>
        <w:rPr>
          <w:rFonts w:ascii="宋体" w:hAnsi="宋体"/>
          <w:kern w:val="0"/>
          <w:sz w:val="18"/>
        </w:rPr>
        <w:t>12</w:t>
      </w:r>
      <w:r>
        <w:rPr>
          <w:rFonts w:hint="eastAsia" w:ascii="宋体" w:hAnsi="宋体"/>
          <w:kern w:val="0"/>
          <w:sz w:val="18"/>
        </w:rPr>
        <w:t>、甲方同意并授权乙方有权根据甲方所勾选的业务申请类型，并根据业务办理需要、反洗钱工作</w:t>
      </w:r>
      <w:r>
        <w:rPr>
          <w:rFonts w:hint="eastAsia" w:ascii="宋体" w:hAnsi="宋体" w:cs="仿宋_GB2312"/>
          <w:kern w:val="0"/>
          <w:sz w:val="18"/>
          <w:szCs w:val="18"/>
        </w:rPr>
        <w:t>以及非居民金融账户涉税信息尽职调查</w:t>
      </w:r>
      <w:r>
        <w:rPr>
          <w:rFonts w:hint="eastAsia" w:ascii="宋体" w:hAnsi="宋体"/>
          <w:kern w:val="0"/>
          <w:sz w:val="18"/>
        </w:rPr>
        <w:t>等</w:t>
      </w:r>
      <w:r>
        <w:rPr>
          <w:rFonts w:hint="eastAsia" w:ascii="宋体" w:hAnsi="宋体" w:cs="仿宋_GB2312"/>
          <w:kern w:val="0"/>
          <w:sz w:val="18"/>
          <w:szCs w:val="18"/>
        </w:rPr>
        <w:t>需要，收集</w:t>
      </w:r>
      <w:r>
        <w:rPr>
          <w:rFonts w:hint="eastAsia" w:ascii="宋体" w:hAnsi="宋体"/>
          <w:kern w:val="0"/>
          <w:sz w:val="18"/>
        </w:rPr>
        <w:t>调取</w:t>
      </w:r>
      <w:r>
        <w:rPr>
          <w:rFonts w:hint="eastAsia" w:ascii="宋体" w:hAnsi="宋体" w:cs="仿宋_GB2312"/>
          <w:kern w:val="0"/>
          <w:sz w:val="18"/>
          <w:szCs w:val="18"/>
        </w:rPr>
        <w:t>投资者</w:t>
      </w:r>
      <w:r>
        <w:rPr>
          <w:rFonts w:hint="eastAsia" w:ascii="宋体" w:hAnsi="宋体"/>
          <w:kern w:val="0"/>
          <w:sz w:val="18"/>
        </w:rPr>
        <w:t>开户留存的有效身份证件或者其他身份证明文件信息</w:t>
      </w:r>
      <w:r>
        <w:rPr>
          <w:rFonts w:hint="eastAsia" w:ascii="宋体" w:hAnsi="宋体" w:cs="仿宋_GB2312"/>
          <w:kern w:val="0"/>
          <w:sz w:val="18"/>
          <w:szCs w:val="18"/>
        </w:rPr>
        <w:t>、交易记录、数据信息和其他资料，同时可向销售机构、产品托管人提供前述信息</w:t>
      </w:r>
      <w:r>
        <w:rPr>
          <w:rFonts w:hint="eastAsia" w:ascii="宋体" w:hAnsi="宋体"/>
          <w:kern w:val="0"/>
          <w:sz w:val="18"/>
        </w:rPr>
        <w:t>，并留存办理理财业务所需的</w:t>
      </w:r>
      <w:r>
        <w:rPr>
          <w:rFonts w:hint="eastAsia" w:ascii="宋体" w:hAnsi="宋体" w:cs="仿宋_GB2312"/>
          <w:kern w:val="0"/>
          <w:sz w:val="18"/>
          <w:szCs w:val="18"/>
        </w:rPr>
        <w:t>投资者</w:t>
      </w:r>
      <w:r>
        <w:rPr>
          <w:rFonts w:hint="eastAsia" w:ascii="宋体" w:hAnsi="宋体"/>
          <w:kern w:val="0"/>
          <w:sz w:val="18"/>
        </w:rPr>
        <w:t>金融信息。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kern w:val="0"/>
          <w:sz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kern w:val="0"/>
          <w:sz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b/>
          <w:kern w:val="0"/>
          <w:sz w:val="18"/>
          <w:szCs w:val="18"/>
        </w:rPr>
      </w:pPr>
      <w:r>
        <w:rPr>
          <w:rFonts w:ascii="宋体" w:hAnsi="宋体" w:cs="仿宋_GB2312"/>
          <w:b/>
          <w:kern w:val="0"/>
          <w:sz w:val="18"/>
          <w:szCs w:val="18"/>
        </w:rPr>
        <w:t>1、</w:t>
      </w:r>
      <w:r>
        <w:rPr>
          <w:rFonts w:hint="eastAsia" w:ascii="宋体" w:hAnsi="宋体" w:cs="仿宋_GB2312"/>
          <w:b/>
          <w:kern w:val="0"/>
          <w:sz w:val="18"/>
          <w:szCs w:val="18"/>
        </w:rPr>
        <w:t>由于国家有关法律、法规、规章、政策的改变、紧急措施的出台而导致甲方蒙受损失或协议终止的，乙方不承担责任。</w:t>
      </w:r>
    </w:p>
    <w:p>
      <w:pPr>
        <w:widowControl/>
        <w:spacing w:line="360" w:lineRule="auto"/>
        <w:jc w:val="left"/>
        <w:rPr>
          <w:rFonts w:ascii="宋体" w:hAnsi="宋体" w:cs="仿宋_GB2312"/>
          <w:b/>
          <w:kern w:val="0"/>
          <w:sz w:val="18"/>
          <w:szCs w:val="18"/>
        </w:rPr>
      </w:pPr>
      <w:r>
        <w:rPr>
          <w:rFonts w:ascii="宋体" w:hAnsi="宋体" w:cs="仿宋_GB2312"/>
          <w:b/>
          <w:kern w:val="0"/>
          <w:sz w:val="18"/>
          <w:szCs w:val="18"/>
        </w:rPr>
        <w:t>2、</w:t>
      </w:r>
      <w:r>
        <w:rPr>
          <w:rFonts w:hint="eastAsia" w:ascii="宋体" w:hAnsi="宋体" w:cs="仿宋_GB2312"/>
          <w:b/>
          <w:kern w:val="0"/>
          <w:sz w:val="18"/>
          <w:szCs w:val="18"/>
        </w:rPr>
        <w:t>由于不可抗力或乙方无过错且无法防止的外因而导致的交易中断、延误等风险及损失，乙方不承担责任。</w:t>
      </w:r>
    </w:p>
    <w:p>
      <w:pPr>
        <w:widowControl/>
        <w:spacing w:line="360" w:lineRule="auto"/>
        <w:jc w:val="left"/>
        <w:rPr>
          <w:rFonts w:ascii="宋体" w:hAnsi="宋体" w:cs="仿宋_GB2312"/>
          <w:b/>
          <w:kern w:val="0"/>
          <w:sz w:val="18"/>
          <w:szCs w:val="18"/>
        </w:rPr>
      </w:pPr>
      <w:r>
        <w:rPr>
          <w:rFonts w:ascii="宋体" w:hAnsi="宋体" w:cs="仿宋_GB2312"/>
          <w:b/>
          <w:kern w:val="0"/>
          <w:sz w:val="18"/>
          <w:szCs w:val="18"/>
        </w:rPr>
        <w:t>3、</w:t>
      </w:r>
      <w:r>
        <w:rPr>
          <w:rFonts w:hint="eastAsia" w:ascii="宋体" w:hAnsi="宋体" w:cs="仿宋_GB2312"/>
          <w:b/>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b/>
          <w:kern w:val="0"/>
          <w:sz w:val="18"/>
          <w:szCs w:val="18"/>
        </w:rPr>
      </w:pPr>
      <w:r>
        <w:rPr>
          <w:rFonts w:ascii="宋体" w:hAnsi="宋体" w:cs="仿宋_GB2312"/>
          <w:b/>
          <w:kern w:val="0"/>
          <w:sz w:val="18"/>
          <w:szCs w:val="18"/>
        </w:rPr>
        <w:t>1、</w:t>
      </w:r>
      <w:r>
        <w:rPr>
          <w:rFonts w:hint="eastAsia" w:ascii="宋体" w:hAnsi="宋体" w:cs="仿宋_GB2312"/>
          <w:b/>
          <w:kern w:val="0"/>
          <w:sz w:val="18"/>
          <w:szCs w:val="18"/>
        </w:rPr>
        <w:t>本协议在履行过程中发生的争议，由甲乙双方协商解决，协商不成的，任何一方可向乙方</w:t>
      </w:r>
      <w:r>
        <w:rPr>
          <w:rFonts w:ascii="宋体" w:hAnsi="宋体" w:cs="仿宋_GB2312"/>
          <w:b/>
          <w:kern w:val="0"/>
          <w:sz w:val="18"/>
          <w:szCs w:val="18"/>
        </w:rPr>
        <w:t>住所地</w:t>
      </w:r>
      <w:r>
        <w:rPr>
          <w:rFonts w:hint="eastAsia" w:ascii="宋体" w:hAnsi="宋体" w:cs="仿宋_GB2312"/>
          <w:b/>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b/>
          <w:kern w:val="0"/>
          <w:sz w:val="18"/>
          <w:szCs w:val="18"/>
        </w:rPr>
        <w:t>甲方通过乙方线下渠道购买理财产品的，本协议经甲方签字且乙方盖柜面业务章后生效</w:t>
      </w:r>
      <w:r>
        <w:rPr>
          <w:rFonts w:hint="eastAsia" w:ascii="宋体" w:hAnsi="宋体" w:cs="仿宋_GB2312"/>
          <w:kern w:val="0"/>
          <w:sz w:val="18"/>
          <w:szCs w:val="18"/>
        </w:rPr>
        <w:t>（为避免歧义，乙方相关业务人员在本协议的签字仅为乙方内部风险控制要求，并不作为协议成立的条件，下同）。</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甲方通过乙方线上</w:t>
      </w:r>
      <w:r>
        <w:rPr>
          <w:rFonts w:ascii="宋体" w:hAnsi="宋体" w:cs="仿宋_GB2312"/>
          <w:b/>
          <w:kern w:val="0"/>
          <w:sz w:val="18"/>
          <w:szCs w:val="18"/>
        </w:rPr>
        <w:t>渠道</w:t>
      </w:r>
      <w:r>
        <w:rPr>
          <w:rFonts w:hint="eastAsia" w:ascii="宋体" w:hAnsi="宋体" w:cs="仿宋_GB2312"/>
          <w:b/>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vAlign w:val="center"/>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rPr>
                <w:b/>
                <w:kern w:val="0"/>
                <w:sz w:val="18"/>
                <w:szCs w:val="18"/>
              </w:rPr>
            </w:pPr>
          </w:p>
        </w:tc>
        <w:tc>
          <w:tcPr>
            <w:tcW w:w="851" w:type="dxa"/>
            <w:vAlign w:val="center"/>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jc w:val="center"/>
              <w:rPr>
                <w:b/>
                <w:kern w:val="2"/>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兴银理财【天天万利宝稳利恒盈】净值型理财产品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24" w:firstLineChars="236"/>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24" w:firstLineChars="236"/>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p>
    <w:p>
      <w:pPr>
        <w:ind w:firstLine="424" w:firstLineChars="236"/>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兴银理财天天万利宝稳利恒盈7号封闭式净值型理财产品第</w:t>
      </w:r>
      <w:r>
        <w:rPr>
          <w:rFonts w:asciiTheme="majorEastAsia" w:hAnsiTheme="majorEastAsia" w:eastAsiaTheme="majorEastAsia"/>
          <w:bCs/>
          <w:kern w:val="0"/>
          <w:sz w:val="18"/>
          <w:szCs w:val="18"/>
        </w:rPr>
        <w:t>16</w:t>
      </w:r>
      <w:r>
        <w:rPr>
          <w:rFonts w:hint="eastAsia" w:asciiTheme="majorEastAsia" w:hAnsiTheme="majorEastAsia" w:eastAsiaTheme="majorEastAsia"/>
          <w:bCs/>
          <w:kern w:val="0"/>
          <w:sz w:val="18"/>
          <w:szCs w:val="18"/>
        </w:rPr>
        <w:t>期</w:t>
      </w:r>
      <w:r>
        <w:rPr>
          <w:rFonts w:hint="eastAsia" w:ascii="宋体" w:hAnsi="宋体" w:cs="仿宋_GB2312"/>
          <w:kern w:val="0"/>
          <w:sz w:val="18"/>
          <w:szCs w:val="18"/>
        </w:rPr>
        <w:t>】。</w:t>
      </w:r>
    </w:p>
    <w:p>
      <w:pPr>
        <w:widowControl/>
        <w:ind w:firstLine="424" w:firstLineChars="236"/>
        <w:jc w:val="left"/>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widowControl/>
        <w:ind w:firstLine="424" w:firstLineChars="236"/>
        <w:jc w:val="left"/>
        <w:rPr>
          <w:rFonts w:ascii="宋体" w:hAnsi="宋体" w:cs="仿宋_GB2312"/>
          <w:kern w:val="0"/>
          <w:sz w:val="18"/>
          <w:szCs w:val="18"/>
        </w:rPr>
      </w:pPr>
      <w:r>
        <w:rPr>
          <w:rFonts w:hint="eastAsia" w:ascii="宋体" w:hAnsi="宋体" w:cs="仿宋_GB2312"/>
          <w:kern w:val="0"/>
          <w:sz w:val="18"/>
          <w:szCs w:val="18"/>
        </w:rPr>
        <w:t>【稳利恒盈7号16期 3年季分红A】（适用【A】类份额）</w:t>
      </w:r>
    </w:p>
    <w:p>
      <w:pPr>
        <w:widowControl/>
        <w:ind w:firstLine="424" w:firstLineChars="236"/>
        <w:jc w:val="left"/>
        <w:rPr>
          <w:rFonts w:ascii="宋体" w:hAnsi="宋体" w:cs="仿宋_GB2312"/>
          <w:kern w:val="0"/>
          <w:sz w:val="18"/>
          <w:szCs w:val="18"/>
        </w:rPr>
      </w:pPr>
      <w:r>
        <w:rPr>
          <w:rFonts w:hint="eastAsia" w:ascii="宋体" w:hAnsi="宋体" w:cs="仿宋_GB2312"/>
          <w:kern w:val="0"/>
          <w:sz w:val="18"/>
          <w:szCs w:val="18"/>
        </w:rPr>
        <w:t>【稳利恒盈7号16期 3年季分红B】（适用【B】类份额）</w:t>
      </w:r>
    </w:p>
    <w:p>
      <w:pPr>
        <w:widowControl/>
        <w:ind w:firstLine="424" w:firstLineChars="236"/>
        <w:jc w:val="left"/>
        <w:rPr>
          <w:rFonts w:ascii="宋体" w:hAnsi="宋体" w:cs="仿宋_GB2312"/>
          <w:kern w:val="0"/>
          <w:sz w:val="18"/>
          <w:szCs w:val="18"/>
        </w:rPr>
      </w:pPr>
      <w:r>
        <w:rPr>
          <w:rFonts w:hint="eastAsia" w:ascii="宋体" w:hAnsi="宋体" w:cs="仿宋_GB2312"/>
          <w:kern w:val="0"/>
          <w:sz w:val="18"/>
          <w:szCs w:val="18"/>
        </w:rPr>
        <w:t>【稳利恒盈7号16期 3年季分红C】（适用【C】类份额）</w:t>
      </w:r>
    </w:p>
    <w:p>
      <w:pPr>
        <w:widowControl/>
        <w:ind w:firstLine="424" w:firstLineChars="236"/>
        <w:jc w:val="left"/>
        <w:rPr>
          <w:rFonts w:ascii="宋体" w:hAnsi="宋体" w:cs="仿宋_GB2312"/>
          <w:kern w:val="0"/>
          <w:sz w:val="18"/>
          <w:szCs w:val="18"/>
        </w:rPr>
      </w:pPr>
      <w:r>
        <w:rPr>
          <w:rFonts w:hint="eastAsia" w:ascii="宋体" w:hAnsi="宋体" w:cs="仿宋_GB2312"/>
          <w:kern w:val="0"/>
          <w:sz w:val="18"/>
          <w:szCs w:val="18"/>
        </w:rPr>
        <w:t>【稳利恒盈7号16期 3年乡村振兴】（适用【D】类份额）</w:t>
      </w:r>
    </w:p>
    <w:p>
      <w:pPr>
        <w:widowControl/>
        <w:ind w:firstLine="424" w:firstLineChars="236"/>
        <w:jc w:val="left"/>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24" w:firstLineChars="236"/>
        <w:rPr>
          <w:rFonts w:ascii="宋体" w:hAnsi="宋体" w:cs="仿宋_GB2312"/>
          <w:kern w:val="0"/>
          <w:sz w:val="18"/>
          <w:szCs w:val="18"/>
        </w:rPr>
      </w:pPr>
      <w:r>
        <w:rPr>
          <w:rFonts w:hint="eastAsia" w:ascii="宋体" w:hAnsi="宋体" w:cs="仿宋_GB2312"/>
          <w:kern w:val="0"/>
          <w:sz w:val="18"/>
          <w:szCs w:val="18"/>
        </w:rPr>
        <w:t>【</w:t>
      </w:r>
      <w:r>
        <w:rPr>
          <w:rFonts w:hint="eastAsia" w:asciiTheme="majorEastAsia" w:hAnsiTheme="majorEastAsia" w:eastAsiaTheme="majorEastAsia"/>
          <w:sz w:val="18"/>
          <w:szCs w:val="18"/>
        </w:rPr>
        <w:t>公募</w:t>
      </w:r>
      <w:r>
        <w:rPr>
          <w:rFonts w:hint="eastAsia" w:ascii="宋体" w:hAnsi="宋体"/>
          <w:bCs/>
          <w:sz w:val="18"/>
          <w:szCs w:val="18"/>
        </w:rPr>
        <w:t>、封闭式、</w:t>
      </w:r>
      <w:r>
        <w:rPr>
          <w:rFonts w:ascii="宋体" w:hAnsi="宋体"/>
          <w:bCs/>
          <w:sz w:val="18"/>
          <w:szCs w:val="18"/>
        </w:rPr>
        <w:t>固定收益类</w:t>
      </w:r>
      <w:r>
        <w:rPr>
          <w:rFonts w:hint="eastAsia" w:ascii="宋体" w:hAnsi="宋体"/>
          <w:bCs/>
          <w:sz w:val="18"/>
          <w:szCs w:val="18"/>
        </w:rPr>
        <w:t>、非保本浮动</w:t>
      </w:r>
      <w:r>
        <w:rPr>
          <w:rFonts w:ascii="宋体" w:hAnsi="宋体"/>
          <w:bCs/>
          <w:sz w:val="18"/>
          <w:szCs w:val="18"/>
        </w:rPr>
        <w:t>收益</w:t>
      </w:r>
      <w:r>
        <w:rPr>
          <w:rFonts w:hint="eastAsia" w:ascii="宋体" w:hAnsi="宋体"/>
          <w:bCs/>
          <w:sz w:val="18"/>
          <w:szCs w:val="18"/>
        </w:rPr>
        <w:t>、净值</w:t>
      </w:r>
      <w:r>
        <w:rPr>
          <w:rFonts w:hint="eastAsia" w:ascii="宋体" w:hAnsi="宋体" w:cs="仿宋_GB2312"/>
          <w:kern w:val="0"/>
          <w:sz w:val="18"/>
          <w:szCs w:val="18"/>
        </w:rPr>
        <w:t>型】理财产品。</w:t>
      </w:r>
    </w:p>
    <w:p>
      <w:pPr>
        <w:ind w:firstLine="424" w:firstLineChars="236"/>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24" w:firstLineChars="236"/>
        <w:rPr>
          <w:rFonts w:ascii="宋体" w:hAnsi="宋体" w:cs="仿宋_GB2312"/>
          <w:kern w:val="0"/>
          <w:sz w:val="18"/>
          <w:szCs w:val="18"/>
        </w:rPr>
      </w:pPr>
      <w:r>
        <w:rPr>
          <w:rFonts w:hint="eastAsia" w:ascii="宋体" w:hAnsi="宋体" w:cs="仿宋_GB2312"/>
          <w:kern w:val="0"/>
          <w:sz w:val="18"/>
          <w:szCs w:val="18"/>
        </w:rPr>
        <w:t>【</w:t>
      </w:r>
      <w:r>
        <w:rPr>
          <w:rFonts w:hint="eastAsia" w:cs="仿宋_GB2312" w:asciiTheme="majorEastAsia" w:hAnsiTheme="majorEastAsia" w:eastAsiaTheme="majorEastAsia"/>
          <w:kern w:val="0"/>
          <w:sz w:val="18"/>
          <w:szCs w:val="18"/>
        </w:rPr>
        <w:t>1</w:t>
      </w:r>
      <w:r>
        <w:rPr>
          <w:rFonts w:cs="仿宋_GB2312" w:asciiTheme="majorEastAsia" w:hAnsiTheme="majorEastAsia" w:eastAsiaTheme="majorEastAsia"/>
          <w:kern w:val="0"/>
          <w:sz w:val="18"/>
          <w:szCs w:val="18"/>
        </w:rPr>
        <w:t>133</w:t>
      </w:r>
      <w:r>
        <w:rPr>
          <w:rFonts w:hint="eastAsia" w:ascii="宋体" w:hAnsi="宋体" w:cs="仿宋_GB2312"/>
          <w:kern w:val="0"/>
          <w:sz w:val="18"/>
          <w:szCs w:val="18"/>
        </w:rPr>
        <w:t>天】</w:t>
      </w:r>
      <w:r>
        <w:rPr>
          <w:rFonts w:ascii="宋体" w:hAnsi="宋体" w:cs="仿宋_GB2312"/>
          <w:kern w:val="0"/>
          <w:sz w:val="18"/>
          <w:szCs w:val="18"/>
        </w:rPr>
        <w:t>。</w:t>
      </w:r>
    </w:p>
    <w:p>
      <w:pPr>
        <w:ind w:firstLine="472" w:firstLineChars="236"/>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24" w:firstLineChars="236"/>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24" w:firstLineChars="236"/>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24" w:firstLineChars="236"/>
        <w:rPr>
          <w:rFonts w:ascii="宋体" w:hAnsi="宋体" w:cs="仿宋_GB2312"/>
          <w:kern w:val="0"/>
          <w:sz w:val="18"/>
          <w:szCs w:val="18"/>
        </w:rPr>
      </w:pPr>
      <w:r>
        <w:rPr>
          <w:rFonts w:hint="eastAsia" w:ascii="宋体" w:hAnsi="宋体" w:cs="仿宋_GB2312"/>
          <w:kern w:val="0"/>
          <w:sz w:val="18"/>
          <w:szCs w:val="18"/>
        </w:rPr>
        <w:t>（一）产品风险评级</w:t>
      </w:r>
    </w:p>
    <w:p>
      <w:pPr>
        <w:ind w:firstLine="424" w:firstLineChars="236"/>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2】</w:t>
      </w:r>
      <w:r>
        <w:rPr>
          <w:rFonts w:hint="eastAsia" w:ascii="宋体" w:hAnsi="宋体" w:cs="仿宋_GB2312"/>
          <w:kern w:val="0"/>
          <w:sz w:val="18"/>
          <w:szCs w:val="18"/>
        </w:rPr>
        <w:t>（产品管理人定义的产品风险评级为【R</w:t>
      </w:r>
      <w:r>
        <w:rPr>
          <w:rFonts w:ascii="宋体" w:hAnsi="宋体" w:cs="仿宋_GB2312"/>
          <w:kern w:val="0"/>
          <w:sz w:val="18"/>
          <w:szCs w:val="18"/>
        </w:rPr>
        <w:t>2</w:t>
      </w:r>
      <w:r>
        <w:rPr>
          <w:rFonts w:hint="eastAsia" w:ascii="宋体" w:hAnsi="宋体" w:cs="仿宋_GB2312"/>
          <w:kern w:val="0"/>
          <w:sz w:val="18"/>
          <w:szCs w:val="18"/>
        </w:rPr>
        <w:t>】；代理销售机构定义的产品风险评级为【</w:t>
      </w:r>
      <w:r>
        <w:rPr>
          <w:rFonts w:ascii="宋体" w:hAnsi="宋体" w:cs="仿宋_GB2312"/>
          <w:kern w:val="0"/>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24" w:firstLineChars="236"/>
        <w:rPr>
          <w:rFonts w:ascii="宋体" w:hAnsi="宋体" w:cs="仿宋_GB2312"/>
          <w:kern w:val="0"/>
          <w:sz w:val="18"/>
          <w:szCs w:val="18"/>
        </w:rPr>
      </w:pPr>
      <w:r>
        <w:rPr>
          <w:rFonts w:hint="eastAsia" w:ascii="宋体" w:hAnsi="宋体" w:cs="仿宋_GB2312"/>
          <w:kern w:val="0"/>
          <w:sz w:val="18"/>
          <w:szCs w:val="18"/>
        </w:rPr>
        <w:t>（二）适合投资者类型</w:t>
      </w:r>
    </w:p>
    <w:p>
      <w:pPr>
        <w:ind w:firstLine="424" w:firstLineChars="236"/>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424" w:firstLineChars="236"/>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424" w:firstLineChars="236"/>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424" w:firstLineChars="236"/>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424" w:firstLineChars="236"/>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448" w:firstLineChars="249"/>
        <w:rPr>
          <w:rFonts w:ascii="宋体" w:hAnsi="宋体" w:cs="仿宋_GB2312"/>
          <w:kern w:val="0"/>
          <w:sz w:val="18"/>
          <w:szCs w:val="18"/>
        </w:rPr>
      </w:pPr>
      <w:r>
        <w:rPr>
          <w:rFonts w:hint="eastAsia" w:ascii="宋体" w:hAnsi="宋体" w:cs="仿宋_GB2312"/>
          <w:kern w:val="0"/>
          <w:sz w:val="18"/>
          <w:szCs w:val="18"/>
        </w:rPr>
        <w:t>（一）投资者投资本产品可能面临的风险主要包括（但不限于）：</w:t>
      </w:r>
    </w:p>
    <w:p>
      <w:pPr>
        <w:pStyle w:val="13"/>
        <w:ind w:firstLine="448"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361"/>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.投资标的风险</w:t>
      </w:r>
      <w:r>
        <w:rPr>
          <w:rFonts w:hint="eastAsia" w:ascii="宋体" w:hAnsi="宋体" w:cs="仿宋_GB2312"/>
          <w:kern w:val="0"/>
          <w:sz w:val="18"/>
          <w:szCs w:val="18"/>
        </w:rPr>
        <w:t>：本计划投资标的的价值取决于投资对象的经营状况，企业股东对所投资企业的管理和运营，相关市场宏观调控政策、财政税收政策、产业政策、法律法规、经济周期的变化以及区域市场竞争格局的变化等都可能影响所投资企业经营状况，进而影响理财产品投资标的的价值。主要包括：股票投资风险、债券投资风险、期货投资风险、期权投资风险等。</w:t>
      </w:r>
    </w:p>
    <w:p>
      <w:pPr>
        <w:pStyle w:val="13"/>
        <w:ind w:firstLine="426" w:firstLineChars="0"/>
        <w:rPr>
          <w:rFonts w:ascii="宋体" w:hAnsi="宋体" w:cs="仿宋_GB2312"/>
          <w:kern w:val="0"/>
          <w:sz w:val="18"/>
          <w:szCs w:val="18"/>
        </w:rPr>
      </w:pPr>
      <w:r>
        <w:rPr>
          <w:rFonts w:ascii="宋体" w:hAnsi="宋体"/>
          <w:b/>
          <w:bCs/>
          <w:sz w:val="18"/>
          <w:szCs w:val="18"/>
        </w:rPr>
        <w:t>4</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延期支付风险：</w:t>
      </w:r>
      <w:r>
        <w:rPr>
          <w:rFonts w:hint="eastAsia" w:ascii="宋体" w:hAnsi="宋体" w:cs="仿宋_GB2312"/>
          <w:kern w:val="0"/>
          <w:sz w:val="18"/>
          <w:szCs w:val="18"/>
        </w:rPr>
        <w:t>指因市场内部和外部的原因导致理财基础资产不能及时变现而造成理财产品不能按时兑付，理财期限将相应延长，从而导致本产品部分资金的延期支付。</w:t>
      </w:r>
    </w:p>
    <w:p>
      <w:pPr>
        <w:pStyle w:val="13"/>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3"/>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3"/>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有权宣布本产品不成立，投资者将承担投资本产品不成立的风险。</w:t>
      </w:r>
    </w:p>
    <w:p>
      <w:pPr>
        <w:pStyle w:val="13"/>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3"/>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时理财本金及收益相应款项由管理人按约定划付至代理销售机构，并由代理销售机构向投资者支付投资者应得理财本金及收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13"/>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）、赎回的数量限制、计算和公告产品份额净值方面存在差异。</w:t>
      </w:r>
    </w:p>
    <w:p>
      <w:pPr>
        <w:pStyle w:val="13"/>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若本产品为私募理财产品的，且本产品的销售机构为兴业银行股份有限公司（以下简称“兴业银行”）的，鉴于兴业银行是产品管理人的关联方，尽管兴业银行已建立健全关联方产品销售管理制度，但上述关联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（二）</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idowControl/>
        <w:jc w:val="right"/>
        <w:rPr>
          <w:rFonts w:ascii="宋体" w:hAnsi="宋体"/>
          <w:sz w:val="18"/>
          <w:szCs w:val="18"/>
        </w:rPr>
      </w:pPr>
      <w:r>
        <w:rPr>
          <w:rFonts w:hint="eastAsia" w:ascii="宋体" w:hAnsi="宋体"/>
          <w:sz w:val="18"/>
          <w:szCs w:val="18"/>
        </w:rPr>
        <w:t xml:space="preserve">销售机构  （） </w:t>
      </w: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9"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kern w:val="2"/>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widowControl/>
        <w:jc w:val="left"/>
        <w:rPr>
          <w:rFonts w:ascii="宋体" w:hAnsi="宋体" w:cs="Arial"/>
          <w:sz w:val="24"/>
        </w:rPr>
      </w:pPr>
      <w:r>
        <w:rPr>
          <w:rFonts w:ascii="宋体" w:hAnsi="宋体" w:cs="Arial"/>
          <w:sz w:val="24"/>
        </w:rPr>
        <w:br w:type="page"/>
      </w:r>
    </w:p>
    <w:tbl>
      <w:tblPr>
        <w:tblStyle w:val="9"/>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9"/>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ectPr>
          <w:headerReference r:id="rId11" w:type="default"/>
          <w:footerReference r:id="rId12"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11"/>
          <w:rFonts w:ascii="黑体" w:hAnsi="黑体" w:eastAsia="黑体"/>
          <w:sz w:val="28"/>
          <w:szCs w:val="28"/>
        </w:rPr>
      </w:pPr>
      <w:r>
        <w:rPr>
          <w:rStyle w:val="11"/>
          <w:rFonts w:hint="eastAsia" w:ascii="黑体" w:hAnsi="黑体" w:eastAsia="黑体"/>
          <w:sz w:val="28"/>
          <w:szCs w:val="28"/>
        </w:rPr>
        <w:t>兴银理财【天天万利宝稳利恒盈】净值型理财产品</w:t>
      </w:r>
    </w:p>
    <w:p>
      <w:pPr>
        <w:adjustRightInd w:val="0"/>
        <w:spacing w:line="276" w:lineRule="auto"/>
        <w:jc w:val="center"/>
        <w:rPr>
          <w:rStyle w:val="11"/>
          <w:rFonts w:ascii="黑体" w:hAnsi="黑体" w:eastAsia="黑体"/>
          <w:sz w:val="28"/>
          <w:szCs w:val="28"/>
        </w:rPr>
      </w:pPr>
      <w:r>
        <w:rPr>
          <w:rStyle w:val="11"/>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r>
        <w:rPr>
          <w:rFonts w:ascii="宋体" w:hAnsi="宋体"/>
          <w:sz w:val="18"/>
          <w:szCs w:val="18"/>
        </w:rPr>
        <w:t>。</w:t>
      </w:r>
    </w:p>
    <w:p>
      <w:pPr>
        <w:ind w:firstLine="360" w:firstLineChars="200"/>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账户，该账户用于本产品的理财资金划转及兑付，您应确保持有本产品期间所指定账户不做销户。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ascii="宋体" w:hAnsi="宋体"/>
          <w:sz w:val="18"/>
          <w:szCs w:val="18"/>
        </w:rPr>
      </w:pPr>
      <w:r>
        <w:rPr>
          <w:rFonts w:ascii="宋体" w:hAnsi="宋体"/>
          <w:sz w:val="18"/>
          <w:szCs w:val="18"/>
        </w:rPr>
        <w:t>2</w:t>
      </w:r>
      <w:r>
        <w:rPr>
          <w:rFonts w:hint="eastAsia" w:ascii="宋体" w:hAnsi="宋体"/>
          <w:sz w:val="18"/>
          <w:szCs w:val="18"/>
        </w:rPr>
        <w:t>. 销售机构</w:t>
      </w:r>
      <w:r>
        <w:rPr>
          <w:rFonts w:ascii="宋体" w:hAnsi="宋体"/>
          <w:sz w:val="18"/>
          <w:szCs w:val="18"/>
        </w:rPr>
        <w:t>根据</w:t>
      </w:r>
      <w:r>
        <w:rPr>
          <w:rFonts w:hint="eastAsia" w:ascii="宋体" w:hAnsi="宋体"/>
          <w:sz w:val="18"/>
          <w:szCs w:val="18"/>
        </w:rPr>
        <w:t>投资者风险承受能力，个人投资者由低至高分为【</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C1、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C2、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C3、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C4、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C5</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C</w:t>
      </w:r>
      <w:r>
        <w:rPr>
          <w:rFonts w:hint="eastAsia" w:asciiTheme="majorEastAsia" w:hAnsiTheme="majorEastAsia" w:eastAsiaTheme="majorEastAsia"/>
          <w:bCs/>
          <w:sz w:val="18"/>
          <w:szCs w:val="18"/>
        </w:rPr>
        <w:t>6</w:t>
      </w:r>
      <w:r>
        <w:rPr>
          <w:rFonts w:hint="eastAsia" w:ascii="宋体" w:hAnsi="宋体"/>
          <w:sz w:val="18"/>
          <w:szCs w:val="18"/>
        </w:rPr>
        <w:t>】</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8"/>
        <w:tblW w:w="77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65"/>
        <w:gridCol w:w="3827"/>
        <w:gridCol w:w="23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15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风险评级</w:t>
            </w:r>
          </w:p>
        </w:tc>
        <w:tc>
          <w:tcPr>
            <w:tcW w:w="3827" w:type="dxa"/>
            <w:tcBorders>
              <w:top w:val="single" w:color="auto" w:sz="12" w:space="0"/>
              <w:left w:val="single" w:color="auto" w:sz="12" w:space="0"/>
              <w:bottom w:val="single" w:color="auto" w:sz="12" w:space="0"/>
              <w:right w:val="single" w:color="auto" w:sz="12" w:space="0"/>
            </w:tcBorders>
            <w:vAlign w:val="center"/>
          </w:tcPr>
          <w:p>
            <w:pPr>
              <w:ind w:firstLine="360" w:firstLineChars="200"/>
              <w:jc w:val="center"/>
              <w:rPr>
                <w:rFonts w:ascii="宋体" w:hAnsi="宋体"/>
                <w:sz w:val="18"/>
                <w:szCs w:val="18"/>
              </w:rPr>
            </w:pPr>
            <w:r>
              <w:rPr>
                <w:rFonts w:hint="eastAsia" w:ascii="宋体" w:hAnsi="宋体"/>
                <w:sz w:val="18"/>
                <w:szCs w:val="18"/>
              </w:rPr>
              <w:t>评级说明</w:t>
            </w:r>
          </w:p>
        </w:tc>
        <w:tc>
          <w:tcPr>
            <w:tcW w:w="235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15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R1</w:t>
            </w:r>
          </w:p>
        </w:tc>
        <w:tc>
          <w:tcPr>
            <w:tcW w:w="382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产品结构简单，所投资资产综合风险很低，产品具有很高流动性。</w:t>
            </w:r>
          </w:p>
        </w:tc>
        <w:tc>
          <w:tcPr>
            <w:tcW w:w="23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15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R2</w:t>
            </w:r>
          </w:p>
        </w:tc>
        <w:tc>
          <w:tcPr>
            <w:tcW w:w="382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产品结构简单，所投资资产综合风险较低。</w:t>
            </w:r>
          </w:p>
        </w:tc>
        <w:tc>
          <w:tcPr>
            <w:tcW w:w="23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15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R3</w:t>
            </w:r>
          </w:p>
        </w:tc>
        <w:tc>
          <w:tcPr>
            <w:tcW w:w="382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产品结构简单，所投资资产综合风险中等。</w:t>
            </w:r>
          </w:p>
        </w:tc>
        <w:tc>
          <w:tcPr>
            <w:tcW w:w="23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15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R4</w:t>
            </w:r>
          </w:p>
        </w:tc>
        <w:tc>
          <w:tcPr>
            <w:tcW w:w="382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产品结构较简单，所投资资产综合风险较高。</w:t>
            </w:r>
          </w:p>
        </w:tc>
        <w:tc>
          <w:tcPr>
            <w:tcW w:w="23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 w:hRule="atLeast"/>
          <w:jc w:val="center"/>
        </w:trPr>
        <w:tc>
          <w:tcPr>
            <w:tcW w:w="15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R5</w:t>
            </w:r>
          </w:p>
        </w:tc>
        <w:tc>
          <w:tcPr>
            <w:tcW w:w="382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sz w:val="18"/>
                <w:szCs w:val="18"/>
              </w:rPr>
              <w:t>产品结构较复杂或所投资资产综合风险高。</w:t>
            </w:r>
          </w:p>
        </w:tc>
        <w:tc>
          <w:tcPr>
            <w:tcW w:w="235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ascii="宋体" w:hAnsi="宋体"/>
                <w:sz w:val="18"/>
                <w:szCs w:val="18"/>
              </w:rPr>
              <w:t>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销售机构在销售本产品时，其对投资者风险承受能力等级的划分与表述可能与产品管理人存在差异，即采用销售机构设置的标准。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bookmarkStart w:id="225" w:name="_Hlk64707831"/>
      <w:r>
        <w:rPr>
          <w:rFonts w:hint="eastAsia" w:ascii="宋体" w:hAnsi="宋体"/>
          <w:sz w:val="18"/>
          <w:szCs w:val="18"/>
        </w:rPr>
        <w:t>兴银理财客户服务热线：40015-95561。</w:t>
      </w:r>
      <w:bookmarkEnd w:id="225"/>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76" w:lineRule="auto"/>
        <w:jc w:val="center"/>
        <w:rPr>
          <w:rStyle w:val="11"/>
          <w:rFonts w:ascii="黑体" w:hAnsi="黑体" w:eastAsia="黑体"/>
          <w:sz w:val="28"/>
          <w:szCs w:val="28"/>
        </w:rPr>
      </w:pPr>
      <w:r>
        <w:rPr>
          <w:rStyle w:val="11"/>
          <w:rFonts w:hint="eastAsia" w:ascii="黑体" w:hAnsi="黑体" w:eastAsia="黑体"/>
          <w:sz w:val="28"/>
          <w:szCs w:val="28"/>
        </w:rPr>
        <w:t>兴银理财【天天万利宝稳利恒盈】净值型理财产品</w:t>
      </w:r>
    </w:p>
    <w:p>
      <w:pPr>
        <w:adjustRightInd w:val="0"/>
        <w:spacing w:line="280" w:lineRule="atLeast"/>
        <w:jc w:val="center"/>
        <w:rPr>
          <w:rStyle w:val="11"/>
          <w:rFonts w:ascii="黑体" w:hAnsi="黑体" w:eastAsia="黑体"/>
          <w:sz w:val="28"/>
          <w:szCs w:val="28"/>
        </w:rPr>
      </w:pPr>
      <w:r>
        <w:rPr>
          <w:rStyle w:val="11"/>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280" w:lineRule="atLeast"/>
        <w:ind w:firstLine="360" w:firstLineChars="200"/>
        <w:rPr>
          <w:rFonts w:ascii="宋体" w:hAnsi="宋体"/>
          <w:sz w:val="18"/>
          <w:szCs w:val="18"/>
        </w:rPr>
      </w:pPr>
      <w:r>
        <w:rPr>
          <w:rFonts w:hint="eastAsia" w:ascii="宋体" w:hAnsi="宋体"/>
          <w:sz w:val="18"/>
          <w:szCs w:val="18"/>
        </w:rPr>
        <w:t>感谢您购买兴银理财有限责任公司（以下简称“兴银理财”）作为产品管理人管理的理财产品，请仔细阅读本《投资者权益须知》，行使您在本业务项下的权益。</w:t>
      </w: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账户，该账户用于本产品的理财资金划转及兑付，您应确保持有本产品期间所指定账户不做销户。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spacing w:line="280" w:lineRule="atLeast"/>
        <w:ind w:firstLine="360" w:firstLineChars="200"/>
        <w:rPr>
          <w:rFonts w:ascii="宋体" w:hAnsi="宋体"/>
          <w:sz w:val="18"/>
          <w:szCs w:val="18"/>
        </w:rPr>
      </w:pPr>
      <w:r>
        <w:rPr>
          <w:rFonts w:hint="eastAsia" w:ascii="宋体" w:hAnsi="宋体"/>
          <w:sz w:val="18"/>
          <w:szCs w:val="18"/>
        </w:rPr>
        <w:t>2.销售</w:t>
      </w:r>
      <w:r>
        <w:rPr>
          <w:rFonts w:ascii="宋体" w:hAnsi="宋体"/>
          <w:sz w:val="18"/>
          <w:szCs w:val="18"/>
        </w:rPr>
        <w:t>机构</w:t>
      </w:r>
      <w:r>
        <w:rPr>
          <w:rFonts w:hint="eastAsia" w:ascii="宋体" w:hAnsi="宋体"/>
          <w:sz w:val="18"/>
          <w:szCs w:val="18"/>
        </w:rPr>
        <w:t>根据投资者风险承受能力，机构投资者由低至高分为【】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8"/>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555"/>
        <w:gridCol w:w="4203"/>
        <w:gridCol w:w="27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555" w:type="dxa"/>
            <w:tcBorders>
              <w:top w:val="single" w:color="auto" w:sz="12" w:space="0"/>
              <w:left w:val="single" w:color="auto" w:sz="12" w:space="0"/>
              <w:bottom w:val="single" w:color="auto" w:sz="12" w:space="0"/>
              <w:right w:val="single" w:color="auto" w:sz="12" w:space="0"/>
            </w:tcBorders>
            <w:vAlign w:val="center"/>
          </w:tcPr>
          <w:p>
            <w:pPr>
              <w:ind w:firstLine="360" w:firstLineChars="200"/>
              <w:jc w:val="center"/>
              <w:rPr>
                <w:rFonts w:ascii="宋体" w:hAnsi="宋体"/>
                <w:sz w:val="18"/>
                <w:szCs w:val="18"/>
              </w:rPr>
            </w:pPr>
            <w:r>
              <w:rPr>
                <w:rFonts w:hint="eastAsia" w:ascii="宋体" w:hAnsi="宋体"/>
                <w:sz w:val="18"/>
                <w:szCs w:val="18"/>
              </w:rPr>
              <w:t>风险评级</w:t>
            </w:r>
          </w:p>
        </w:tc>
        <w:tc>
          <w:tcPr>
            <w:tcW w:w="4203" w:type="dxa"/>
            <w:tcBorders>
              <w:top w:val="single" w:color="auto" w:sz="12" w:space="0"/>
              <w:left w:val="single" w:color="auto" w:sz="12" w:space="0"/>
              <w:bottom w:val="single" w:color="auto" w:sz="12" w:space="0"/>
              <w:right w:val="single" w:color="auto" w:sz="12" w:space="0"/>
            </w:tcBorders>
            <w:vAlign w:val="center"/>
          </w:tcPr>
          <w:p>
            <w:pPr>
              <w:ind w:firstLine="360" w:firstLineChars="200"/>
              <w:jc w:val="center"/>
              <w:rPr>
                <w:rFonts w:ascii="宋体" w:hAnsi="宋体"/>
                <w:sz w:val="18"/>
                <w:szCs w:val="18"/>
              </w:rPr>
            </w:pPr>
            <w:r>
              <w:rPr>
                <w:rFonts w:hint="eastAsia" w:ascii="宋体" w:hAnsi="宋体"/>
                <w:sz w:val="18"/>
                <w:szCs w:val="18"/>
              </w:rPr>
              <w:t>评级说明</w:t>
            </w:r>
          </w:p>
        </w:tc>
        <w:tc>
          <w:tcPr>
            <w:tcW w:w="2724"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55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203"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724"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55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203"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724"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55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203"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724"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55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203"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724"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155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203"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724"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销售机构在销售本产品时，其对投资者风险承受能力等级的划分与表述可能与产品管理人存在差异，即采用销售机构设置的标准。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1"/>
          <w:rFonts w:ascii="黑体" w:hAnsi="黑体" w:eastAsia="黑体"/>
          <w:sz w:val="28"/>
          <w:szCs w:val="28"/>
        </w:rPr>
      </w:pPr>
      <w:r>
        <w:rPr>
          <w:rStyle w:val="11"/>
          <w:rFonts w:hint="eastAsia" w:ascii="黑体" w:hAnsi="黑体" w:eastAsia="黑体"/>
          <w:sz w:val="28"/>
          <w:szCs w:val="28"/>
        </w:rPr>
        <w:t>兴银理财【天天万利宝稳利恒盈】净值型理财产品投资者权益须知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280" w:lineRule="atLeast"/>
        <w:ind w:firstLine="360" w:firstLineChars="200"/>
        <w:rPr>
          <w:rFonts w:ascii="宋体" w:hAnsi="宋体"/>
          <w:sz w:val="18"/>
          <w:szCs w:val="18"/>
        </w:rPr>
      </w:pPr>
      <w:r>
        <w:rPr>
          <w:rFonts w:hint="eastAsia" w:ascii="宋体" w:hAnsi="宋体"/>
          <w:sz w:val="18"/>
          <w:szCs w:val="18"/>
        </w:rPr>
        <w:t>感谢您购买兴银理财有限责任公司（以下简称“兴银理财”）作为产品管理人管理的理财产品，请仔细阅读本《投资者权益须知》，行使您在本业务项下的权益。</w:t>
      </w: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账户，该账户用于本产品的理财资金划转及兑付，您应确保持有本产品期间所指定账户不做销户。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0" w:firstLineChars="200"/>
        <w:rPr>
          <w:rFonts w:asciiTheme="minorEastAsia" w:hAnsiTheme="minorEastAsia"/>
          <w:sz w:val="18"/>
          <w:szCs w:val="18"/>
        </w:rPr>
      </w:pPr>
      <w:r>
        <w:rPr>
          <w:rFonts w:hint="eastAsia" w:ascii="宋体" w:hAnsi="宋体"/>
          <w:sz w:val="18"/>
          <w:szCs w:val="18"/>
        </w:rPr>
        <w:t>三、</w:t>
      </w:r>
      <w:r>
        <w:rPr>
          <w:rFonts w:hint="eastAsia" w:ascii="宋体" w:hAnsi="宋体"/>
          <w:b/>
          <w:sz w:val="18"/>
          <w:szCs w:val="18"/>
        </w:rPr>
        <w:t>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sectPr>
      <w:headerReference r:id="rId13" w:type="default"/>
      <w:footerReference r:id="rId1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2884636"/>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2884636"/>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docPartObj>
        <w:docPartGallery w:val="autotext"/>
      </w:docPartObj>
    </w:sdtPr>
    <w:sdtContent>
      <w:p>
        <w:pPr>
          <w:pStyle w:val="3"/>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24" w:space="10"/>
      </w:pBdr>
      <w:tabs>
        <w:tab w:val="right" w:pos="8280"/>
      </w:tabs>
      <w:wordWrap w:val="0"/>
      <w:adjustRightInd w:val="0"/>
      <w:jc w:val="right"/>
      <w:rPr>
        <w:b/>
      </w:rPr>
    </w:pPr>
    <w:r>
      <w:rPr>
        <w:rFonts w:hint="eastAsia"/>
        <w:b/>
      </w:rPr>
      <w:t>投资协议书</w:t>
    </w:r>
  </w:p>
  <w:p>
    <w:pPr>
      <w:pStyle w:val="4"/>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24" w:space="10"/>
      </w:pBdr>
      <w:tabs>
        <w:tab w:val="right" w:pos="8280"/>
      </w:tabs>
      <w:wordWrap w:val="0"/>
      <w:adjustRightInd w:val="0"/>
      <w:jc w:val="right"/>
      <w:rPr>
        <w:b/>
      </w:rPr>
    </w:pPr>
    <w:r>
      <w:rPr>
        <w:rFonts w:hint="eastAsia"/>
        <w:b/>
      </w:rPr>
      <w:t>投资协议书</w:t>
    </w:r>
  </w:p>
  <w:p>
    <w:pPr>
      <w:pStyle w:val="4"/>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4"/>
      <w:pBdr>
        <w:bottom w:val="thickThinLargeGap" w:color="auto" w:sz="24" w:space="12"/>
      </w:pBdr>
      <w:tabs>
        <w:tab w:val="right" w:pos="8280"/>
      </w:tabs>
      <w:adjustRightInd w:val="0"/>
      <w:jc w:val="right"/>
      <w:rPr>
        <w:b/>
      </w:rPr>
    </w:pPr>
    <w:r>
      <w:rPr>
        <w:rFonts w:hint="eastAsia"/>
        <w:b/>
      </w:rPr>
      <w:t>注：本文件由兴银理财有限责任公司统一编制</w:t>
    </w:r>
  </w:p>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销售协议书</w:t>
    </w:r>
  </w:p>
  <w:p>
    <w:pPr>
      <w:pStyle w:val="4"/>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4"/>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4"/>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C24C7"/>
    <w:rsid w:val="724D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uiPriority w:val="39"/>
    <w:pPr>
      <w:tabs>
        <w:tab w:val="right" w:leader="dot" w:pos="8296"/>
      </w:tabs>
      <w:spacing w:line="360" w:lineRule="auto"/>
    </w:pPr>
  </w:style>
  <w:style w:type="paragraph" w:styleId="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uiPriority w:val="99"/>
    <w:rPr>
      <w:color w:val="0000FF"/>
      <w:u w:val="single"/>
    </w:rPr>
  </w:style>
  <w:style w:type="paragraph" w:styleId="13">
    <w:name w:val="List 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2022-02-15T07:47:48Z</dcterms:created>
  <dc:creator>admin</dc:creator>
  <cp:lastModifiedBy>财富云公共运营管理台</cp:lastModifiedBy>
  <dcterms:modified xsi:type="dcterms:W3CDTF">2022-02-15T07:50:31Z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