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21590</wp:posOffset>
                </wp:positionV>
                <wp:extent cx="6155690" cy="0"/>
                <wp:effectExtent l="12700" t="12700" r="13335" b="6350"/>
                <wp:wrapNone/>
                <wp:docPr id="4" name="AutoShape 2"/>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6350">
                          <a:solidFill>
                            <a:srgbClr val="000000"/>
                          </a:solidFill>
                          <a:round/>
                        </a:ln>
                      </wps:spPr>
                      <wps:bodyPr/>
                    </wps:wsp>
                  </a:graphicData>
                </a:graphic>
              </wp:anchor>
            </w:drawing>
          </mc:Choice>
          <mc:Fallback>
            <w:pict>
              <v:shape id="AutoShape 2" o:spid="_x0000_s1026" o:spt="32" type="#_x0000_t32" style="position:absolute;left:0pt;margin-left:1.3pt;margin-top:1.7pt;height:0pt;width:484.7pt;z-index:251658240;mso-width-relative:page;mso-height-relative:page;" filled="f" stroked="t"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NjA/TAAAABQEAAA8AAAAAAAAAAQAgAAAAIgAAAGRycy9kb3ducmV2LnhtbFBLAQIUABQAAAAI&#10;AIdO4kDjlfz6uQEAAGQDAAAOAAAAAAAAAAEAIAAAACIBAABkcnMvZTJvRG9jLnhtbFBLBQYAAAAA&#10;BgAGAFkBAABNBQAAAAA=&#10;">
                <v:fill on="f" focussize="0,0"/>
                <v:stroke weight="0.5pt" color="#000000" joinstyle="round"/>
                <v:imagedata o:title=""/>
                <o:lock v:ext="edit" aspectratio="f"/>
              </v:shape>
            </w:pict>
          </mc:Fallback>
        </mc:AlternateConten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22001</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 险 揭 示 书 部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 xml:space="preserve">客户投资本产品可能面临的风险主要包括(但不限于)： </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 别 提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     □否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     □否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     □否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               （保守型、谨慎型、稳健型、进取型、激进型）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银行经办人签名：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日期：</w:t>
                  </w:r>
                  <w:r>
                    <w:rPr>
                      <w:rFonts w:hint="eastAsia" w:ascii="微软雅黑" w:hAnsi="微软雅黑" w:eastAsia="微软雅黑"/>
                      <w:kern w:val="0"/>
                      <w:sz w:val="18"/>
                      <w:szCs w:val="18"/>
                      <w:u w:val="single"/>
                    </w:rPr>
                    <w:t xml:space="preserve">                   </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客户确认（机购客户填写）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 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公司授权人签名：</w:t>
                  </w:r>
                  <w:r>
                    <w:rPr>
                      <w:rFonts w:hint="eastAsia" w:ascii="微软雅黑" w:hAnsi="微软雅黑" w:eastAsia="微软雅黑"/>
                      <w:kern w:val="0"/>
                      <w:sz w:val="18"/>
                      <w:szCs w:val="18"/>
                      <w:u w:val="single"/>
                    </w:rPr>
                    <w:t xml:space="preserve">                   </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w:t>
                  </w:r>
                  <w:r>
                    <w:rPr>
                      <w:rFonts w:hint="eastAsia" w:ascii="微软雅黑" w:hAnsi="微软雅黑" w:eastAsia="微软雅黑"/>
                      <w:kern w:val="0"/>
                      <w:sz w:val="18"/>
                      <w:szCs w:val="18"/>
                      <w:u w:val="single"/>
                    </w:rPr>
                    <w:t xml:space="preserve">                   </w:t>
                  </w:r>
                  <w:r>
                    <w:rPr>
                      <w:rFonts w:hint="eastAsia" w:ascii="微软雅黑" w:hAnsi="微软雅黑" w:eastAsia="微软雅黑"/>
                      <w:kern w:val="0"/>
                      <w:sz w:val="18"/>
                      <w:szCs w:val="18"/>
                    </w:rPr>
                    <w:t xml:space="preserve">  日期：</w:t>
                  </w:r>
                  <w:r>
                    <w:rPr>
                      <w:rFonts w:hint="eastAsia" w:ascii="微软雅黑" w:hAnsi="微软雅黑" w:eastAsia="微软雅黑"/>
                      <w:kern w:val="0"/>
                      <w:sz w:val="18"/>
                      <w:szCs w:val="18"/>
                      <w:u w:val="single"/>
                    </w:rPr>
                    <w:t xml:space="preserve">                   </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 品 基 本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720" w:firstLineChars="4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lang w:val="en-US" w:eastAsia="zh-CN"/>
              </w:rPr>
              <w:t>瑞丰银行</w:t>
            </w: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22001</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C1124822000040</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eastAsia="zh-CN"/>
              </w:rPr>
              <w:t>1</w:t>
            </w:r>
            <w:r>
              <w:rPr>
                <w:rFonts w:hint="eastAsia" w:ascii="微软雅黑" w:hAnsi="微软雅黑" w:eastAsia="微软雅黑"/>
                <w:b w:val="0"/>
                <w:sz w:val="18"/>
                <w:szCs w:val="18"/>
                <w:lang w:val="en-US" w:eastAsia="zh-CN"/>
              </w:rPr>
              <w:t>57</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eastAsia="zh-CN"/>
              </w:rPr>
              <w:t>2</w:t>
            </w:r>
            <w:r>
              <w:rPr>
                <w:rFonts w:hint="eastAsia" w:ascii="微软雅黑" w:hAnsi="微软雅黑" w:eastAsia="微软雅黑"/>
                <w:b w:val="0"/>
                <w:sz w:val="18"/>
                <w:szCs w:val="18"/>
                <w:lang w:val="en-US" w:eastAsia="zh-CN"/>
              </w:rPr>
              <w:t>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3</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23</w:t>
            </w:r>
            <w:r>
              <w:rPr>
                <w:rFonts w:hint="eastAsia" w:ascii="微软雅黑" w:hAnsi="微软雅黑" w:eastAsia="微软雅黑"/>
                <w:b w:val="0"/>
                <w:sz w:val="18"/>
                <w:szCs w:val="18"/>
              </w:rPr>
              <w:t>日至</w:t>
            </w:r>
            <w:r>
              <w:rPr>
                <w:rFonts w:hint="eastAsia" w:ascii="微软雅黑" w:hAnsi="微软雅黑" w:eastAsia="微软雅黑"/>
                <w:b w:val="0"/>
                <w:sz w:val="18"/>
                <w:szCs w:val="18"/>
                <w:lang w:eastAsia="zh-CN"/>
              </w:rPr>
              <w:t>2</w:t>
            </w:r>
            <w:r>
              <w:rPr>
                <w:rFonts w:hint="eastAsia" w:ascii="微软雅黑" w:hAnsi="微软雅黑" w:eastAsia="微软雅黑"/>
                <w:b w:val="0"/>
                <w:sz w:val="18"/>
                <w:szCs w:val="18"/>
                <w:lang w:val="en-US" w:eastAsia="zh-CN"/>
              </w:rPr>
              <w:t>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3</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28</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eastAsia="zh-CN"/>
              </w:rPr>
              <w:t>2</w:t>
            </w:r>
            <w:r>
              <w:rPr>
                <w:rFonts w:hint="eastAsia" w:ascii="微软雅黑" w:hAnsi="微软雅黑" w:eastAsia="微软雅黑"/>
                <w:b w:val="0"/>
                <w:sz w:val="18"/>
                <w:szCs w:val="18"/>
                <w:lang w:val="en-US" w:eastAsia="zh-CN"/>
              </w:rPr>
              <w:t>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3</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29</w:t>
            </w:r>
            <w:r>
              <w:rPr>
                <w:rFonts w:hint="eastAsia" w:ascii="微软雅黑" w:hAnsi="微软雅黑" w:eastAsia="微软雅黑"/>
                <w:b w:val="0"/>
                <w:sz w:val="18"/>
                <w:szCs w:val="18"/>
              </w:rPr>
              <w:t>日至</w:t>
            </w:r>
            <w:r>
              <w:rPr>
                <w:rFonts w:hint="eastAsia" w:ascii="微软雅黑" w:hAnsi="微软雅黑" w:eastAsia="微软雅黑"/>
                <w:b w:val="0"/>
                <w:sz w:val="18"/>
                <w:szCs w:val="18"/>
                <w:lang w:eastAsia="zh-CN"/>
              </w:rPr>
              <w:t>2</w:t>
            </w:r>
            <w:r>
              <w:rPr>
                <w:rFonts w:hint="eastAsia" w:ascii="微软雅黑" w:hAnsi="微软雅黑" w:eastAsia="微软雅黑"/>
                <w:b w:val="0"/>
                <w:sz w:val="18"/>
                <w:szCs w:val="18"/>
                <w:lang w:val="en-US" w:eastAsia="zh-CN"/>
              </w:rPr>
              <w:t>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9</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eastAsia="zh-CN"/>
              </w:rPr>
              <w:t>2</w:t>
            </w:r>
            <w:r>
              <w:rPr>
                <w:rFonts w:hint="eastAsia" w:ascii="微软雅黑" w:hAnsi="微软雅黑" w:eastAsia="微软雅黑"/>
                <w:b w:val="0"/>
                <w:sz w:val="18"/>
                <w:szCs w:val="18"/>
                <w:lang w:val="en-US" w:eastAsia="zh-CN"/>
              </w:rPr>
              <w:t>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9</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3.80</w:t>
            </w:r>
            <w:bookmarkStart w:id="0" w:name="_GoBack"/>
            <w:bookmarkEnd w:id="0"/>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left"/>
              <w:textAlignment w:val="baseline"/>
              <w:rPr>
                <w:rFonts w:ascii="微软雅黑" w:hAnsi="微软雅黑" w:eastAsia="微软雅黑"/>
                <w:b/>
                <w:color w:val="000000"/>
                <w:szCs w:val="18"/>
              </w:rPr>
            </w:pPr>
            <w:r>
              <w:rPr>
                <w:rFonts w:hint="eastAsia" w:ascii="微软雅黑" w:hAnsi="微软雅黑" w:eastAsia="微软雅黑"/>
                <w:b/>
                <w:color w:val="000000"/>
                <w:szCs w:val="18"/>
              </w:rPr>
              <w:t xml:space="preserve">                                      产 品 说 明 书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left"/>
              <w:textAlignment w:val="baseline"/>
              <w:rPr>
                <w:rFonts w:ascii="微软雅黑" w:hAnsi="微软雅黑" w:eastAsia="微软雅黑"/>
                <w:sz w:val="18"/>
                <w:szCs w:val="18"/>
              </w:rPr>
            </w:pPr>
            <w:r>
              <w:rPr>
                <w:rFonts w:hint="eastAsia" w:ascii="微软雅黑" w:hAnsi="微软雅黑" w:eastAsia="微软雅黑"/>
                <w:b/>
                <w:color w:val="000000"/>
                <w:szCs w:val="18"/>
              </w:rPr>
              <w:t>产 品 运 作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认购起点金额为5万元，高于认购起点金额以人民币1万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 xml:space="preserve">                         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 xml:space="preserve">                         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3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托管人</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hint="default"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w:t>
            </w:r>
            <w:r>
              <w:rPr>
                <w:rFonts w:hint="eastAsia" w:ascii="微软雅黑" w:hAnsi="微软雅黑" w:eastAsia="微软雅黑"/>
                <w:color w:val="000000"/>
                <w:sz w:val="18"/>
                <w:szCs w:val="18"/>
                <w:lang w:val="en-US" w:eastAsia="zh-CN"/>
              </w:rPr>
              <w:t>并计提减值准备</w:t>
            </w:r>
            <w:r>
              <w:rPr>
                <w:rFonts w:hint="eastAsia" w:ascii="微软雅黑" w:hAnsi="微软雅黑" w:eastAsia="微软雅黑"/>
                <w:color w:val="000000"/>
                <w:sz w:val="18"/>
                <w:szCs w:val="18"/>
              </w:rPr>
              <w:t>，即计价对象以买入成本列示，按实际利率并考虑其买入时的溢价与折价，在其剩余存续期内摊销，每日计提损益</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rPr>
              <w:t>计提减值不等同于金融资产已发生损失，仅为未来风险的审慎预期。</w:t>
            </w:r>
            <w:r>
              <w:rPr>
                <w:rFonts w:hint="default" w:ascii="Calibri" w:hAnsi="Calibri" w:eastAsia="微软雅黑" w:cs="Calibri"/>
                <w:color w:val="000000"/>
                <w:sz w:val="18"/>
                <w:szCs w:val="18"/>
              </w:rPr>
              <w:t>③</w:t>
            </w:r>
            <w:r>
              <w:rPr>
                <w:rFonts w:hint="eastAsia" w:ascii="Calibri" w:hAnsi="Calibri" w:eastAsia="微软雅黑" w:cs="Calibri"/>
                <w:color w:val="000000"/>
                <w:sz w:val="18"/>
                <w:szCs w:val="18"/>
                <w:lang w:val="en-US" w:eastAsia="zh-CN"/>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 xml:space="preserve">）产品运作和清算中产生的其他费用，包括但不限于资金汇划费、结算费、交易手续费、注册登记费、信息披露费、账户服务费、审计费、律师费等费用，按照实际发生情况从产品中列支。 </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 xml:space="preserve">（5）上述费用将按相关合同约定的时间和方式支付给收款方。 </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 益 分 配 及 赎 回 测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 xml:space="preserve">理财金额10万元，则认购后理财份额为10万份，业绩比较基准为4.2%，期限为180天；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 户 权 益 须 知 专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 户 办 理 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 xml:space="preserve"> 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 xml:space="preserve"> 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 户 风 险 承 受 能 力 评 估 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 息 披 露 的 方 式 、 渠 道 和 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 户 投 诉 的 方 式 和 程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 行 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 xml:space="preserve">                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                         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 别 申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mc:AlternateContent>
        <mc:Choice Requires="wps">
          <w:drawing>
            <wp:anchor distT="0" distB="0" distL="114300" distR="114300" simplePos="0" relativeHeight="251658240" behindDoc="0" locked="0" layoutInCell="1" allowOverlap="1">
              <wp:simplePos x="0" y="0"/>
              <wp:positionH relativeFrom="margin">
                <wp:posOffset>2667000</wp:posOffset>
              </wp:positionH>
              <wp:positionV relativeFrom="paragraph">
                <wp:posOffset>57150</wp:posOffset>
              </wp:positionV>
              <wp:extent cx="705485" cy="172720"/>
              <wp:effectExtent l="0" t="0" r="3175" b="3175"/>
              <wp:wrapNone/>
              <wp:docPr id="3" name="文本框4"/>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w:t>
                          </w:r>
                        </w:p>
                        <w:p>
                          <w:pPr>
                            <w:snapToGrid w:val="0"/>
                            <w:rPr>
                              <w:sz w:val="18"/>
                            </w:rPr>
                          </w:pPr>
                        </w:p>
                      </w:txbxContent>
                    </wps:txbx>
                    <wps:bodyPr rot="0" vert="horz" wrap="none" lIns="0" tIns="0" rIns="0" bIns="0" anchor="t" anchorCtr="0" upright="1">
                      <a:spAutoFit/>
                    </wps:bodyPr>
                  </wps:wsp>
                </a:graphicData>
              </a:graphic>
            </wp:anchor>
          </w:drawing>
        </mc:Choice>
        <mc:Fallback>
          <w:pict>
            <v:shape id="文本框4" o:spid="_x0000_s1026" o:spt="202" type="#_x0000_t202" style="position:absolute;left:0pt;margin-left:210pt;margin-top:4.5pt;height:13.6pt;width:55.55pt;mso-position-horizontal-relative:margin;mso-wrap-style:none;z-index:251658240;mso-width-relative:page;mso-height-relative:page;" filled="f" stroked="f" coordsize="21600,21600" o:gfxdata="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RgArVAAAACAEAAA8AAAAAAAAAAQAgAAAAIgAAAGRycy9kb3ducmV2LnhtbFBLAQIUABQAAAAI&#10;AIdO4kCHP7x08AEAALMDAAAOAAAAAAAAAAEAIAAAACQ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w:t>
                    </w:r>
                  </w:p>
                  <w:p>
                    <w:pPr>
                      <w:snapToGrid w:val="0"/>
                      <w:rPr>
                        <w:sz w:val="18"/>
                      </w:rPr>
                    </w:pPr>
                  </w:p>
                </w:txbxContent>
              </v:textbox>
            </v:shape>
          </w:pict>
        </mc:Fallback>
      </mc:AlternateConten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4C"/>
    <w:rsid w:val="000129CC"/>
    <w:rsid w:val="00012AC7"/>
    <w:rsid w:val="000141EB"/>
    <w:rsid w:val="00015B83"/>
    <w:rsid w:val="000172B8"/>
    <w:rsid w:val="00017422"/>
    <w:rsid w:val="00017553"/>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72A3FFF"/>
    <w:rsid w:val="1135003D"/>
    <w:rsid w:val="14060371"/>
    <w:rsid w:val="142D17D6"/>
    <w:rsid w:val="14316491"/>
    <w:rsid w:val="195D3D41"/>
    <w:rsid w:val="1BC55837"/>
    <w:rsid w:val="1BD04299"/>
    <w:rsid w:val="1E833E1B"/>
    <w:rsid w:val="1EB661DA"/>
    <w:rsid w:val="20695C0F"/>
    <w:rsid w:val="208C5A76"/>
    <w:rsid w:val="21002657"/>
    <w:rsid w:val="227939C9"/>
    <w:rsid w:val="27DB46FF"/>
    <w:rsid w:val="2CD32A29"/>
    <w:rsid w:val="2ED65C98"/>
    <w:rsid w:val="2EF94D7E"/>
    <w:rsid w:val="34B2626A"/>
    <w:rsid w:val="36044C83"/>
    <w:rsid w:val="36294A47"/>
    <w:rsid w:val="375D320E"/>
    <w:rsid w:val="37C04A90"/>
    <w:rsid w:val="397C7757"/>
    <w:rsid w:val="3A5D5B63"/>
    <w:rsid w:val="3A8A1A85"/>
    <w:rsid w:val="3C927ECC"/>
    <w:rsid w:val="3D593CE1"/>
    <w:rsid w:val="3E3D5B0E"/>
    <w:rsid w:val="3EB66509"/>
    <w:rsid w:val="406F2DFC"/>
    <w:rsid w:val="40E2600E"/>
    <w:rsid w:val="42286CEC"/>
    <w:rsid w:val="422E182B"/>
    <w:rsid w:val="428D5B68"/>
    <w:rsid w:val="429E0300"/>
    <w:rsid w:val="43077F94"/>
    <w:rsid w:val="48160413"/>
    <w:rsid w:val="491B37C3"/>
    <w:rsid w:val="49DF076F"/>
    <w:rsid w:val="4C8F7309"/>
    <w:rsid w:val="4D787FC2"/>
    <w:rsid w:val="4DA52700"/>
    <w:rsid w:val="4DD07EF0"/>
    <w:rsid w:val="4EEC332F"/>
    <w:rsid w:val="4FF16110"/>
    <w:rsid w:val="507B6AF5"/>
    <w:rsid w:val="51F33157"/>
    <w:rsid w:val="56D47F7A"/>
    <w:rsid w:val="581732AD"/>
    <w:rsid w:val="583D73B0"/>
    <w:rsid w:val="58E72C03"/>
    <w:rsid w:val="5A99089A"/>
    <w:rsid w:val="5DB36DC7"/>
    <w:rsid w:val="5F9A1C89"/>
    <w:rsid w:val="62E108BB"/>
    <w:rsid w:val="65E775AD"/>
    <w:rsid w:val="66815CD2"/>
    <w:rsid w:val="68033E02"/>
    <w:rsid w:val="681D7F64"/>
    <w:rsid w:val="683B2945"/>
    <w:rsid w:val="6B6B6C9C"/>
    <w:rsid w:val="6C717D3C"/>
    <w:rsid w:val="6CDC1E1D"/>
    <w:rsid w:val="6D8853F8"/>
    <w:rsid w:val="70510891"/>
    <w:rsid w:val="7101043B"/>
    <w:rsid w:val="7153178A"/>
    <w:rsid w:val="71CA24B9"/>
    <w:rsid w:val="72D54B27"/>
    <w:rsid w:val="7317445D"/>
    <w:rsid w:val="740A2EDC"/>
    <w:rsid w:val="74662A91"/>
    <w:rsid w:val="752359AF"/>
    <w:rsid w:val="75780051"/>
    <w:rsid w:val="76735765"/>
    <w:rsid w:val="76886336"/>
    <w:rsid w:val="78811C0A"/>
    <w:rsid w:val="7DEE77F2"/>
    <w:rsid w:val="7DF73D90"/>
    <w:rsid w:val="7E292AE3"/>
    <w:rsid w:val="7EC91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CF06F-7B7F-4309-BC88-5388B80F0CE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1684</Words>
  <Characters>9602</Characters>
  <Lines>80</Lines>
  <Paragraphs>22</Paragraphs>
  <TotalTime>89</TotalTime>
  <ScaleCrop>false</ScaleCrop>
  <LinksUpToDate>false</LinksUpToDate>
  <CharactersWithSpaces>11264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Administrator</cp:lastModifiedBy>
  <cp:lastPrinted>2020-03-13T00:17:00Z</cp:lastPrinted>
  <dcterms:modified xsi:type="dcterms:W3CDTF">2022-03-22T11:12:14Z</dcterms:modified>
  <dc:title>理财客户权益须知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