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CB6A2C">
        <w:rPr>
          <w:rFonts w:ascii="宋体" w:hAnsi="宋体" w:hint="eastAsia"/>
          <w:b/>
          <w:sz w:val="32"/>
          <w:szCs w:val="32"/>
        </w:rPr>
        <w:t>1</w:t>
      </w:r>
      <w:r w:rsidR="007C1D0A">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w:t>
      </w:r>
      <w:r w:rsidR="00424099">
        <w:rPr>
          <w:rFonts w:ascii="宋体" w:hAnsi="宋体" w:cs="宋体" w:hint="eastAsia"/>
          <w:b/>
          <w:sz w:val="21"/>
          <w:szCs w:val="21"/>
        </w:rPr>
        <w:t>本产品不等同于银行存款和预期收益型理财产品，理财非存款、产品有风险、投资须谨慎。</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w:t>
      </w:r>
      <w:r w:rsidR="00424099">
        <w:rPr>
          <w:rFonts w:ascii="宋体" w:hAnsi="宋体" w:cs="宋体" w:hint="eastAsia"/>
          <w:b/>
          <w:sz w:val="21"/>
          <w:szCs w:val="21"/>
        </w:rPr>
        <w:t>为非保本净值型产品，</w:t>
      </w:r>
      <w:r w:rsidRPr="00AB67C0">
        <w:rPr>
          <w:rFonts w:ascii="宋体" w:hAnsi="宋体" w:cs="宋体" w:hint="eastAsia"/>
          <w:b/>
          <w:sz w:val="21"/>
          <w:szCs w:val="21"/>
        </w:rPr>
        <w:t>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7C1D0A">
        <w:rPr>
          <w:rFonts w:ascii="宋体" w:hAnsi="宋体" w:hint="eastAsia"/>
          <w:b/>
          <w:bCs/>
          <w:color w:val="auto"/>
          <w:sz w:val="21"/>
          <w:szCs w:val="21"/>
        </w:rPr>
        <w:t>12</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F05A1A" w:rsidRPr="00F05A1A" w:rsidRDefault="00F05A1A" w:rsidP="00F05A1A">
      <w:pPr>
        <w:pStyle w:val="Default"/>
        <w:adjustRightInd/>
        <w:spacing w:line="360" w:lineRule="auto"/>
        <w:ind w:firstLineChars="200" w:firstLine="420"/>
        <w:rPr>
          <w:rFonts w:ascii="宋体" w:hAnsi="宋体" w:cs="宋体"/>
          <w:sz w:val="21"/>
          <w:szCs w:val="21"/>
        </w:rPr>
      </w:pPr>
      <w:r w:rsidRPr="00503672">
        <w:rPr>
          <w:rFonts w:ascii="宋体" w:hAnsi="宋体" w:cs="宋体" w:hint="eastAsia"/>
          <w:sz w:val="21"/>
          <w:szCs w:val="21"/>
        </w:rPr>
        <w:t>产品估值服务机构</w:t>
      </w:r>
      <w:r>
        <w:rPr>
          <w:rFonts w:ascii="宋体" w:hAnsi="宋体" w:cs="宋体" w:hint="eastAsia"/>
          <w:sz w:val="21"/>
          <w:szCs w:val="21"/>
        </w:rPr>
        <w:t>：</w:t>
      </w:r>
      <w:r w:rsidRPr="00AB67C0">
        <w:rPr>
          <w:rFonts w:ascii="宋体" w:hAnsi="宋体" w:cs="宋体" w:hint="eastAsia"/>
          <w:sz w:val="21"/>
          <w:szCs w:val="21"/>
        </w:rPr>
        <w:t>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13B66" w:rsidRDefault="00F13B6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13B66" w:rsidRDefault="00F13B6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B66" w:rsidRDefault="00F13B6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13B66" w:rsidRDefault="00F13B6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13B66" w:rsidRDefault="00F13B6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13B66" w:rsidRDefault="00F13B6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F13B66" w:rsidRDefault="00F13B6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13B66" w:rsidRDefault="00F13B6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13B66" w:rsidRDefault="00F13B6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13B66" w:rsidRDefault="00F13B6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2B6BB7" w:rsidRDefault="002B6BB7"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产品因流动性需要可开展存单质押、债券正回购等融资业务，本产品总资产不超过净资产的140%。</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Default="00C03E6A" w:rsidP="00C03E6A">
      <w:pPr>
        <w:pStyle w:val="Default"/>
        <w:spacing w:line="360" w:lineRule="auto"/>
        <w:ind w:firstLineChars="200" w:firstLine="420"/>
        <w:rPr>
          <w:rFonts w:ascii="宋体" w:hAnsi="宋体" w:cs="宋体"/>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2B6BB7" w:rsidRPr="002B6BB7" w:rsidRDefault="002B6BB7" w:rsidP="002B6BB7">
      <w:pPr>
        <w:pStyle w:val="Default"/>
        <w:spacing w:line="360" w:lineRule="auto"/>
        <w:ind w:firstLineChars="200" w:firstLine="420"/>
        <w:rPr>
          <w:rFonts w:ascii="宋体" w:hAnsi="宋体" w:cs="Times New Roman"/>
          <w:sz w:val="21"/>
          <w:szCs w:val="21"/>
        </w:rPr>
      </w:pPr>
      <w:r>
        <w:rPr>
          <w:rFonts w:ascii="宋体" w:hAnsi="宋体" w:cs="Times New Roman" w:hint="eastAsia"/>
          <w:sz w:val="21"/>
          <w:szCs w:val="21"/>
        </w:rPr>
        <w:t>（四</w:t>
      </w:r>
      <w:r w:rsidRPr="002B6BB7">
        <w:rPr>
          <w:rFonts w:ascii="宋体" w:hAnsi="宋体" w:cs="Times New Roman" w:hint="eastAsia"/>
          <w:sz w:val="21"/>
          <w:szCs w:val="21"/>
        </w:rPr>
        <w:t>）业绩比较基准</w:t>
      </w:r>
    </w:p>
    <w:p w:rsidR="002B6BB7" w:rsidRPr="002B6BB7" w:rsidRDefault="002B6BB7" w:rsidP="002B6BB7">
      <w:pPr>
        <w:pStyle w:val="Default"/>
        <w:spacing w:line="360" w:lineRule="auto"/>
        <w:ind w:firstLineChars="150" w:firstLine="315"/>
        <w:rPr>
          <w:rFonts w:ascii="宋体" w:hAnsi="宋体" w:cs="Times New Roman"/>
          <w:sz w:val="21"/>
          <w:szCs w:val="21"/>
        </w:rPr>
      </w:pPr>
      <w:r w:rsidRPr="002B6BB7">
        <w:rPr>
          <w:rFonts w:ascii="宋体" w:hAnsi="宋体" w:cs="Times New Roman" w:hint="eastAsia"/>
          <w:sz w:val="21"/>
          <w:szCs w:val="21"/>
        </w:rPr>
        <w:t xml:space="preserve"> 1.产品管理人设立业绩比较基准并依约定进行公告，年化业绩比较基准以产品说明书中“产品概述”条款为准。</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2.</w:t>
      </w:r>
      <w:r w:rsidRPr="005E30BE">
        <w:rPr>
          <w:rFonts w:ascii="宋体" w:hAnsi="宋体" w:cs="Times New Roman" w:hint="eastAsia"/>
          <w:b/>
          <w:sz w:val="21"/>
          <w:szCs w:val="21"/>
        </w:rPr>
        <w:t>业绩比较基准仅作为管理人收取超额业绩报酬和动态调整投资管理费的参照，不代表理财产品未来表现，不等于理财产品实际收益，不作为产品收益的业绩保证，投资须谨慎。</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3.如果今后法律法规发生变化，或者有其他代表性更强、更科学客观的业绩比较基准适用于本产品时，经产品管理人和产品托管人协商一致后，本产品可以变更业绩比较基准并及时公告</w:t>
      </w:r>
    </w:p>
    <w:p w:rsidR="002B6BB7" w:rsidRPr="002B6BB7" w:rsidRDefault="002B6BB7" w:rsidP="002B6BB7">
      <w:pPr>
        <w:pStyle w:val="Default"/>
        <w:spacing w:line="360" w:lineRule="auto"/>
        <w:ind w:firstLineChars="200" w:firstLine="420"/>
        <w:rPr>
          <w:rFonts w:ascii="宋体" w:hAnsi="宋体" w:cs="Times New Roman"/>
          <w:sz w:val="21"/>
          <w:szCs w:val="21"/>
        </w:rPr>
      </w:pP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特别提示：</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1、新昌农商银行将本着诚实信用、谨慎勤勉的原则，在规定的范围内运用理财资金进行投资，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新昌农商银行将在合理期限内进行调整，使之符合投资配置策略要求。金融市场发生重大变化导致理财产品投资比例暂时超出浮动区间且可能对理财产品收益产生重大影响的，新昌农商银行将于两个工作日内通过各营业网点或新昌农商银行网站发布重大事项公告。</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2、、</w:t>
      </w:r>
      <w:r w:rsidRPr="005E30BE">
        <w:rPr>
          <w:rFonts w:ascii="宋体" w:hAnsi="宋体" w:cs="Times New Roman" w:hint="eastAsia"/>
          <w:b/>
          <w:sz w:val="21"/>
          <w:szCs w:val="21"/>
        </w:rPr>
        <w:t>对以上理财投资标准、投资对象与投资比例，新昌农商银行保留变更的权利</w:t>
      </w:r>
      <w:r w:rsidRPr="002B6BB7">
        <w:rPr>
          <w:rFonts w:ascii="宋体" w:hAnsi="宋体" w:cs="Times New Roman" w:hint="eastAsia"/>
          <w:sz w:val="21"/>
          <w:szCs w:val="21"/>
        </w:rPr>
        <w:t>，如发生变更，相关内容以新昌农商银行通过各营业网点或新昌农商银行网站发布的变更公告中</w:t>
      </w:r>
      <w:r w:rsidRPr="002B6BB7">
        <w:rPr>
          <w:rFonts w:ascii="宋体" w:hAnsi="宋体" w:cs="Times New Roman" w:hint="eastAsia"/>
          <w:sz w:val="21"/>
          <w:szCs w:val="21"/>
        </w:rPr>
        <w:lastRenderedPageBreak/>
        <w:t>所载明的内容为准。新昌农商银行将至少提前一个工作日通过其各营业网点或新昌农商银行网站发布变更公告。</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3、新昌农商银行按照法律法规、产品说明书及其他相关约定，诚实信用、谨慎勤勉地实施投资管理行为，以专业技能管理理财产品资产，依法维护理财产品全体投资者的利益。新昌农商银行不对本理财产品的收益情况作出承诺或保证，亦不会承诺或保证最低收益或本金安全。新昌农商银行按照本产品说明书及其他相关规定进行投资运作，由此所产生的损失，新昌农商银行不承担赔偿责任。</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C1D0A">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7C1D0A">
              <w:rPr>
                <w:rFonts w:ascii="宋体" w:hAnsi="宋体" w:cs="宋体" w:hint="eastAsia"/>
                <w:kern w:val="0"/>
                <w:sz w:val="18"/>
                <w:szCs w:val="18"/>
              </w:rPr>
              <w:t>12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7C1D0A">
              <w:rPr>
                <w:rFonts w:ascii="宋体" w:hAnsi="宋体" w:hint="eastAsia"/>
                <w:kern w:val="0"/>
                <w:sz w:val="18"/>
                <w:szCs w:val="18"/>
              </w:rPr>
              <w:t>112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6326C3">
              <w:rPr>
                <w:rFonts w:ascii="宋体" w:hAnsi="宋体" w:cs="宋体" w:hint="eastAsia"/>
                <w:kern w:val="0"/>
                <w:sz w:val="18"/>
                <w:szCs w:val="18"/>
              </w:rPr>
              <w:t>88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5B4FB3" w:rsidRDefault="005B4FB3" w:rsidP="005B4FB3">
            <w:pPr>
              <w:widowControl/>
              <w:adjustRightInd w:val="0"/>
              <w:snapToGrid w:val="0"/>
              <w:spacing w:line="276" w:lineRule="auto"/>
              <w:jc w:val="left"/>
              <w:rPr>
                <w:rFonts w:ascii="宋体" w:hAnsi="宋体" w:cs="宋体"/>
                <w:b/>
                <w:kern w:val="0"/>
                <w:sz w:val="18"/>
              </w:rPr>
            </w:pPr>
            <w:r>
              <w:rPr>
                <w:rFonts w:ascii="宋体" w:hAnsi="宋体" w:cs="宋体" w:hint="eastAsia"/>
                <w:b/>
                <w:kern w:val="0"/>
                <w:sz w:val="18"/>
              </w:rPr>
              <w:t>固定收益类、非保本浮动收益、封闭式、净值型</w:t>
            </w:r>
          </w:p>
          <w:p w:rsidR="00C03E6A" w:rsidRPr="00632C22" w:rsidRDefault="005B4FB3" w:rsidP="005B4FB3">
            <w:pPr>
              <w:rPr>
                <w:rFonts w:ascii="宋体" w:hAnsi="宋体"/>
                <w:kern w:val="0"/>
              </w:rPr>
            </w:pPr>
            <w:r>
              <w:rPr>
                <w:rFonts w:ascii="宋体" w:hAnsi="宋体" w:cs="宋体" w:hint="eastAsia"/>
                <w:kern w:val="0"/>
                <w:sz w:val="18"/>
                <w:szCs w:val="18"/>
              </w:rPr>
              <w:t>固定收益类产品是指根据监管相关规定，投资于存款、债券等债权类资产的比例不低于80%的产品。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5B4FB3" w:rsidP="001D0CAB">
            <w:pPr>
              <w:rPr>
                <w:rFonts w:ascii="宋体" w:hAnsi="宋体"/>
                <w:kern w:val="0"/>
              </w:rPr>
            </w:pPr>
            <w:r>
              <w:rPr>
                <w:rFonts w:ascii="宋体" w:hAnsi="宋体" w:cs="宋体" w:hint="eastAsia"/>
                <w:kern w:val="0"/>
                <w:sz w:val="18"/>
                <w:szCs w:val="18"/>
              </w:rPr>
              <w:t>发行方式</w:t>
            </w:r>
          </w:p>
        </w:tc>
        <w:tc>
          <w:tcPr>
            <w:tcW w:w="7332" w:type="dxa"/>
            <w:tcMar>
              <w:top w:w="15" w:type="dxa"/>
              <w:left w:w="15" w:type="dxa"/>
              <w:bottom w:w="0" w:type="dxa"/>
              <w:right w:w="15" w:type="dxa"/>
            </w:tcMar>
            <w:vAlign w:val="center"/>
          </w:tcPr>
          <w:p w:rsidR="00C03E6A" w:rsidRPr="00632C22" w:rsidRDefault="005B4FB3" w:rsidP="001D0CAB">
            <w:pPr>
              <w:rPr>
                <w:rFonts w:ascii="宋体" w:hAnsi="宋体"/>
                <w:kern w:val="0"/>
              </w:rPr>
            </w:pPr>
            <w:r>
              <w:rPr>
                <w:rFonts w:ascii="宋体" w:hAnsi="宋体" w:cs="宋体" w:hint="eastAsia"/>
                <w:kern w:val="0"/>
                <w:sz w:val="18"/>
                <w:szCs w:val="18"/>
              </w:rPr>
              <w:t>公募</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5B4FB3" w:rsidRPr="005B4FB3" w:rsidRDefault="005B4FB3" w:rsidP="005B4FB3">
            <w:pPr>
              <w:rPr>
                <w:rFonts w:ascii="宋体" w:hAnsi="宋体" w:cs="宋体"/>
                <w:kern w:val="0"/>
                <w:sz w:val="18"/>
                <w:szCs w:val="18"/>
              </w:rPr>
            </w:pPr>
            <w:r w:rsidRPr="005B4FB3">
              <w:rPr>
                <w:rFonts w:ascii="宋体" w:hAnsi="宋体" w:cs="宋体" w:hint="eastAsia"/>
                <w:kern w:val="0"/>
                <w:sz w:val="18"/>
                <w:szCs w:val="18"/>
              </w:rPr>
              <w:t>2021年</w:t>
            </w:r>
            <w:r w:rsidR="007C1D0A">
              <w:rPr>
                <w:rFonts w:ascii="宋体" w:hAnsi="宋体" w:cs="宋体" w:hint="eastAsia"/>
                <w:kern w:val="0"/>
                <w:sz w:val="18"/>
                <w:szCs w:val="18"/>
              </w:rPr>
              <w:t>12</w:t>
            </w:r>
            <w:r w:rsidRPr="005B4FB3">
              <w:rPr>
                <w:rFonts w:ascii="宋体" w:hAnsi="宋体" w:cs="宋体" w:hint="eastAsia"/>
                <w:kern w:val="0"/>
                <w:sz w:val="18"/>
                <w:szCs w:val="18"/>
              </w:rPr>
              <w:t>月</w:t>
            </w:r>
            <w:r w:rsidR="007C1D0A">
              <w:rPr>
                <w:rFonts w:ascii="宋体" w:hAnsi="宋体" w:cs="宋体" w:hint="eastAsia"/>
                <w:kern w:val="0"/>
                <w:sz w:val="18"/>
                <w:szCs w:val="18"/>
              </w:rPr>
              <w:t>2</w:t>
            </w:r>
            <w:r w:rsidRPr="005B4FB3">
              <w:rPr>
                <w:rFonts w:ascii="宋体" w:hAnsi="宋体" w:cs="宋体" w:hint="eastAsia"/>
                <w:kern w:val="0"/>
                <w:sz w:val="18"/>
                <w:szCs w:val="18"/>
              </w:rPr>
              <w:t>日-2021年12月</w:t>
            </w:r>
            <w:r w:rsidR="007C1D0A">
              <w:rPr>
                <w:rFonts w:ascii="宋体" w:hAnsi="宋体" w:cs="宋体" w:hint="eastAsia"/>
                <w:kern w:val="0"/>
                <w:sz w:val="18"/>
                <w:szCs w:val="18"/>
              </w:rPr>
              <w:t>8</w:t>
            </w:r>
            <w:r w:rsidRPr="005B4FB3">
              <w:rPr>
                <w:rFonts w:ascii="宋体" w:hAnsi="宋体" w:cs="宋体" w:hint="eastAsia"/>
                <w:kern w:val="0"/>
                <w:sz w:val="18"/>
                <w:szCs w:val="18"/>
              </w:rPr>
              <w:t>日</w:t>
            </w:r>
          </w:p>
          <w:p w:rsidR="00C03E6A" w:rsidRPr="00632C22" w:rsidRDefault="005B4FB3" w:rsidP="005B4FB3">
            <w:pPr>
              <w:rPr>
                <w:rFonts w:ascii="宋体" w:hAnsi="宋体"/>
                <w:kern w:val="0"/>
              </w:rPr>
            </w:pPr>
            <w:r w:rsidRPr="005B4FB3">
              <w:rPr>
                <w:rFonts w:ascii="宋体" w:hAnsi="宋体" w:cs="宋体" w:hint="eastAsia"/>
                <w:kern w:val="0"/>
                <w:sz w:val="18"/>
                <w:szCs w:val="18"/>
              </w:rPr>
              <w:t>募集期内客户资金按当期活期存款利率计息，募集期内的利息所得不计入认购本金。</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B4FB3">
              <w:rPr>
                <w:rFonts w:ascii="宋体" w:hAnsi="宋体" w:cs="宋体" w:hint="eastAsia"/>
                <w:kern w:val="0"/>
                <w:sz w:val="18"/>
                <w:szCs w:val="18"/>
              </w:rPr>
              <w:t>12</w:t>
            </w:r>
            <w:r w:rsidRPr="00632C22">
              <w:rPr>
                <w:rFonts w:ascii="宋体" w:hAnsi="宋体" w:cs="宋体" w:hint="eastAsia"/>
                <w:kern w:val="0"/>
                <w:sz w:val="18"/>
                <w:szCs w:val="18"/>
              </w:rPr>
              <w:t>月</w:t>
            </w:r>
            <w:r w:rsidR="007C1D0A">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5B4FB3" w:rsidP="007C1D0A">
            <w:pPr>
              <w:rPr>
                <w:rFonts w:ascii="宋体" w:hAnsi="宋体" w:cs="宋体"/>
                <w:kern w:val="0"/>
                <w:sz w:val="18"/>
                <w:szCs w:val="18"/>
              </w:rPr>
            </w:pPr>
            <w:r w:rsidRPr="005B4FB3">
              <w:rPr>
                <w:rFonts w:ascii="宋体" w:hAnsi="宋体" w:cs="宋体" w:hint="eastAsia"/>
                <w:kern w:val="0"/>
                <w:sz w:val="18"/>
                <w:szCs w:val="18"/>
              </w:rPr>
              <w:t>2023年12月</w:t>
            </w:r>
            <w:r w:rsidR="007C1D0A">
              <w:rPr>
                <w:rFonts w:ascii="宋体" w:hAnsi="宋体" w:cs="宋体" w:hint="eastAsia"/>
                <w:kern w:val="0"/>
                <w:sz w:val="18"/>
                <w:szCs w:val="18"/>
              </w:rPr>
              <w:t>13</w:t>
            </w:r>
            <w:r w:rsidRPr="005B4FB3">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B4FB3" w:rsidP="00DB1EBC">
            <w:pPr>
              <w:rPr>
                <w:rFonts w:ascii="宋体" w:hAnsi="宋体" w:cs="宋体"/>
                <w:kern w:val="0"/>
                <w:sz w:val="18"/>
                <w:szCs w:val="18"/>
              </w:rPr>
            </w:pPr>
            <w:r>
              <w:rPr>
                <w:rFonts w:ascii="宋体" w:hAnsi="宋体" w:cs="宋体" w:hint="eastAsia"/>
                <w:kern w:val="0"/>
                <w:sz w:val="18"/>
                <w:szCs w:val="18"/>
              </w:rPr>
              <w:t>734</w:t>
            </w:r>
            <w:r w:rsidR="00C03E6A" w:rsidRPr="00632C22">
              <w:rPr>
                <w:rFonts w:ascii="宋体" w:hAnsi="宋体" w:cs="宋体" w:hint="eastAsia"/>
                <w:kern w:val="0"/>
                <w:sz w:val="18"/>
                <w:szCs w:val="18"/>
              </w:rPr>
              <w:t>天</w:t>
            </w:r>
          </w:p>
        </w:tc>
      </w:tr>
      <w:tr w:rsidR="002B6BB7" w:rsidRPr="00BF487E" w:rsidTr="002B6BB7">
        <w:trPr>
          <w:trHeight w:val="315"/>
          <w:jc w:val="center"/>
        </w:trPr>
        <w:tc>
          <w:tcPr>
            <w:tcW w:w="2444" w:type="dxa"/>
            <w:tcMar>
              <w:top w:w="15" w:type="dxa"/>
              <w:left w:w="15" w:type="dxa"/>
              <w:bottom w:w="0" w:type="dxa"/>
              <w:right w:w="15" w:type="dxa"/>
            </w:tcMar>
          </w:tcPr>
          <w:p w:rsidR="002B6BB7" w:rsidRDefault="002B6BB7" w:rsidP="002B6BB7">
            <w:pPr>
              <w:widowControl/>
              <w:jc w:val="left"/>
              <w:rPr>
                <w:rFonts w:ascii="宋体" w:hAnsi="宋体" w:cs="宋体"/>
                <w:kern w:val="0"/>
                <w:sz w:val="24"/>
                <w:szCs w:val="24"/>
              </w:rPr>
            </w:pPr>
            <w:r>
              <w:rPr>
                <w:rFonts w:ascii="宋体" w:hAnsi="宋体" w:cs="宋体" w:hint="eastAsia"/>
                <w:bCs/>
                <w:kern w:val="0"/>
                <w:sz w:val="18"/>
                <w:szCs w:val="18"/>
              </w:rPr>
              <w:t>起始单位份额金额</w:t>
            </w:r>
          </w:p>
        </w:tc>
        <w:tc>
          <w:tcPr>
            <w:tcW w:w="7332" w:type="dxa"/>
            <w:tcMar>
              <w:top w:w="15" w:type="dxa"/>
              <w:left w:w="15" w:type="dxa"/>
              <w:bottom w:w="0" w:type="dxa"/>
              <w:right w:w="15" w:type="dxa"/>
            </w:tcMar>
          </w:tcPr>
          <w:p w:rsidR="002B6BB7" w:rsidRDefault="002B6BB7" w:rsidP="002B6BB7">
            <w:pPr>
              <w:widowControl/>
              <w:jc w:val="left"/>
              <w:rPr>
                <w:rFonts w:ascii="宋体" w:hAnsi="宋体" w:cs="宋体"/>
                <w:kern w:val="0"/>
                <w:sz w:val="24"/>
                <w:szCs w:val="24"/>
              </w:rPr>
            </w:pPr>
            <w:r>
              <w:rPr>
                <w:rFonts w:ascii="宋体" w:hAnsi="宋体" w:cs="宋体" w:hint="eastAsia"/>
                <w:bCs/>
                <w:kern w:val="0"/>
                <w:sz w:val="18"/>
                <w:szCs w:val="18"/>
              </w:rPr>
              <w:t>1.00元/份</w:t>
            </w:r>
          </w:p>
        </w:tc>
      </w:tr>
      <w:tr w:rsidR="002B6BB7" w:rsidRPr="00BF487E" w:rsidTr="002B6BB7">
        <w:trPr>
          <w:trHeight w:val="315"/>
          <w:jc w:val="center"/>
        </w:trPr>
        <w:tc>
          <w:tcPr>
            <w:tcW w:w="2444" w:type="dxa"/>
            <w:tcMar>
              <w:top w:w="15" w:type="dxa"/>
              <w:left w:w="15" w:type="dxa"/>
              <w:bottom w:w="0" w:type="dxa"/>
              <w:right w:w="15" w:type="dxa"/>
            </w:tcMar>
          </w:tcPr>
          <w:p w:rsidR="002B6BB7" w:rsidRDefault="002B6BB7" w:rsidP="002B6BB7">
            <w:pPr>
              <w:widowControl/>
              <w:jc w:val="left"/>
              <w:rPr>
                <w:rFonts w:ascii="宋体" w:hAnsi="宋体" w:cs="宋体"/>
                <w:bCs/>
                <w:kern w:val="0"/>
                <w:sz w:val="18"/>
                <w:szCs w:val="18"/>
              </w:rPr>
            </w:pPr>
            <w:r>
              <w:rPr>
                <w:rFonts w:ascii="宋体" w:hAnsi="宋体" w:cs="宋体" w:hint="eastAsia"/>
                <w:bCs/>
                <w:kern w:val="0"/>
                <w:sz w:val="18"/>
                <w:szCs w:val="18"/>
              </w:rPr>
              <w:t>认购份额</w:t>
            </w:r>
          </w:p>
        </w:tc>
        <w:tc>
          <w:tcPr>
            <w:tcW w:w="7332" w:type="dxa"/>
            <w:tcMar>
              <w:top w:w="15" w:type="dxa"/>
              <w:left w:w="15" w:type="dxa"/>
              <w:bottom w:w="0" w:type="dxa"/>
              <w:right w:w="15" w:type="dxa"/>
            </w:tcMar>
          </w:tcPr>
          <w:p w:rsidR="002B6BB7" w:rsidRDefault="002B6BB7" w:rsidP="002B6BB7">
            <w:pPr>
              <w:widowControl/>
              <w:jc w:val="left"/>
              <w:rPr>
                <w:rFonts w:ascii="宋体" w:hAnsi="宋体" w:cs="宋体"/>
                <w:bCs/>
                <w:kern w:val="0"/>
                <w:sz w:val="18"/>
                <w:szCs w:val="18"/>
              </w:rPr>
            </w:pPr>
            <w:r>
              <w:rPr>
                <w:rFonts w:ascii="宋体" w:hAnsi="宋体" w:cs="宋体" w:hint="eastAsia"/>
                <w:bCs/>
                <w:kern w:val="0"/>
                <w:sz w:val="18"/>
                <w:szCs w:val="18"/>
              </w:rPr>
              <w:t>认购份额=认购金额/1元</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2B6BB7" w:rsidRDefault="002B6BB7" w:rsidP="001D0CAB">
            <w:pPr>
              <w:rPr>
                <w:rFonts w:ascii="宋体" w:hAnsi="宋体" w:cs="宋体"/>
                <w:bCs/>
                <w:color w:val="000000"/>
                <w:kern w:val="0"/>
                <w:sz w:val="18"/>
                <w:szCs w:val="18"/>
              </w:rPr>
            </w:pPr>
            <w:r w:rsidRPr="00E9534B">
              <w:rPr>
                <w:rFonts w:ascii="宋体" w:hAnsi="宋体" w:cs="宋体" w:hint="eastAsia"/>
                <w:bCs/>
                <w:color w:val="000000"/>
                <w:kern w:val="0"/>
                <w:sz w:val="18"/>
                <w:szCs w:val="18"/>
              </w:rPr>
              <w:t>1．正常到期兑付情况下，投资收益及理财本金将于理财产品到期日后的2个工作日内到账，如发生需要延后兑付的特殊情况，新昌农商银行将通过各营业网点或新昌农商银行网站以公告的形式将延后支付的情况进行公告。</w:t>
            </w:r>
          </w:p>
          <w:p w:rsidR="002B6BB7" w:rsidRDefault="002B6BB7" w:rsidP="001D0CAB">
            <w:pPr>
              <w:rPr>
                <w:rFonts w:ascii="宋体" w:hAnsi="宋体" w:cs="宋体"/>
                <w:bCs/>
                <w:color w:val="000000"/>
                <w:kern w:val="0"/>
                <w:sz w:val="18"/>
                <w:szCs w:val="18"/>
              </w:rPr>
            </w:pPr>
            <w:r w:rsidRPr="00E9534B">
              <w:rPr>
                <w:rFonts w:ascii="宋体" w:hAnsi="宋体" w:cs="宋体" w:hint="eastAsia"/>
                <w:bCs/>
                <w:color w:val="000000"/>
                <w:kern w:val="0"/>
                <w:sz w:val="18"/>
                <w:szCs w:val="18"/>
              </w:rPr>
              <w:t>2. 分红资金将于分红日后的2个工作日内划转至客户指定账户，分红日以管理人公告为准.</w:t>
            </w:r>
          </w:p>
          <w:p w:rsidR="002B6BB7" w:rsidRPr="00AB67C0" w:rsidRDefault="002B6BB7" w:rsidP="001D0CAB">
            <w:pPr>
              <w:rPr>
                <w:rFonts w:ascii="宋体" w:hAnsi="宋体"/>
                <w:color w:val="000000"/>
                <w:kern w:val="0"/>
              </w:rPr>
            </w:pPr>
            <w:r w:rsidRPr="00E9534B">
              <w:rPr>
                <w:rFonts w:ascii="宋体" w:hAnsi="宋体" w:cs="宋体" w:hint="eastAsia"/>
                <w:bCs/>
                <w:color w:val="000000"/>
                <w:kern w:val="0"/>
                <w:sz w:val="18"/>
                <w:szCs w:val="18"/>
              </w:rPr>
              <w:t>3．如果新昌农商银行提前终止本产品，新昌农商银行将提前一个工作日通过新昌农商银行各营业网点或新昌农商银行网站公布提前终止日并指定资金支付日（一般为提前终止日之后的三个工作日以内）。新昌农商银行将按产品份额净值计算客户理财资金，并于指定的资金支付日（遇非工作日顺延）内划转至客户指定账户。</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Pr>
                <w:rFonts w:ascii="宋体" w:hAnsi="宋体" w:cs="宋体" w:hint="eastAsia"/>
                <w:bCs/>
                <w:kern w:val="0"/>
                <w:sz w:val="18"/>
                <w:szCs w:val="18"/>
              </w:rPr>
              <w:lastRenderedPageBreak/>
              <w:t>产品份额净值</w:t>
            </w:r>
          </w:p>
        </w:tc>
        <w:tc>
          <w:tcPr>
            <w:tcW w:w="7332" w:type="dxa"/>
            <w:tcMar>
              <w:top w:w="15" w:type="dxa"/>
              <w:left w:w="15" w:type="dxa"/>
              <w:bottom w:w="0" w:type="dxa"/>
              <w:right w:w="15" w:type="dxa"/>
            </w:tcMar>
            <w:vAlign w:val="center"/>
          </w:tcPr>
          <w:p w:rsidR="002B6BB7" w:rsidRPr="00AB67C0" w:rsidRDefault="002B6BB7" w:rsidP="00E739A0">
            <w:pPr>
              <w:rPr>
                <w:rFonts w:ascii="宋体" w:hAnsi="宋体" w:cs="宋体"/>
                <w:color w:val="FF0000"/>
                <w:kern w:val="0"/>
                <w:sz w:val="18"/>
                <w:szCs w:val="18"/>
              </w:rPr>
            </w:pPr>
            <w:r w:rsidRPr="005B4FB3">
              <w:rPr>
                <w:rFonts w:ascii="宋体" w:hAnsi="宋体" w:cs="宋体" w:hint="eastAsia"/>
                <w:color w:val="000000"/>
                <w:kern w:val="0"/>
                <w:sz w:val="18"/>
                <w:szCs w:val="18"/>
              </w:rPr>
              <w:t>产品份额净值=产品资产净值总额/产品份额总数。产品份额净值为提取投资管理费、销售服务费（如有）、托管费、估值外包服务费等相关税费后的理财产品份额净值。产品份额净值保留至小数点后8位，小数点8位以后四舍五入，由此产生的收益或损失由理财财产承担。</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2B6BB7" w:rsidRPr="005B4FB3" w:rsidRDefault="002B6BB7" w:rsidP="005B4FB3">
            <w:pPr>
              <w:widowControl/>
              <w:rPr>
                <w:rFonts w:ascii="宋体" w:hAnsi="宋体" w:cs="宋体"/>
                <w:color w:val="000000"/>
                <w:kern w:val="0"/>
                <w:sz w:val="18"/>
                <w:szCs w:val="18"/>
              </w:rPr>
            </w:pPr>
            <w:r w:rsidRPr="005B4FB3">
              <w:rPr>
                <w:rFonts w:ascii="宋体" w:hAnsi="宋体" w:cs="宋体" w:hint="eastAsia"/>
                <w:color w:val="000000"/>
                <w:kern w:val="0"/>
                <w:sz w:val="18"/>
                <w:szCs w:val="18"/>
              </w:rPr>
              <w:t>1．本产品业绩比较基准为年化4.3</w:t>
            </w:r>
            <w:r w:rsidR="006326C3">
              <w:rPr>
                <w:rFonts w:ascii="宋体" w:hAnsi="宋体" w:cs="宋体" w:hint="eastAsia"/>
                <w:color w:val="000000"/>
                <w:kern w:val="0"/>
                <w:sz w:val="18"/>
                <w:szCs w:val="18"/>
              </w:rPr>
              <w:t>5</w:t>
            </w:r>
            <w:r w:rsidRPr="005B4FB3">
              <w:rPr>
                <w:rFonts w:ascii="宋体" w:hAnsi="宋体" w:cs="宋体" w:hint="eastAsia"/>
                <w:color w:val="000000"/>
                <w:kern w:val="0"/>
                <w:sz w:val="18"/>
                <w:szCs w:val="18"/>
              </w:rPr>
              <w:t>%。</w:t>
            </w:r>
          </w:p>
          <w:p w:rsidR="002B6BB7" w:rsidRPr="00E9534B" w:rsidRDefault="002B6BB7" w:rsidP="005B4FB3">
            <w:pPr>
              <w:widowControl/>
              <w:rPr>
                <w:rFonts w:ascii="宋体" w:hAnsi="宋体" w:cs="宋体"/>
                <w:b/>
                <w:color w:val="000000"/>
                <w:kern w:val="0"/>
                <w:sz w:val="18"/>
                <w:szCs w:val="18"/>
              </w:rPr>
            </w:pPr>
            <w:r w:rsidRPr="005B4FB3">
              <w:rPr>
                <w:rFonts w:ascii="宋体" w:hAnsi="宋体" w:cs="宋体" w:hint="eastAsia"/>
                <w:color w:val="000000"/>
                <w:kern w:val="0"/>
                <w:sz w:val="18"/>
                <w:szCs w:val="18"/>
              </w:rPr>
              <w:t>2．</w:t>
            </w:r>
            <w:r w:rsidRPr="00E9534B">
              <w:rPr>
                <w:rFonts w:ascii="宋体" w:hAnsi="宋体" w:cs="宋体" w:hint="eastAsia"/>
                <w:b/>
                <w:color w:val="000000"/>
                <w:kern w:val="0"/>
                <w:sz w:val="18"/>
                <w:szCs w:val="18"/>
              </w:rPr>
              <w:t>业绩比较基准仅作为管理人收取超额业绩报酬和动态调整投资管理费的参照，不代表理财产品未来表现，不等于理财产品实际收益，不作为产品收益的业绩保证，投资须谨慎。</w:t>
            </w:r>
          </w:p>
          <w:p w:rsidR="002B6BB7" w:rsidRPr="00AB67C0" w:rsidRDefault="002B6BB7" w:rsidP="005B4FB3">
            <w:pPr>
              <w:widowControl/>
              <w:rPr>
                <w:rFonts w:ascii="宋体" w:hAnsi="宋体"/>
                <w:color w:val="000000"/>
              </w:rPr>
            </w:pPr>
            <w:r w:rsidRPr="005B4FB3">
              <w:rPr>
                <w:rFonts w:ascii="宋体" w:hAnsi="宋体" w:cs="宋体" w:hint="eastAsia"/>
                <w:color w:val="000000"/>
                <w:kern w:val="0"/>
                <w:sz w:val="18"/>
                <w:szCs w:val="18"/>
              </w:rPr>
              <w:t>3.如果今后法律法规发生变化，或者有其他代表性更强、更科学客观的业绩比较基准适用于本产品时，经产品管理人和产品托管人协商一致后，本产品可以变更业绩比较基准并及时公告。</w:t>
            </w:r>
          </w:p>
        </w:tc>
      </w:tr>
      <w:tr w:rsidR="002B6BB7" w:rsidRPr="00D56A8B" w:rsidTr="001D0CAB">
        <w:trPr>
          <w:cantSplit/>
          <w:trHeight w:val="233"/>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1.</w:t>
            </w:r>
            <w:r w:rsidRPr="005B4FB3">
              <w:rPr>
                <w:rFonts w:ascii="宋体" w:hAnsi="宋体" w:cs="宋体" w:hint="eastAsia"/>
                <w:color w:val="000000"/>
                <w:kern w:val="0"/>
                <w:sz w:val="18"/>
                <w:szCs w:val="18"/>
              </w:rPr>
              <w:t>理财产品费用包含销售服务费、固定投资管理费、托管费、估值外包服务费、</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（若有）等相关费用。</w:t>
            </w:r>
          </w:p>
          <w:p w:rsidR="002B6BB7" w:rsidRPr="005B4FB3" w:rsidRDefault="002B6BB7" w:rsidP="005B4FB3">
            <w:pPr>
              <w:rPr>
                <w:rFonts w:ascii="宋体" w:hAnsi="宋体" w:cs="宋体"/>
                <w:color w:val="000000"/>
                <w:kern w:val="0"/>
                <w:sz w:val="18"/>
                <w:szCs w:val="18"/>
              </w:rPr>
            </w:pPr>
            <w:r w:rsidRPr="005B4FB3">
              <w:rPr>
                <w:rFonts w:ascii="宋体" w:hAnsi="宋体" w:cs="宋体" w:hint="eastAsia"/>
                <w:color w:val="000000"/>
                <w:kern w:val="0"/>
                <w:sz w:val="18"/>
                <w:szCs w:val="18"/>
              </w:rPr>
              <w:t>本产品销售服务费年化费率为0，产品托管费年化费率为0.015%（万分之一点五），产品估值外包服务费年化费率为0，固定投资管理费年化费率0.2%，上述费用每日计提，定期收取。</w:t>
            </w:r>
          </w:p>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2．</w:t>
            </w:r>
            <w:r w:rsidRPr="005B4FB3">
              <w:rPr>
                <w:rFonts w:ascii="宋体" w:hAnsi="宋体" w:cs="宋体" w:hint="eastAsia"/>
                <w:color w:val="000000"/>
                <w:kern w:val="0"/>
                <w:sz w:val="18"/>
                <w:szCs w:val="18"/>
              </w:rPr>
              <w:t>本产品不收取认购费和赎回费。</w:t>
            </w:r>
            <w:bookmarkStart w:id="0" w:name="_GoBack"/>
            <w:bookmarkEnd w:id="0"/>
          </w:p>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3．</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：每份产品份额在产品到期时，若理财资产扣除销售服务费、产品托管费和投资管理费等相关费用后，产品份额净值折算的年化收益率超过当期业绩比较基准上限，则产品管理人收取超过部分的80%作为</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，由此造成到期日产品份额净值调整的，以调整后的产品份额净值为准进行收益分配和资金兑付。</w:t>
            </w:r>
          </w:p>
          <w:p w:rsidR="002B6BB7" w:rsidRPr="00AB67C0" w:rsidRDefault="002B6BB7" w:rsidP="005B4FB3">
            <w:pPr>
              <w:rPr>
                <w:rFonts w:ascii="宋体" w:hAnsi="宋体"/>
                <w:color w:val="000000"/>
                <w:kern w:val="0"/>
              </w:rPr>
            </w:pPr>
            <w:r w:rsidRPr="005B4FB3">
              <w:rPr>
                <w:rFonts w:ascii="宋体" w:hAnsi="宋体" w:cs="宋体" w:hint="eastAsia"/>
                <w:color w:val="000000"/>
                <w:kern w:val="0"/>
                <w:sz w:val="18"/>
                <w:szCs w:val="18"/>
              </w:rPr>
              <w:t>4．新昌农商银行保留变更上述理财产品收取费率标准的权利，如有变更，将提前一个工作日在新昌农商银行网站或新昌农商银行营业网点公告。</w:t>
            </w:r>
          </w:p>
        </w:tc>
      </w:tr>
      <w:tr w:rsidR="002B6BB7" w:rsidRPr="00D56A8B" w:rsidTr="00E9534B">
        <w:trPr>
          <w:cantSplit/>
          <w:trHeight w:val="233"/>
          <w:jc w:val="center"/>
        </w:trPr>
        <w:tc>
          <w:tcPr>
            <w:tcW w:w="2444" w:type="dxa"/>
            <w:tcMar>
              <w:top w:w="15" w:type="dxa"/>
              <w:left w:w="15" w:type="dxa"/>
              <w:bottom w:w="0" w:type="dxa"/>
              <w:right w:w="15" w:type="dxa"/>
            </w:tcMar>
          </w:tcPr>
          <w:p w:rsidR="002B6BB7" w:rsidRDefault="002B6BB7" w:rsidP="00E9534B">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理财收益分配</w:t>
            </w:r>
          </w:p>
        </w:tc>
        <w:tc>
          <w:tcPr>
            <w:tcW w:w="7332" w:type="dxa"/>
            <w:tcMar>
              <w:top w:w="15" w:type="dxa"/>
              <w:left w:w="15" w:type="dxa"/>
              <w:bottom w:w="0" w:type="dxa"/>
              <w:right w:w="15" w:type="dxa"/>
            </w:tcMar>
          </w:tcPr>
          <w:p w:rsidR="002B6BB7" w:rsidRPr="003606D3" w:rsidRDefault="002B6BB7" w:rsidP="00E9534B">
            <w:p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理财产品投资收益采用存续期间现金分红，到期清算的方式。</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存续期间收益分配次数为一年不超过2次，分配比例根据分红日产品投资运作情况确定，具体分配方案、分配时间及分配比例以管理人公告为准。</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到期清算时，管理人按照退出时产品累计净值计算综合收益，对超过业绩比较基准的部分由管理人收取</w:t>
            </w:r>
            <w:r w:rsidR="00F13B66">
              <w:rPr>
                <w:rFonts w:ascii="宋体" w:hAnsi="宋体" w:cs="宋体" w:hint="eastAsia"/>
                <w:color w:val="000000"/>
                <w:kern w:val="0"/>
                <w:sz w:val="18"/>
                <w:szCs w:val="18"/>
              </w:rPr>
              <w:t>浮动管理费</w:t>
            </w:r>
            <w:r w:rsidRPr="003606D3">
              <w:rPr>
                <w:rFonts w:ascii="宋体" w:hAnsi="宋体" w:cs="宋体" w:hint="eastAsia"/>
                <w:color w:val="000000"/>
                <w:kern w:val="0"/>
                <w:sz w:val="18"/>
                <w:szCs w:val="18"/>
              </w:rPr>
              <w:t>。</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每一产品份额享有同等分配权。</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收益分配原则：收益分配基准日，分配后的当日份额净值不能低于面值1；</w:t>
            </w:r>
          </w:p>
        </w:tc>
      </w:tr>
      <w:tr w:rsidR="002B6BB7" w:rsidRPr="00D56A8B" w:rsidTr="00E9534B">
        <w:trPr>
          <w:cantSplit/>
          <w:trHeight w:val="233"/>
          <w:jc w:val="center"/>
        </w:trPr>
        <w:tc>
          <w:tcPr>
            <w:tcW w:w="2444" w:type="dxa"/>
            <w:tcMar>
              <w:top w:w="15" w:type="dxa"/>
              <w:left w:w="15" w:type="dxa"/>
              <w:bottom w:w="0" w:type="dxa"/>
              <w:right w:w="15" w:type="dxa"/>
            </w:tcMar>
            <w:vAlign w:val="center"/>
          </w:tcPr>
          <w:p w:rsidR="002B6BB7" w:rsidRDefault="002B6BB7" w:rsidP="00E9534B">
            <w:pPr>
              <w:widowControl/>
              <w:spacing w:line="57" w:lineRule="atLeast"/>
              <w:jc w:val="left"/>
              <w:rPr>
                <w:rFonts w:ascii="宋体" w:hAnsi="宋体" w:cs="宋体"/>
                <w:kern w:val="0"/>
                <w:sz w:val="24"/>
                <w:szCs w:val="24"/>
              </w:rPr>
            </w:pPr>
            <w:r>
              <w:rPr>
                <w:rFonts w:ascii="宋体" w:hAnsi="宋体" w:cs="宋体" w:hint="eastAsia"/>
                <w:kern w:val="0"/>
                <w:sz w:val="18"/>
                <w:szCs w:val="18"/>
              </w:rPr>
              <w:t>理财资金返还</w:t>
            </w:r>
          </w:p>
        </w:tc>
        <w:tc>
          <w:tcPr>
            <w:tcW w:w="7332" w:type="dxa"/>
            <w:tcMar>
              <w:top w:w="15" w:type="dxa"/>
              <w:left w:w="15" w:type="dxa"/>
              <w:bottom w:w="0" w:type="dxa"/>
              <w:right w:w="15" w:type="dxa"/>
            </w:tcMar>
          </w:tcPr>
          <w:p w:rsidR="002B6BB7"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1．正常到期兑付情况下，投资收益及理财本金将于理财产品到期日后的2个工作日内到账，如发生需要延后兑付的特殊情况，新昌农商银行将通过各营业网点或新昌农商银行网站以公告的形式将延后支付的情况进行公告。</w:t>
            </w:r>
          </w:p>
          <w:p w:rsidR="002B6BB7"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2. 分红资金将于分红日后的2</w:t>
            </w:r>
            <w:r>
              <w:rPr>
                <w:rFonts w:ascii="宋体" w:hAnsi="宋体" w:cs="宋体" w:hint="eastAsia"/>
                <w:color w:val="000000"/>
                <w:kern w:val="0"/>
                <w:sz w:val="18"/>
                <w:szCs w:val="18"/>
              </w:rPr>
              <w:t>个工作日内划转至客户指定账户，分红日以管理人公告为</w:t>
            </w:r>
            <w:r w:rsidRPr="003606D3">
              <w:rPr>
                <w:rFonts w:ascii="宋体" w:hAnsi="宋体" w:cs="宋体" w:hint="eastAsia"/>
                <w:color w:val="000000"/>
                <w:kern w:val="0"/>
                <w:sz w:val="18"/>
                <w:szCs w:val="18"/>
              </w:rPr>
              <w:t>准.</w:t>
            </w:r>
          </w:p>
          <w:p w:rsidR="002B6BB7" w:rsidRPr="003606D3"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3．如果新昌农商银行提前终止本产品，新昌农商银行将提前一个工作日通过新昌农商银行各营业网点或新昌农商银行网站公布提前终止日并指定资金支付日（一般为提前终止日之后的三个工作日以内）。新昌农商银行将按产品份额净值计算客户理财资金，并于指定的资金支付日（遇非工作日顺延）内划转至客户指定账户。</w:t>
            </w:r>
          </w:p>
        </w:tc>
      </w:tr>
      <w:tr w:rsidR="002B6BB7" w:rsidRPr="00D56A8B" w:rsidTr="001D0CAB">
        <w:trPr>
          <w:cantSplit/>
          <w:trHeight w:val="233"/>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2B6BB7" w:rsidRPr="00AB67C0" w:rsidRDefault="002B6BB7"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w:t>
            </w:r>
            <w:r w:rsidRPr="00AB67C0">
              <w:rPr>
                <w:rFonts w:ascii="宋体" w:hAnsi="宋体" w:cs="宋体" w:hint="eastAsia"/>
                <w:color w:val="000000"/>
                <w:kern w:val="0"/>
                <w:sz w:val="18"/>
                <w:szCs w:val="18"/>
              </w:rPr>
              <w:lastRenderedPageBreak/>
              <w:t>除冻结。</w:t>
            </w:r>
          </w:p>
          <w:p w:rsidR="002B6BB7" w:rsidRPr="00AB67C0" w:rsidRDefault="002B6BB7"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2B6BB7" w:rsidRPr="00AB67C0" w:rsidRDefault="002B6BB7"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lastRenderedPageBreak/>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235B48" w:rsidRPr="00AB67C0"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理财资产估值的目的是客观、准确地反映理财资产是否保值、增值。</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本产品按以下方式进行估值：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1、固定收益类资产估值：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产品持有的固定收益类资产原则上按公允价值计量。</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各类资产优先采用市价法进行估值，对于暂不具备活跃交易市场，或者在活跃市场中没有报价的资产，采用估值技术确定公允价值。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在估值技术难以可靠计量公允价值的情况下，可按照监管机构认可的符合企业会计准则的其他方法进行估值。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3、基金估值方法</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（1）上市流通的证券投资基金按估值日其所在证券交易所的收盘价估值；估值日无交易的，以最近交易日的收盘价估值。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（2）开放式基金以估值日公布的基金净值估值，估值日基金净值未公布的，以基金管理人公布的最近一个工作日基金净值计算。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lastRenderedPageBreak/>
        <w:t>4、其他资产存在并可以确定公允价值的，以公允价值计算，公允价值不能确定的按取得时的成本计算。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5、如有确凿证据表明按上述方法进行估值不能客观反映其公允价值的，产品管理人可根据具体情况与产品托管人商定后，按最能反映公允价值的价格估值。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6、相关法律法规以及监管部门有强制规定的，从其规定。如有新增事项，按国家最新规定估值。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7、如估值方法发生变更，新昌农商银行将至少提前一个工作日通过其各营业网点或新昌农商银行网站发布变更公告。</w:t>
      </w:r>
    </w:p>
    <w:p w:rsidR="00C03E6A" w:rsidRPr="00AB67C0" w:rsidRDefault="00C03E6A" w:rsidP="00235B48">
      <w:pPr>
        <w:spacing w:line="360" w:lineRule="auto"/>
        <w:ind w:firstLineChars="200" w:firstLine="420"/>
        <w:rPr>
          <w:rFonts w:ascii="宋体" w:hAnsi="宋体"/>
          <w:color w:val="000000"/>
          <w:kern w:val="0"/>
        </w:rPr>
      </w:pPr>
      <w:r w:rsidRPr="00AB67C0">
        <w:rPr>
          <w:rFonts w:ascii="宋体" w:hAnsi="宋体" w:cs="宋体" w:hint="eastAsia"/>
          <w:color w:val="000000"/>
          <w:kern w:val="0"/>
        </w:rPr>
        <w:t>（五）</w:t>
      </w:r>
      <w:r w:rsidR="00235B48" w:rsidRPr="00235B48">
        <w:rPr>
          <w:rFonts w:ascii="宋体" w:hAnsi="宋体" w:cs="宋体" w:hint="eastAsia"/>
          <w:color w:val="000000"/>
          <w:kern w:val="0"/>
        </w:rPr>
        <w:t>估值程序</w:t>
      </w:r>
    </w:p>
    <w:p w:rsidR="00235B48" w:rsidRPr="00235B48"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1、产品份额净值是按照估值日产品资产净值除以当日产品总份额计算。国家另有规定的，从其规定。</w:t>
      </w:r>
    </w:p>
    <w:p w:rsidR="00235B48" w:rsidRPr="00235B48"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2、产品管理人对理财资产估值后，将理财资产净值结果发送产品托管人，经产品托管人复核无误后，由产品管理人按规定对外公布。</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（一）收益分配原则</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1、本产品在投资期间，根据产品投资情况，不定期的以现金分红方式向客户分配收益，收益分配次数为每年不超过2次，分配比例由管理人根据分红日产品实际投资情况确定，分配后产品份额净值不低于1.00元，每一计划投资份额享有同等分配权。具体分配方案、分配比例及收益分配时间以公告为准。若投资运作期间产品份额净值小于1.00元，则不进行收益分配。</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2、本产品到期后，管理人按照退出时产品累计净值计算综合收益，对超过业绩比较基准的部分由管理人收取</w:t>
      </w:r>
      <w:r>
        <w:rPr>
          <w:rFonts w:ascii="宋体" w:hAnsi="宋体" w:cs="宋体" w:hint="eastAsia"/>
          <w:kern w:val="0"/>
        </w:rPr>
        <w:t>浮动管理费</w:t>
      </w:r>
      <w:r w:rsidRPr="00F13B66">
        <w:rPr>
          <w:rFonts w:ascii="宋体" w:hAnsi="宋体" w:cs="宋体" w:hint="eastAsia"/>
          <w:kern w:val="0"/>
        </w:rPr>
        <w:t>。投资者本金及剔除管理人超额业绩报酬后的剩余收益由</w:t>
      </w:r>
      <w:r w:rsidRPr="00F13B66">
        <w:rPr>
          <w:rFonts w:ascii="宋体" w:hAnsi="宋体" w:cs="宋体" w:hint="eastAsia"/>
          <w:kern w:val="0"/>
        </w:rPr>
        <w:lastRenderedPageBreak/>
        <w:t>管理人支付给投资者。</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3、在不违反法律法规、理财产品协议约定以及对份额持有人权益无实质性不利影响的情况下，新昌农商银行可调整本产品收益的分配原则和支付方式。法律法规或监管机构另有规定的从其规定。</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（二）理财收益支付</w:t>
      </w:r>
    </w:p>
    <w:p w:rsid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本产品在每个分红日的后两个工作日内支付收益（如有），并在本产品实际到期日后2个工作日内，向本产品投资人进行本金及剩余收益分配。如发生需要延后分配的特殊情况，新昌农商银行将通过各营业网点或新昌农商银行网站以公告的形式将延后分配的情况进行公告。</w:t>
      </w:r>
    </w:p>
    <w:p w:rsidR="00B41F69" w:rsidRPr="00B41F69" w:rsidRDefault="00F13B66" w:rsidP="00F13B66">
      <w:pPr>
        <w:spacing w:line="360" w:lineRule="auto"/>
        <w:ind w:firstLineChars="200" w:firstLine="420"/>
        <w:rPr>
          <w:rFonts w:ascii="宋体" w:hAnsi="宋体"/>
          <w:kern w:val="0"/>
          <w:sz w:val="24"/>
          <w:szCs w:val="24"/>
        </w:rPr>
      </w:pPr>
      <w:r>
        <w:rPr>
          <w:rFonts w:ascii="宋体" w:hAnsi="宋体" w:cs="宋体" w:hint="eastAsia"/>
          <w:kern w:val="0"/>
        </w:rPr>
        <w:t>（三</w:t>
      </w:r>
      <w:r w:rsidR="00C03E6A" w:rsidRPr="00AB67C0">
        <w:rPr>
          <w:rFonts w:ascii="宋体" w:hAnsi="宋体" w:cs="宋体" w:hint="eastAsia"/>
          <w:kern w:val="0"/>
        </w:rPr>
        <w:t>）本理财计划的各相关费用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F13B66" w:rsidRDefault="00E5194C" w:rsidP="00F13B66">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F13B66" w:rsidRDefault="00E5194C" w:rsidP="00F13B66">
      <w:pPr>
        <w:spacing w:line="360" w:lineRule="auto"/>
        <w:ind w:firstLineChars="200" w:firstLine="420"/>
        <w:rPr>
          <w:rFonts w:ascii="宋体" w:hAnsi="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3606D3" w:rsidRPr="00AB67C0" w:rsidRDefault="003606D3" w:rsidP="003606D3">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3606D3" w:rsidRPr="003606D3" w:rsidRDefault="003606D3" w:rsidP="003606D3">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F13B66">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F13B66">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E5194C" w:rsidRPr="00AB67C0" w:rsidRDefault="003606D3"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E5194C" w:rsidRPr="00AB67C0">
        <w:rPr>
          <w:rFonts w:ascii="宋体" w:hAnsi="宋体" w:cs="宋体"/>
          <w:kern w:val="0"/>
        </w:rPr>
        <w:t>.</w:t>
      </w:r>
      <w:r w:rsidR="00F13B66">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13B66">
        <w:rPr>
          <w:rFonts w:ascii="宋体" w:hAnsi="宋体" w:hint="eastAsia"/>
        </w:rPr>
        <w:t>的80%</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F075E2" w:rsidP="00E5194C">
      <w:pPr>
        <w:spacing w:line="360" w:lineRule="auto"/>
        <w:ind w:firstLineChars="200" w:firstLine="420"/>
        <w:rPr>
          <w:rFonts w:ascii="宋体" w:hAnsi="宋体"/>
          <w:kern w:val="0"/>
        </w:rPr>
      </w:pPr>
      <w:r>
        <w:rPr>
          <w:rFonts w:ascii="宋体" w:hAnsi="宋体" w:cs="宋体" w:hint="eastAsia"/>
          <w:kern w:val="0"/>
        </w:rPr>
        <w:t>（四</w:t>
      </w:r>
      <w:r w:rsidR="00E5194C" w:rsidRPr="00AB67C0">
        <w:rPr>
          <w:rFonts w:ascii="宋体" w:hAnsi="宋体" w:cs="宋体" w:hint="eastAsia"/>
          <w:kern w:val="0"/>
        </w:rPr>
        <w:t>）收益示例说明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3606D3" w:rsidRPr="00AB67C0" w:rsidRDefault="003606D3" w:rsidP="003606D3">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w:t>
      </w:r>
      <w:r w:rsidRPr="00AB67C0">
        <w:rPr>
          <w:rFonts w:ascii="宋体" w:hAnsi="宋体" w:hint="eastAsia"/>
        </w:rPr>
        <w:lastRenderedPageBreak/>
        <w:t>收益超越业绩比较基准，则投资管理人对超过业绩比较基准部分收益收取浮动管理费，浮动管理费为：</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3606D3" w:rsidRPr="00AB67C0" w:rsidRDefault="003606D3" w:rsidP="003606D3">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F075E2" w:rsidRDefault="003606D3" w:rsidP="00F075E2">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3606D3" w:rsidRPr="00F075E2" w:rsidRDefault="00F075E2" w:rsidP="00F075E2">
      <w:pPr>
        <w:spacing w:line="360" w:lineRule="auto"/>
        <w:ind w:firstLineChars="200" w:firstLine="420"/>
        <w:rPr>
          <w:rFonts w:ascii="宋体" w:hAnsi="宋体"/>
        </w:rPr>
      </w:pPr>
      <w:r w:rsidRPr="00F075E2">
        <w:rPr>
          <w:rFonts w:ascii="宋体" w:hAnsi="宋体" w:hint="eastAsia"/>
        </w:rPr>
        <w:t>新昌农商银行有权从理财财产中直接扣除</w:t>
      </w:r>
      <w:r>
        <w:rPr>
          <w:rFonts w:ascii="宋体" w:hAnsi="宋体" w:hint="eastAsia"/>
        </w:rPr>
        <w:t>固定</w:t>
      </w:r>
      <w:r w:rsidRPr="00F075E2">
        <w:rPr>
          <w:rFonts w:ascii="宋体" w:hAnsi="宋体" w:hint="eastAsia"/>
        </w:rPr>
        <w:t>投资管理费、</w:t>
      </w:r>
      <w:r>
        <w:rPr>
          <w:rFonts w:ascii="宋体" w:hAnsi="宋体" w:hint="eastAsia"/>
        </w:rPr>
        <w:t>浮动管理费</w:t>
      </w:r>
      <w:r w:rsidRPr="00F075E2">
        <w:rPr>
          <w:rFonts w:ascii="宋体" w:hAnsi="宋体" w:hint="eastAsia"/>
        </w:rPr>
        <w:t>、产品托管费以及销售服务费等相关费用。</w:t>
      </w:r>
    </w:p>
    <w:p w:rsidR="00E5194C" w:rsidRPr="00AB67C0" w:rsidRDefault="00F075E2" w:rsidP="00E5194C">
      <w:pPr>
        <w:spacing w:line="360" w:lineRule="auto"/>
        <w:ind w:firstLineChars="200" w:firstLine="420"/>
        <w:rPr>
          <w:rFonts w:ascii="宋体" w:hAnsi="宋体"/>
        </w:rPr>
      </w:pPr>
      <w:r>
        <w:rPr>
          <w:rFonts w:ascii="宋体" w:hAnsi="宋体" w:cs="宋体" w:hint="eastAsia"/>
        </w:rPr>
        <w:t>（五</w:t>
      </w:r>
      <w:r w:rsidR="00E5194C" w:rsidRPr="00AB67C0">
        <w:rPr>
          <w:rFonts w:ascii="宋体" w:hAnsi="宋体" w:cs="宋体" w:hint="eastAsia"/>
        </w:rPr>
        <w:t>）最不利情况分析</w:t>
      </w:r>
    </w:p>
    <w:p w:rsidR="00E5194C" w:rsidRDefault="00E5194C" w:rsidP="00E5194C">
      <w:pPr>
        <w:spacing w:line="360" w:lineRule="auto"/>
        <w:ind w:firstLineChars="200" w:firstLine="420"/>
        <w:rPr>
          <w:rFonts w:ascii="宋体" w:hAnsi="宋体" w:cs="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F075E2" w:rsidRPr="00F075E2" w:rsidRDefault="00F075E2" w:rsidP="00F075E2">
      <w:pPr>
        <w:spacing w:line="360" w:lineRule="auto"/>
        <w:ind w:firstLineChars="250" w:firstLine="525"/>
        <w:rPr>
          <w:rFonts w:ascii="宋体" w:hAnsi="宋体" w:cs="宋体"/>
        </w:rPr>
      </w:pPr>
      <w:r w:rsidRPr="00F075E2">
        <w:rPr>
          <w:rFonts w:ascii="宋体" w:hAnsi="宋体" w:cs="宋体" w:hint="eastAsia"/>
        </w:rPr>
        <w:t>（六）税务事项</w:t>
      </w:r>
    </w:p>
    <w:p w:rsidR="00F075E2" w:rsidRPr="00F075E2" w:rsidRDefault="00F075E2" w:rsidP="00F075E2">
      <w:pPr>
        <w:spacing w:line="360" w:lineRule="auto"/>
        <w:ind w:left="420"/>
        <w:rPr>
          <w:rFonts w:ascii="宋体" w:hAnsi="宋体" w:cs="宋体"/>
        </w:rPr>
      </w:pPr>
      <w:r w:rsidRPr="00F075E2">
        <w:rPr>
          <w:rFonts w:ascii="宋体" w:hAnsi="宋体" w:cs="宋体" w:hint="eastAsia"/>
        </w:rPr>
        <w:t>本产品运作过程中涉及的各纳税主体的纳税义务按国家税收法律、法规执行。除法律法规特别要求外，客户应缴纳的税收由客户负责，新昌农商银行不承担代扣代缴或纳税的</w:t>
      </w:r>
      <w:r w:rsidRPr="00F075E2">
        <w:rPr>
          <w:rFonts w:ascii="宋体" w:hAnsi="宋体" w:cs="宋体" w:hint="eastAsia"/>
        </w:rPr>
        <w:lastRenderedPageBreak/>
        <w:t>义务。</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66" w:rsidRDefault="00F13B66" w:rsidP="00C03E6A">
      <w:r>
        <w:separator/>
      </w:r>
    </w:p>
  </w:endnote>
  <w:endnote w:type="continuationSeparator" w:id="0">
    <w:p w:rsidR="00F13B66" w:rsidRDefault="00F13B6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66" w:rsidRDefault="00F13B66" w:rsidP="00C03E6A">
      <w:r>
        <w:separator/>
      </w:r>
    </w:p>
  </w:footnote>
  <w:footnote w:type="continuationSeparator" w:id="0">
    <w:p w:rsidR="00F13B66" w:rsidRDefault="00F13B6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021DB"/>
    <w:multiLevelType w:val="singleLevel"/>
    <w:tmpl w:val="A15021DB"/>
    <w:lvl w:ilvl="0">
      <w:start w:val="1"/>
      <w:numFmt w:val="decimal"/>
      <w:lvlText w:val="%1."/>
      <w:lvlJc w:val="left"/>
      <w:pPr>
        <w:tabs>
          <w:tab w:val="left" w:pos="312"/>
        </w:tabs>
      </w:pPr>
    </w:lvl>
  </w:abstractNum>
  <w:abstractNum w:abstractNumId="1">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0AC3"/>
    <w:rsid w:val="001F6119"/>
    <w:rsid w:val="00235B48"/>
    <w:rsid w:val="002B6BB7"/>
    <w:rsid w:val="003606D3"/>
    <w:rsid w:val="003D0151"/>
    <w:rsid w:val="004075B4"/>
    <w:rsid w:val="00424099"/>
    <w:rsid w:val="00456C39"/>
    <w:rsid w:val="005606C4"/>
    <w:rsid w:val="00574A5C"/>
    <w:rsid w:val="0058236E"/>
    <w:rsid w:val="005B4FB3"/>
    <w:rsid w:val="005D197E"/>
    <w:rsid w:val="005E30BE"/>
    <w:rsid w:val="00617DD3"/>
    <w:rsid w:val="006326C3"/>
    <w:rsid w:val="00632C22"/>
    <w:rsid w:val="00684E08"/>
    <w:rsid w:val="006A5040"/>
    <w:rsid w:val="006B7722"/>
    <w:rsid w:val="00706981"/>
    <w:rsid w:val="007761F9"/>
    <w:rsid w:val="007C1D0A"/>
    <w:rsid w:val="00803B7C"/>
    <w:rsid w:val="00805DA0"/>
    <w:rsid w:val="00865AA0"/>
    <w:rsid w:val="00883B64"/>
    <w:rsid w:val="008F52BF"/>
    <w:rsid w:val="00932F83"/>
    <w:rsid w:val="00941F4A"/>
    <w:rsid w:val="00A0472D"/>
    <w:rsid w:val="00AA2DA2"/>
    <w:rsid w:val="00AA43E0"/>
    <w:rsid w:val="00AC504C"/>
    <w:rsid w:val="00AE65C4"/>
    <w:rsid w:val="00B068F3"/>
    <w:rsid w:val="00B1321F"/>
    <w:rsid w:val="00B41F69"/>
    <w:rsid w:val="00BB2884"/>
    <w:rsid w:val="00C03E6A"/>
    <w:rsid w:val="00C234CF"/>
    <w:rsid w:val="00C55CE9"/>
    <w:rsid w:val="00C76B25"/>
    <w:rsid w:val="00C85400"/>
    <w:rsid w:val="00CB6A2C"/>
    <w:rsid w:val="00D756F4"/>
    <w:rsid w:val="00DB1EBC"/>
    <w:rsid w:val="00DC3E03"/>
    <w:rsid w:val="00E4485B"/>
    <w:rsid w:val="00E5194C"/>
    <w:rsid w:val="00E6239E"/>
    <w:rsid w:val="00E739A0"/>
    <w:rsid w:val="00E9534B"/>
    <w:rsid w:val="00E96A0E"/>
    <w:rsid w:val="00EA61A2"/>
    <w:rsid w:val="00F05A1A"/>
    <w:rsid w:val="00F075E2"/>
    <w:rsid w:val="00F13B66"/>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11</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2020-04-28T03:10:00Z</dcterms:created>
  <dcterms:modified xsi:type="dcterms:W3CDTF">2021-11-25T07:14:00Z</dcterms:modified>
</cp:coreProperties>
</file>